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4BE" w:rsidRDefault="001724BE" w:rsidP="00104719">
      <w:pPr>
        <w:spacing w:line="360" w:lineRule="auto"/>
        <w:jc w:val="both"/>
        <w:rPr>
          <w:b/>
          <w:lang w:val="en-US"/>
        </w:rPr>
      </w:pPr>
      <w:r w:rsidRPr="00711150">
        <w:rPr>
          <w:b/>
          <w:lang w:val="en-US"/>
        </w:rPr>
        <w:t xml:space="preserve">Farm level effects of </w:t>
      </w:r>
      <w:r>
        <w:rPr>
          <w:b/>
          <w:lang w:val="en-US"/>
        </w:rPr>
        <w:t xml:space="preserve">market integration in Central Asia </w:t>
      </w:r>
      <w:r w:rsidRPr="00711150">
        <w:rPr>
          <w:b/>
          <w:lang w:val="en-US"/>
        </w:rPr>
        <w:t>under climate change</w:t>
      </w:r>
    </w:p>
    <w:p w:rsidR="001724BE" w:rsidRDefault="001724BE" w:rsidP="00104719">
      <w:pPr>
        <w:spacing w:line="360" w:lineRule="auto"/>
        <w:jc w:val="both"/>
        <w:rPr>
          <w:lang w:val="en-US"/>
        </w:rPr>
      </w:pPr>
      <w:proofErr w:type="spellStart"/>
      <w:r w:rsidRPr="00A3028C">
        <w:rPr>
          <w:lang w:val="en-US"/>
        </w:rPr>
        <w:t>Ihtiyor</w:t>
      </w:r>
      <w:proofErr w:type="spellEnd"/>
      <w:r w:rsidRPr="00A3028C">
        <w:rPr>
          <w:lang w:val="en-US"/>
        </w:rPr>
        <w:t xml:space="preserve"> </w:t>
      </w:r>
      <w:proofErr w:type="spellStart"/>
      <w:r w:rsidRPr="00A3028C">
        <w:rPr>
          <w:lang w:val="en-US"/>
        </w:rPr>
        <w:t>Bobojonov</w:t>
      </w:r>
      <w:proofErr w:type="spellEnd"/>
      <w:r w:rsidR="000D51BE">
        <w:rPr>
          <w:rStyle w:val="Funotenzeichen"/>
          <w:lang w:val="en-US"/>
        </w:rPr>
        <w:footnoteReference w:id="1"/>
      </w:r>
      <w:r w:rsidRPr="00A3028C">
        <w:rPr>
          <w:lang w:val="en-US"/>
        </w:rPr>
        <w:t>, Aden Aw-Hassan</w:t>
      </w:r>
      <w:r w:rsidR="000D51BE">
        <w:rPr>
          <w:rStyle w:val="Funotenzeichen"/>
          <w:lang w:val="en-US"/>
        </w:rPr>
        <w:footnoteReference w:id="2"/>
      </w:r>
      <w:r w:rsidRPr="00A3028C">
        <w:rPr>
          <w:lang w:val="en-US"/>
        </w:rPr>
        <w:t xml:space="preserve"> </w:t>
      </w:r>
    </w:p>
    <w:p w:rsidR="001A3DC0" w:rsidRPr="001A3DC0" w:rsidRDefault="001A3DC0" w:rsidP="001A3DC0">
      <w:pPr>
        <w:pStyle w:val="berschrift1"/>
        <w:jc w:val="center"/>
        <w:rPr>
          <w:b w:val="0"/>
          <w:i/>
          <w:szCs w:val="22"/>
        </w:rPr>
      </w:pPr>
      <w:r w:rsidRPr="001A3DC0">
        <w:rPr>
          <w:b w:val="0"/>
          <w:i/>
          <w:szCs w:val="22"/>
          <w:lang w:val="en-US"/>
        </w:rPr>
        <w:t>Paper prepared for presentation at the</w:t>
      </w:r>
      <w:r w:rsidRPr="001A3DC0">
        <w:rPr>
          <w:b w:val="0"/>
          <w:i/>
          <w:szCs w:val="22"/>
          <w:lang w:val="en-US"/>
        </w:rPr>
        <w:t xml:space="preserve"> </w:t>
      </w:r>
      <w:proofErr w:type="spellStart"/>
      <w:r w:rsidRPr="001A3DC0">
        <w:rPr>
          <w:b w:val="0"/>
          <w:i/>
          <w:szCs w:val="22"/>
          <w:lang w:val="en-US"/>
        </w:rPr>
        <w:t>EcoMod</w:t>
      </w:r>
      <w:proofErr w:type="spellEnd"/>
      <w:r w:rsidRPr="001A3DC0">
        <w:rPr>
          <w:b w:val="0"/>
          <w:i/>
          <w:szCs w:val="22"/>
          <w:lang w:val="en-US"/>
        </w:rPr>
        <w:t xml:space="preserve"> </w:t>
      </w:r>
      <w:r w:rsidRPr="001A3DC0">
        <w:rPr>
          <w:b w:val="0"/>
          <w:i/>
          <w:szCs w:val="22"/>
        </w:rPr>
        <w:t>International Conference on Energy, Regional Integration and Socio-economic Development</w:t>
      </w:r>
      <w:r>
        <w:rPr>
          <w:b w:val="0"/>
          <w:i/>
          <w:szCs w:val="22"/>
        </w:rPr>
        <w:t xml:space="preserve"> C</w:t>
      </w:r>
      <w:r w:rsidRPr="001A3DC0">
        <w:rPr>
          <w:b w:val="0"/>
          <w:i/>
          <w:szCs w:val="22"/>
        </w:rPr>
        <w:t>onference, September 5-6, 2013, Baku</w:t>
      </w:r>
    </w:p>
    <w:p w:rsidR="001724BE" w:rsidRPr="006F2B80" w:rsidRDefault="001A3DC0" w:rsidP="00104719">
      <w:pPr>
        <w:spacing w:line="360" w:lineRule="auto"/>
        <w:jc w:val="both"/>
        <w:rPr>
          <w:b/>
          <w:lang w:val="en-US"/>
        </w:rPr>
      </w:pPr>
      <w:r w:rsidRPr="001A3DC0">
        <w:rPr>
          <w:b/>
          <w:i/>
          <w:lang w:val="en-US"/>
        </w:rPr>
        <w:t xml:space="preserve"> </w:t>
      </w:r>
      <w:r w:rsidR="001724BE" w:rsidRPr="006F2B80">
        <w:rPr>
          <w:b/>
          <w:lang w:val="en-US"/>
        </w:rPr>
        <w:t xml:space="preserve">Abstract </w:t>
      </w:r>
    </w:p>
    <w:p w:rsidR="001724BE" w:rsidRDefault="001724BE" w:rsidP="00104719">
      <w:pPr>
        <w:spacing w:line="360" w:lineRule="auto"/>
        <w:jc w:val="both"/>
        <w:rPr>
          <w:lang w:val="en-US"/>
        </w:rPr>
      </w:pPr>
      <w:r>
        <w:rPr>
          <w:lang w:val="en-US"/>
        </w:rPr>
        <w:t xml:space="preserve">There </w:t>
      </w:r>
      <w:r w:rsidR="00FE4BA4">
        <w:rPr>
          <w:lang w:val="en-US"/>
        </w:rPr>
        <w:t>were s</w:t>
      </w:r>
      <w:r>
        <w:rPr>
          <w:lang w:val="en-US"/>
        </w:rPr>
        <w:t>everal regional trade agreements made amongst Central Asian countries during the transition period. However, the implementation of the</w:t>
      </w:r>
      <w:bookmarkStart w:id="0" w:name="_GoBack"/>
      <w:bookmarkEnd w:id="0"/>
      <w:r>
        <w:rPr>
          <w:lang w:val="en-US"/>
        </w:rPr>
        <w:t xml:space="preserve">se agreements remains very restricted which causes limited exchange and flow of agricultural commodities between the countries. The market imperfections caused by state policies, poor market infrastructure and trade restrictions remain the main challenge for small scale producers in Central Asia. This study analyses input and output price differentiations between the countries and discusses the main factors causing those price differences. Furthermore, the paper examines the impact of easing those trade barriers on farm level welfare, especially under different climate change scenarios. Therefore, the paper aims at filling in the gap of knowledge </w:t>
      </w:r>
      <w:r w:rsidR="00BB63FF">
        <w:rPr>
          <w:lang w:val="en-US"/>
        </w:rPr>
        <w:t xml:space="preserve">that exists between </w:t>
      </w:r>
      <w:r>
        <w:rPr>
          <w:lang w:val="en-US"/>
        </w:rPr>
        <w:t xml:space="preserve">effects of trade barriers on farm gate prices and farmers’ welfare in Central Asia. </w:t>
      </w:r>
    </w:p>
    <w:p w:rsidR="001724BE" w:rsidRDefault="001724BE" w:rsidP="00104719">
      <w:pPr>
        <w:spacing w:line="360" w:lineRule="auto"/>
        <w:jc w:val="both"/>
        <w:rPr>
          <w:lang w:val="en-US"/>
        </w:rPr>
      </w:pPr>
      <w:r>
        <w:rPr>
          <w:lang w:val="en-US"/>
        </w:rPr>
        <w:t xml:space="preserve">The farm level input-output prices and household consumption patterns are analyzed using the data obtained from farm surveys conducted in Kazakhstan, Uzbekistan, Kyrgyzstan and Tajikistan. Changes in expenditure under trade liberalization among Central Asian countries are estimated. Per capita expenditure changes are estimated for alternative market conditions. The impact of climate change on farm utilities is analyzed using </w:t>
      </w:r>
      <w:r w:rsidR="00BB63FF">
        <w:rPr>
          <w:lang w:val="en-US"/>
        </w:rPr>
        <w:t xml:space="preserve">an </w:t>
      </w:r>
      <w:r>
        <w:rPr>
          <w:lang w:val="en-US"/>
        </w:rPr>
        <w:t xml:space="preserve">integrated modeling tool which incorporates the climate change module and crop growth simulation model in the expected utility framework. </w:t>
      </w:r>
    </w:p>
    <w:p w:rsidR="001724BE" w:rsidRDefault="001724BE" w:rsidP="00104719">
      <w:pPr>
        <w:spacing w:line="360" w:lineRule="auto"/>
        <w:jc w:val="both"/>
        <w:rPr>
          <w:lang w:val="en-US"/>
        </w:rPr>
      </w:pPr>
      <w:r>
        <w:rPr>
          <w:lang w:val="en-US"/>
        </w:rPr>
        <w:t>The results show significant difference</w:t>
      </w:r>
      <w:r w:rsidR="00BB63FF">
        <w:rPr>
          <w:lang w:val="en-US"/>
        </w:rPr>
        <w:t>s</w:t>
      </w:r>
      <w:r>
        <w:rPr>
          <w:lang w:val="en-US"/>
        </w:rPr>
        <w:t xml:space="preserve"> </w:t>
      </w:r>
      <w:r w:rsidR="00BB63FF">
        <w:rPr>
          <w:lang w:val="en-US"/>
        </w:rPr>
        <w:t>in</w:t>
      </w:r>
      <w:r>
        <w:rPr>
          <w:lang w:val="en-US"/>
        </w:rPr>
        <w:t xml:space="preserve"> farm gate prices of many agricultural commodities. Salient differences </w:t>
      </w:r>
      <w:r w:rsidR="00BB63FF">
        <w:rPr>
          <w:lang w:val="en-US"/>
        </w:rPr>
        <w:t xml:space="preserve">were </w:t>
      </w:r>
      <w:r>
        <w:rPr>
          <w:lang w:val="en-US"/>
        </w:rPr>
        <w:t xml:space="preserve">also found between the energy and fertilizer prices among these countries. Political disputes between some Central Asian countries are explained to be the main challenge for restricted trade between the countries. Liberalization of trade may create favorable economic conditions for many regions in Central Asian countries. However, potential gains from market integration are very region and country specific. The integrated model results show that easing commodity exchange </w:t>
      </w:r>
      <w:r>
        <w:rPr>
          <w:lang w:val="en-US"/>
        </w:rPr>
        <w:lastRenderedPageBreak/>
        <w:t xml:space="preserve">between the countries may improve the adaptive capacity of the small scale producers especially in Uzbekistan and Tajikistan under different climate change scenarios.  </w:t>
      </w:r>
    </w:p>
    <w:p w:rsidR="001724BE" w:rsidRPr="00B5286A" w:rsidRDefault="001724BE" w:rsidP="00104719">
      <w:pPr>
        <w:pStyle w:val="berschrift1"/>
        <w:numPr>
          <w:ilvl w:val="0"/>
          <w:numId w:val="1"/>
        </w:numPr>
        <w:spacing w:line="360" w:lineRule="auto"/>
        <w:jc w:val="both"/>
        <w:rPr>
          <w:rFonts w:asciiTheme="minorHAnsi" w:hAnsiTheme="minorHAnsi"/>
          <w:szCs w:val="22"/>
          <w:lang w:val="en-US"/>
        </w:rPr>
      </w:pPr>
      <w:r w:rsidRPr="00B5286A">
        <w:rPr>
          <w:rFonts w:asciiTheme="minorHAnsi" w:hAnsiTheme="minorHAnsi"/>
          <w:szCs w:val="22"/>
          <w:lang w:val="en-US"/>
        </w:rPr>
        <w:t xml:space="preserve">Introduction </w:t>
      </w:r>
    </w:p>
    <w:p w:rsidR="001724BE" w:rsidRPr="00B339A5" w:rsidRDefault="001724BE" w:rsidP="00104719">
      <w:pPr>
        <w:autoSpaceDE w:val="0"/>
        <w:autoSpaceDN w:val="0"/>
        <w:adjustRightInd w:val="0"/>
        <w:spacing w:after="240" w:line="360" w:lineRule="auto"/>
        <w:jc w:val="both"/>
        <w:rPr>
          <w:rFonts w:cstheme="minorHAnsi"/>
          <w:lang w:val="en-US"/>
        </w:rPr>
      </w:pPr>
      <w:r w:rsidRPr="00B339A5">
        <w:rPr>
          <w:rFonts w:cstheme="minorHAnsi"/>
          <w:lang w:val="en-US"/>
        </w:rPr>
        <w:t>Central Asia covers an area of 400 million hectares, however, only 20% of that is suitable for farming while the rest is</w:t>
      </w:r>
      <w:r w:rsidR="00BB63FF">
        <w:rPr>
          <w:rFonts w:cstheme="minorHAnsi"/>
          <w:lang w:val="en-US"/>
        </w:rPr>
        <w:t xml:space="preserve"> composed of</w:t>
      </w:r>
      <w:r w:rsidRPr="00B339A5">
        <w:rPr>
          <w:rFonts w:cstheme="minorHAnsi"/>
          <w:lang w:val="en-US"/>
        </w:rPr>
        <w:t xml:space="preserve"> deserts and mountainous areas. Nevertheless, agricultural production </w:t>
      </w:r>
      <w:r>
        <w:rPr>
          <w:rFonts w:cstheme="minorHAnsi"/>
          <w:lang w:val="en-US"/>
        </w:rPr>
        <w:t xml:space="preserve">in this 20% area </w:t>
      </w:r>
      <w:r w:rsidRPr="00B339A5">
        <w:rPr>
          <w:rFonts w:cstheme="minorHAnsi"/>
          <w:lang w:val="en-US"/>
        </w:rPr>
        <w:t xml:space="preserve">forms the backbone of Central Asian economies. Agriculture is the main source of export for these countries except </w:t>
      </w:r>
      <w:r w:rsidR="00F343DA">
        <w:rPr>
          <w:rFonts w:cstheme="minorHAnsi"/>
          <w:lang w:val="en-US"/>
        </w:rPr>
        <w:t xml:space="preserve">for </w:t>
      </w:r>
      <w:r w:rsidRPr="00B339A5">
        <w:rPr>
          <w:rFonts w:cstheme="minorHAnsi"/>
          <w:lang w:val="en-US"/>
        </w:rPr>
        <w:t xml:space="preserve">the </w:t>
      </w:r>
      <w:r>
        <w:rPr>
          <w:rFonts w:cstheme="minorHAnsi"/>
          <w:lang w:val="en-US"/>
        </w:rPr>
        <w:t>fossil-fuel-</w:t>
      </w:r>
      <w:r w:rsidRPr="00B339A5">
        <w:rPr>
          <w:rFonts w:cstheme="minorHAnsi"/>
          <w:lang w:val="en-US"/>
        </w:rPr>
        <w:t xml:space="preserve">rich Kazakhstan and Turkmenistan. The contribution of agriculture to GDP is lowest at 11% in Kazakhstan and highest at 38% in Kyrgyzstan </w:t>
      </w:r>
      <w:r w:rsidR="00E71FB7" w:rsidRPr="004E7800">
        <w:rPr>
          <w:rFonts w:cstheme="minorHAnsi"/>
        </w:rPr>
        <w:fldChar w:fldCharType="begin"/>
      </w:r>
      <w:r w:rsidRPr="00B339A5">
        <w:rPr>
          <w:rFonts w:cstheme="minorHAnsi"/>
          <w:lang w:val="en-US"/>
        </w:rPr>
        <w:instrText xml:space="preserve"> ADDIN EN.CITE &lt;EndNote&gt;&lt;Cite&gt;&lt;Author&gt;Bucknall&lt;/Author&gt;&lt;Year&gt;2003&lt;/Year&gt;&lt;RecNum&gt;121&lt;/RecNum&gt;&lt;DisplayText&gt;(Bucknall&lt;style face="italic"&gt; et al.&lt;/style&gt;, 2003)&lt;/DisplayText&gt;&lt;record&gt;&lt;rec-number&gt;121&lt;/rec-number&gt;&lt;foreign-keys&gt;&lt;key app="EN" db-id="0erxvrzsjv5szqefaesv09e4awxs2t5saw90"&gt;121&lt;/key&gt;&lt;/foreign-keys&gt;&lt;ref-type name="Report"&gt;27&lt;/ref-type&gt;&lt;contributors&gt;&lt;authors&gt;&lt;author&gt;Bucknall, L.&lt;/author&gt;&lt;author&gt;Klytchnikova, I.&lt;/author&gt;&lt;author&gt;Lampietti, J.&lt;/author&gt;&lt;author&gt;Lundell, M.&lt;/author&gt;&lt;author&gt;Scatasta, M.&lt;/author&gt;&lt;author&gt;Thurman, M.&lt;/author&gt;&lt;/authors&gt;&lt;/contributors&gt;&lt;titles&gt;&lt;title&gt;Social, Economic and Enviroment Considerations&lt;/title&gt;&lt;/titles&gt;&lt;dates&gt;&lt;year&gt;2003&lt;/year&gt;&lt;/dates&gt;&lt;publisher&gt;World Bank&lt;/publisher&gt;&lt;urls&gt;&lt;/urls&gt;&lt;/record&gt;&lt;/Cite&gt;&lt;/EndNote&gt;</w:instrText>
      </w:r>
      <w:r w:rsidR="00E71FB7" w:rsidRPr="004E7800">
        <w:rPr>
          <w:rFonts w:cstheme="minorHAnsi"/>
        </w:rPr>
        <w:fldChar w:fldCharType="separate"/>
      </w:r>
      <w:r w:rsidRPr="00B339A5">
        <w:rPr>
          <w:rFonts w:cstheme="minorHAnsi"/>
          <w:noProof/>
          <w:lang w:val="en-US"/>
        </w:rPr>
        <w:t>(</w:t>
      </w:r>
      <w:hyperlink w:anchor="_ENREF_8" w:tooltip="Bucknall, 2003 #121" w:history="1">
        <w:r w:rsidR="002C46A7" w:rsidRPr="00B339A5">
          <w:rPr>
            <w:rFonts w:cstheme="minorHAnsi"/>
            <w:noProof/>
            <w:lang w:val="en-US"/>
          </w:rPr>
          <w:t>Bucknall</w:t>
        </w:r>
        <w:r w:rsidR="002C46A7" w:rsidRPr="00B339A5">
          <w:rPr>
            <w:rFonts w:cstheme="minorHAnsi"/>
            <w:i/>
            <w:noProof/>
            <w:lang w:val="en-US"/>
          </w:rPr>
          <w:t xml:space="preserve"> et al.</w:t>
        </w:r>
        <w:r w:rsidR="002C46A7" w:rsidRPr="00B339A5">
          <w:rPr>
            <w:rFonts w:cstheme="minorHAnsi"/>
            <w:noProof/>
            <w:lang w:val="en-US"/>
          </w:rPr>
          <w:t>, 2003</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 xml:space="preserve">. Cotton exports significantly contribute to the countries’ revenues. For instance, cotton fiber exports accounted for about 18% of the GDP 2004 in Uzbekistan </w:t>
      </w:r>
      <w:r w:rsidR="00E71FB7" w:rsidRPr="004E7800">
        <w:rPr>
          <w:rFonts w:cstheme="minorHAnsi"/>
        </w:rPr>
        <w:fldChar w:fldCharType="begin"/>
      </w:r>
      <w:r w:rsidRPr="00B339A5">
        <w:rPr>
          <w:rFonts w:cstheme="minorHAnsi"/>
          <w:lang w:val="en-US"/>
        </w:rPr>
        <w:instrText xml:space="preserve"> ADDIN EN.CITE &lt;EndNote&gt;&lt;Cite&gt;&lt;Author&gt;CEEP&lt;/Author&gt;&lt;Year&gt;2005&lt;/Year&gt;&lt;RecNum&gt;122&lt;/RecNum&gt;&lt;DisplayText&gt;(CEEP, 2005)&lt;/DisplayText&gt;&lt;record&gt;&lt;rec-number&gt;122&lt;/rec-number&gt;&lt;foreign-keys&gt;&lt;key app="EN" db-id="0erxvrzsjv5szqefaesv09e4awxs2t5saw90"&gt;122&lt;/key&gt;&lt;/foreign-keys&gt;&lt;ref-type name="Report"&gt;27&lt;/ref-type&gt;&lt;contributors&gt;&lt;authors&gt;&lt;author&gt;CEEP&lt;/author&gt;&lt;/authors&gt;&lt;/contributors&gt;&lt;titles&gt;&lt;title&gt;Uzbekistan Economy.  Statistical and Analytical Review for the year 2004&lt;/title&gt;&lt;/titles&gt;&lt;volume&gt;Report No. 8 &lt;/volume&gt;&lt;dates&gt;&lt;year&gt;2005&lt;/year&gt;&lt;pub-dates&gt;&lt;date&gt;March 2005&lt;/date&gt;&lt;/pub-dates&gt;&lt;/dates&gt;&lt;pub-location&gt;Tashkent&lt;/pub-location&gt;&lt;publisher&gt;Centre for Effective Economic Policy with the assistance from USAID and EuropeAID&lt;/publisher&gt;&lt;urls&gt;&lt;/urls&gt;&lt;/record&gt;&lt;/Cite&gt;&lt;/EndNote&gt;</w:instrText>
      </w:r>
      <w:r w:rsidR="00E71FB7" w:rsidRPr="004E7800">
        <w:rPr>
          <w:rFonts w:cstheme="minorHAnsi"/>
        </w:rPr>
        <w:fldChar w:fldCharType="separate"/>
      </w:r>
      <w:r w:rsidRPr="00B339A5">
        <w:rPr>
          <w:rFonts w:cstheme="minorHAnsi"/>
          <w:noProof/>
          <w:lang w:val="en-US"/>
        </w:rPr>
        <w:t>(</w:t>
      </w:r>
      <w:hyperlink w:anchor="_ENREF_10" w:tooltip="CEEP, 2005 #122" w:history="1">
        <w:r w:rsidR="002C46A7" w:rsidRPr="00B339A5">
          <w:rPr>
            <w:rFonts w:cstheme="minorHAnsi"/>
            <w:noProof/>
            <w:lang w:val="en-US"/>
          </w:rPr>
          <w:t>CEEP, 2005</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w:t>
      </w:r>
    </w:p>
    <w:p w:rsidR="001724BE" w:rsidRDefault="001724BE" w:rsidP="00104719">
      <w:pPr>
        <w:spacing w:line="360" w:lineRule="auto"/>
        <w:jc w:val="both"/>
        <w:rPr>
          <w:lang w:val="en-US"/>
        </w:rPr>
      </w:pPr>
      <w:r w:rsidRPr="00CF45F5">
        <w:rPr>
          <w:lang w:val="en-US"/>
        </w:rPr>
        <w:t xml:space="preserve">Agricultural production and commodity exchange between </w:t>
      </w:r>
      <w:r>
        <w:rPr>
          <w:lang w:val="en-US"/>
        </w:rPr>
        <w:t xml:space="preserve">CA </w:t>
      </w:r>
      <w:r w:rsidRPr="00CF45F5">
        <w:rPr>
          <w:lang w:val="en-US"/>
        </w:rPr>
        <w:t>countries w</w:t>
      </w:r>
      <w:r>
        <w:rPr>
          <w:lang w:val="en-US"/>
        </w:rPr>
        <w:t xml:space="preserve">ere </w:t>
      </w:r>
      <w:r w:rsidRPr="00CF45F5">
        <w:rPr>
          <w:lang w:val="en-US"/>
        </w:rPr>
        <w:t xml:space="preserve">implemented according to the plans established by </w:t>
      </w:r>
      <w:r>
        <w:rPr>
          <w:lang w:val="en-US"/>
        </w:rPr>
        <w:t xml:space="preserve">the </w:t>
      </w:r>
      <w:r w:rsidRPr="00CF45F5">
        <w:rPr>
          <w:lang w:val="en-US"/>
        </w:rPr>
        <w:t xml:space="preserve">Soviet Government </w:t>
      </w:r>
      <w:r>
        <w:rPr>
          <w:lang w:val="en-US"/>
        </w:rPr>
        <w:t>during the Former Soviet Union (FSU) period</w:t>
      </w:r>
      <w:r w:rsidRPr="00CF45F5">
        <w:rPr>
          <w:lang w:val="en-US"/>
        </w:rPr>
        <w:t xml:space="preserve">. </w:t>
      </w:r>
      <w:r w:rsidR="00D62EC6" w:rsidRPr="00D62EC6">
        <w:rPr>
          <w:lang w:val="en-US"/>
        </w:rPr>
        <w:t xml:space="preserve">The </w:t>
      </w:r>
      <w:r w:rsidR="00D62EC6">
        <w:rPr>
          <w:lang w:val="en-US"/>
        </w:rPr>
        <w:t xml:space="preserve">specialization </w:t>
      </w:r>
      <w:r w:rsidRPr="00CF45F5">
        <w:rPr>
          <w:lang w:val="en-US"/>
        </w:rPr>
        <w:t>was mainly identified according to the comparative advantages of FSU states in production of certain crops</w:t>
      </w:r>
      <w:r>
        <w:rPr>
          <w:lang w:val="en-US"/>
        </w:rPr>
        <w:t xml:space="preserve"> </w:t>
      </w:r>
      <w:r w:rsidR="00E71FB7" w:rsidRPr="00CF45F5">
        <w:rPr>
          <w:lang w:val="en-US"/>
        </w:rPr>
        <w:fldChar w:fldCharType="begin"/>
      </w:r>
      <w:r>
        <w:rPr>
          <w:lang w:val="en-US"/>
        </w:rPr>
        <w:instrText xml:space="preserve"> ADDIN EN.CITE &lt;EndNote&gt;&lt;Cite&gt;&lt;Author&gt;Davis&lt;/Author&gt;&lt;Year&gt;1997&lt;/Year&gt;&lt;RecNum&gt;50&lt;/RecNum&gt;&lt;DisplayText&gt;(Davis, 1997)&lt;/DisplayText&gt;&lt;record&gt;&lt;rec-number&gt;50&lt;/rec-number&gt;&lt;foreign-keys&gt;&lt;key app="EN" db-id="0erxvrzsjv5szqefaesv09e4awxs2t5saw90"&gt;50&lt;/key&gt;&lt;/foreign-keys&gt;&lt;ref-type name="Journal Article"&gt;17&lt;/ref-type&gt;&lt;contributors&gt;&lt;authors&gt;&lt;author&gt;Davis, Junior R.&lt;/author&gt;&lt;/authors&gt;&lt;/contributors&gt;&lt;titles&gt;&lt;title&gt;The creation of an agricultural free trade area in the CIS: arguments against following the CAP model&lt;/title&gt;&lt;secondary-title&gt;Food Policy&lt;/secondary-title&gt;&lt;/titles&gt;&lt;periodical&gt;&lt;full-title&gt;Food Policy&lt;/full-title&gt;&lt;/periodical&gt;&lt;pages&gt;11-16&lt;/pages&gt;&lt;volume&gt;22&lt;/volume&gt;&lt;number&gt;1&lt;/number&gt;&lt;keywords&gt;&lt;keyword&gt;agricultural free trade areas&lt;/keyword&gt;&lt;keyword&gt;economic integration&lt;/keyword&gt;&lt;/keywords&gt;&lt;dates&gt;&lt;year&gt;1997&lt;/year&gt;&lt;pub-dates&gt;&lt;date&gt;2//&lt;/date&gt;&lt;/pub-dates&gt;&lt;/dates&gt;&lt;isbn&gt;0306-9192&lt;/isbn&gt;&lt;urls&gt;&lt;related-urls&gt;&lt;url&gt;http://www.sciencedirect.com/science/article/pii/S0306919296000280&lt;/url&gt;&lt;/related-urls&gt;&lt;/urls&gt;&lt;electronic-resource-num&gt;http://dx.doi.org/10.1016/S0306-9192(96)00028-0&lt;/electronic-resource-num&gt;&lt;/record&gt;&lt;/Cite&gt;&lt;/EndNote&gt;</w:instrText>
      </w:r>
      <w:r w:rsidR="00E71FB7" w:rsidRPr="00CF45F5">
        <w:rPr>
          <w:lang w:val="en-US"/>
        </w:rPr>
        <w:fldChar w:fldCharType="separate"/>
      </w:r>
      <w:r>
        <w:rPr>
          <w:noProof/>
          <w:lang w:val="en-US"/>
        </w:rPr>
        <w:t>(</w:t>
      </w:r>
      <w:hyperlink w:anchor="_ENREF_14" w:tooltip="Davis, 1997 #50" w:history="1">
        <w:r w:rsidR="002C46A7">
          <w:rPr>
            <w:noProof/>
            <w:lang w:val="en-US"/>
          </w:rPr>
          <w:t>Davis, 1997</w:t>
        </w:r>
      </w:hyperlink>
      <w:r>
        <w:rPr>
          <w:noProof/>
          <w:lang w:val="en-US"/>
        </w:rPr>
        <w:t>)</w:t>
      </w:r>
      <w:r w:rsidR="00E71FB7" w:rsidRPr="00CF45F5">
        <w:rPr>
          <w:lang w:val="en-US"/>
        </w:rPr>
        <w:fldChar w:fldCharType="end"/>
      </w:r>
      <w:r w:rsidRPr="00CF45F5">
        <w:rPr>
          <w:lang w:val="en-US"/>
        </w:rPr>
        <w:t>. Wheat production was the main agricultural activity in Northern Kazakhstan, Ukraine and Russia.</w:t>
      </w:r>
      <w:r>
        <w:rPr>
          <w:lang w:val="en-US"/>
        </w:rPr>
        <w:t xml:space="preserve"> </w:t>
      </w:r>
      <w:r w:rsidRPr="00CF45F5">
        <w:rPr>
          <w:lang w:val="en-US"/>
        </w:rPr>
        <w:t xml:space="preserve">Cotton was considered as the </w:t>
      </w:r>
      <w:r w:rsidR="00557C25">
        <w:rPr>
          <w:lang w:val="en-US"/>
        </w:rPr>
        <w:t>most</w:t>
      </w:r>
      <w:r w:rsidR="00557C25" w:rsidRPr="00CF45F5">
        <w:rPr>
          <w:lang w:val="en-US"/>
        </w:rPr>
        <w:t xml:space="preserve"> </w:t>
      </w:r>
      <w:r w:rsidRPr="00CF45F5">
        <w:rPr>
          <w:lang w:val="en-US"/>
        </w:rPr>
        <w:t xml:space="preserve">suitable crop for irrigated lowlands in </w:t>
      </w:r>
      <w:r>
        <w:rPr>
          <w:lang w:val="en-US"/>
        </w:rPr>
        <w:t>C</w:t>
      </w:r>
      <w:r w:rsidRPr="00CF45F5">
        <w:rPr>
          <w:lang w:val="en-US"/>
        </w:rPr>
        <w:t xml:space="preserve">A complimented by fruit, vegetable and fodder production. Wheat demand of CA counties was mainly fulfilled by transporting wheat from </w:t>
      </w:r>
      <w:r>
        <w:rPr>
          <w:lang w:val="en-US"/>
        </w:rPr>
        <w:t>Russia, Ukraine and Kazakhstan (</w:t>
      </w:r>
      <w:r w:rsidRPr="00CF45F5">
        <w:rPr>
          <w:lang w:val="en-US"/>
        </w:rPr>
        <w:t>RUK</w:t>
      </w:r>
      <w:r>
        <w:rPr>
          <w:lang w:val="en-US"/>
        </w:rPr>
        <w:t>)</w:t>
      </w:r>
      <w:r w:rsidRPr="00CF45F5">
        <w:rPr>
          <w:lang w:val="en-US"/>
        </w:rPr>
        <w:t xml:space="preserve"> and produced cotton in CA also taken to the textile centers in east European states of </w:t>
      </w:r>
      <w:r>
        <w:rPr>
          <w:lang w:val="en-US"/>
        </w:rPr>
        <w:t>F</w:t>
      </w:r>
      <w:r w:rsidRPr="00CF45F5">
        <w:rPr>
          <w:lang w:val="en-US"/>
        </w:rPr>
        <w:t xml:space="preserve">SU. </w:t>
      </w:r>
    </w:p>
    <w:p w:rsidR="001724BE" w:rsidRPr="00CF45F5" w:rsidRDefault="001724BE" w:rsidP="00104719">
      <w:pPr>
        <w:autoSpaceDE w:val="0"/>
        <w:autoSpaceDN w:val="0"/>
        <w:adjustRightInd w:val="0"/>
        <w:spacing w:line="360" w:lineRule="auto"/>
        <w:jc w:val="both"/>
        <w:rPr>
          <w:lang w:val="en-US"/>
        </w:rPr>
      </w:pPr>
      <w:r w:rsidRPr="00CF45F5">
        <w:rPr>
          <w:lang w:val="en-US"/>
        </w:rPr>
        <w:t xml:space="preserve">Production was carried out by large scale collective farms known as </w:t>
      </w:r>
      <w:proofErr w:type="spellStart"/>
      <w:r w:rsidRPr="00972864">
        <w:rPr>
          <w:lang w:val="en-US"/>
        </w:rPr>
        <w:t>sovkhoze</w:t>
      </w:r>
      <w:r w:rsidRPr="00CF45F5">
        <w:rPr>
          <w:lang w:val="en-US"/>
        </w:rPr>
        <w:t>s</w:t>
      </w:r>
      <w:proofErr w:type="spellEnd"/>
      <w:r w:rsidRPr="00CF45F5">
        <w:rPr>
          <w:lang w:val="en-US"/>
        </w:rPr>
        <w:t xml:space="preserve"> and </w:t>
      </w:r>
      <w:r w:rsidRPr="00972864">
        <w:rPr>
          <w:lang w:val="en-US"/>
        </w:rPr>
        <w:t>kolkhoze</w:t>
      </w:r>
      <w:r w:rsidRPr="00CF45F5">
        <w:rPr>
          <w:lang w:val="en-US"/>
        </w:rPr>
        <w:t>s (Djanibekov et al., 2012)</w:t>
      </w:r>
      <w:r>
        <w:rPr>
          <w:lang w:val="en-US"/>
        </w:rPr>
        <w:t xml:space="preserve"> </w:t>
      </w:r>
      <w:r w:rsidRPr="00CF45F5">
        <w:rPr>
          <w:lang w:val="en-US"/>
        </w:rPr>
        <w:t xml:space="preserve">and farms were not involved in </w:t>
      </w:r>
      <w:r>
        <w:rPr>
          <w:lang w:val="en-US"/>
        </w:rPr>
        <w:t>marketing activities. A</w:t>
      </w:r>
      <w:r w:rsidRPr="00CF45F5">
        <w:rPr>
          <w:lang w:val="en-US"/>
        </w:rPr>
        <w:t>gricultural trade was mainly carried out by specialized state trade companies. Furthermore agricultural trade outside the FSU was implemented by specialized state organization</w:t>
      </w:r>
      <w:r>
        <w:rPr>
          <w:lang w:val="en-US"/>
        </w:rPr>
        <w:t>s</w:t>
      </w:r>
      <w:r w:rsidRPr="00CF45F5">
        <w:rPr>
          <w:lang w:val="en-US"/>
        </w:rPr>
        <w:t xml:space="preserve"> which exported products under the instructions of </w:t>
      </w:r>
      <w:r>
        <w:rPr>
          <w:lang w:val="en-US"/>
        </w:rPr>
        <w:t xml:space="preserve">soviet government </w:t>
      </w:r>
      <w:r w:rsidRPr="00CF45F5">
        <w:rPr>
          <w:lang w:val="en-US"/>
        </w:rPr>
        <w:t xml:space="preserve">in Moscow. </w:t>
      </w:r>
      <w:proofErr w:type="spellStart"/>
      <w:r w:rsidRPr="00972864">
        <w:rPr>
          <w:lang w:val="en-US"/>
        </w:rPr>
        <w:t>Exportkhleb</w:t>
      </w:r>
      <w:proofErr w:type="spellEnd"/>
      <w:r w:rsidRPr="00972864">
        <w:rPr>
          <w:lang w:val="en-US"/>
        </w:rPr>
        <w:t xml:space="preserve"> (Bread Export), </w:t>
      </w:r>
      <w:proofErr w:type="spellStart"/>
      <w:r w:rsidRPr="00972864">
        <w:rPr>
          <w:lang w:val="en-US"/>
        </w:rPr>
        <w:t>Soyuzplodimport</w:t>
      </w:r>
      <w:proofErr w:type="spellEnd"/>
      <w:r w:rsidRPr="00972864">
        <w:rPr>
          <w:lang w:val="en-US"/>
        </w:rPr>
        <w:t xml:space="preserve"> (Fruit Import Union) were the main export and import organizations involved in the external trade. </w:t>
      </w:r>
      <w:r w:rsidRPr="00CF45F5">
        <w:rPr>
          <w:lang w:val="en-US"/>
        </w:rPr>
        <w:t>All export and import decision were mainly organized top</w:t>
      </w:r>
      <w:r w:rsidR="00557C25">
        <w:rPr>
          <w:lang w:val="en-US"/>
        </w:rPr>
        <w:t>-</w:t>
      </w:r>
      <w:r w:rsidRPr="00CF45F5">
        <w:rPr>
          <w:lang w:val="en-US"/>
        </w:rPr>
        <w:t xml:space="preserve">down </w:t>
      </w:r>
      <w:r>
        <w:rPr>
          <w:lang w:val="en-US"/>
        </w:rPr>
        <w:t xml:space="preserve">by Ministry for Foreign Trade </w:t>
      </w:r>
      <w:r w:rsidRPr="00CF45F5">
        <w:rPr>
          <w:lang w:val="en-US"/>
        </w:rPr>
        <w:t xml:space="preserve">and countries did not have any involvement beyond the delivering (or receiving) the agricultural products to specialized storage houses. </w:t>
      </w:r>
    </w:p>
    <w:p w:rsidR="001724BE" w:rsidRDefault="001724BE" w:rsidP="00104719">
      <w:pPr>
        <w:spacing w:line="360" w:lineRule="auto"/>
        <w:jc w:val="both"/>
        <w:rPr>
          <w:lang w:val="en-US"/>
        </w:rPr>
      </w:pPr>
      <w:r w:rsidRPr="00CF45F5">
        <w:rPr>
          <w:lang w:val="en-US"/>
        </w:rPr>
        <w:t>Having similar background</w:t>
      </w:r>
      <w:r w:rsidR="00D27EE8">
        <w:rPr>
          <w:lang w:val="en-US"/>
        </w:rPr>
        <w:t>s</w:t>
      </w:r>
      <w:r w:rsidRPr="00CF45F5">
        <w:rPr>
          <w:lang w:val="en-US"/>
        </w:rPr>
        <w:t xml:space="preserve"> in terms of organization of agricultural production, centrally planned import and export activities, </w:t>
      </w:r>
      <w:r>
        <w:rPr>
          <w:lang w:val="en-US"/>
        </w:rPr>
        <w:t xml:space="preserve">independent states </w:t>
      </w:r>
      <w:r w:rsidRPr="00CF45F5">
        <w:rPr>
          <w:lang w:val="en-US"/>
        </w:rPr>
        <w:t xml:space="preserve">have chosen different approaches in agricultural policies </w:t>
      </w:r>
      <w:r w:rsidR="00E71FB7" w:rsidRPr="00CF45F5">
        <w:rPr>
          <w:lang w:val="en-US"/>
        </w:rPr>
        <w:fldChar w:fldCharType="begin">
          <w:fldData xml:space="preserve">PEVuZE5vdGU+PENpdGU+PEF1dGhvcj5MZXJtYW48L0F1dGhvcj48WWVhcj4yMDAxPC9ZZWFyPjxS
ZWNOdW0+NDU8L1JlY051bT48RGlzcGxheVRleHQ+KExlcm1hbiwgMjAwMSwgMjAwOSk8L0Rpc3Bs
YXlUZXh0PjxyZWNvcmQ+PHJlYy1udW1iZXI+NDU8L3JlYy1udW1iZXI+PGZvcmVpZ24ta2V5cz48
a2V5IGFwcD0iRU4iIGRiLWlkPSIwZXJ4dnJ6c2p2NXN6cWVmYWVzdjA5ZTRhd3hzMnQ1c2F3OTAi
PjQ1PC9rZXk+PC9mb3JlaWduLWtleXM+PHJlZi10eXBlIG5hbWU9IkpvdXJuYWwgQXJ0aWNsZSI+
MTc8L3JlZi10eXBlPjxjb250cmlidXRvcnM+PGF1dGhvcnM+PGF1dGhvcj5MZXJtYW4sIFp2aTwv
YXV0aG9yPjwvYXV0aG9ycz48L2NvbnRyaWJ1dG9ycz48dGl0bGVzPjx0aXRsZT5BZ3JpY3VsdHVy
ZSBpbiB0cmFuc2l0aW9uIGVjb25vbWllczogZnJvbSBjb21tb24gaGVyaXRhZ2UgdG8gZGl2ZXJn
ZW5jZTwvdGl0bGU+PHNlY29uZGFyeS10aXRsZT5BZ3JpY3VsdHVyYWwgRWNvbm9taWNzPC9zZWNv
bmRhcnktdGl0bGU+PC90aXRsZXM+PHBlcmlvZGljYWw+PGZ1bGwtdGl0bGU+QWdyaWN1bHR1cmFs
IEVjb25vbWljczwvZnVsbC10aXRsZT48L3BlcmlvZGljYWw+PHBhZ2VzPjk1LTExNDwvcGFnZXM+
PHZvbHVtZT4yNjwvdm9sdW1lPjxudW1iZXI+MjwvbnVtYmVyPjxrZXl3b3Jkcz48a2V5d29yZD5U
cmFuc2l0aW9uIGVjb25vbWllczwva2V5d29yZD48a2V5d29yZD5BZ3JpY3VsdHVyYWwgdHJhbnNp
dGlvbjwva2V5d29yZD48a2V5d29yZD5MYW5kIHJlZm9ybTwva2V5d29yZD48a2V5d29yZD5GYXJt
IHJlc3RydWN0dXJpbmc8L2tleXdvcmQ+PGtleXdvcmQ+UHJpdmF0aXphdGlvbiBvZiBsYW5kPC9r
ZXl3b3JkPjxrZXl3b3JkPkxhbmQgbWFya2V0PC9rZXl3b3JkPjxrZXl3b3JkPkVjb25vbWljIGdy
b3d0aDwva2V5d29yZD48L2tleXdvcmRzPjxkYXRlcz48eWVhcj4yMDAxPC95ZWFyPjwvZGF0ZXM+
PHB1Ymxpc2hlcj5CbGFja3dlbGwgUHVibGlzaGluZyBMdGQ8L3B1Ymxpc2hlcj48aXNibj4xNTc0
LTA4NjI8L2lzYm4+PHVybHM+PHJlbGF0ZWQtdXJscz48dXJsPmh0dHA6Ly9keC5kb2kub3JnLzEw
LjExMTEvai4xNTc0LTA4NjIuMjAwMS50YjAwMDU3Lng8L3VybD48L3JlbGF0ZWQtdXJscz48L3Vy
bHM+PGVsZWN0cm9uaWMtcmVzb3VyY2UtbnVtPjEwLjExMTEvai4xNTc0LTA4NjIuMjAwMS50YjAw
MDU3Lng8L2VsZWN0cm9uaWMtcmVzb3VyY2UtbnVtPjwvcmVjb3JkPjwvQ2l0ZT48Q2l0ZT48QXV0
aG9yPkxlcm1hbjwvQXV0aG9yPjxZZWFyPjIwMDk8L1llYXI+PFJlY051bT40NjwvUmVjTnVtPjxy
ZWNvcmQ+PHJlYy1udW1iZXI+NDY8L3JlYy1udW1iZXI+PGZvcmVpZ24ta2V5cz48a2V5IGFwcD0i
RU4iIGRiLWlkPSIwZXJ4dnJ6c2p2NXN6cWVmYWVzdjA5ZTRhd3hzMnQ1c2F3OTAiPjQ2PC9rZXk+
PC9mb3JlaWduLWtleXM+PHJlZi10eXBlIG5hbWU9IkpvdXJuYWwgQXJ0aWNsZSI+MTc8L3JlZi10
eXBlPjxjb250cmlidXRvcnM+PGF1dGhvcnM+PGF1dGhvcj5MZXJtYW4sIFp2aTwvYXV0aG9yPjwv
YXV0aG9ycz48L2NvbnRyaWJ1dG9ycz48dGl0bGVzPjx0aXRsZT5MYW5kIHJlZm9ybSwgZmFybSBz
dHJ1Y3R1cmUsIGFuZCBhZ3JpY3VsdHVyYWwgcGVyZm9ybWFuY2UgaW4gQ0lTIGNvdW50cmllczwv
dGl0bGU+PHNlY29uZGFyeS10aXRsZT5DaGluYSBFY29ub21pYyBSZXZpZXc8L3NlY29uZGFyeS10
aXRsZT48L3RpdGxlcz48cGVyaW9kaWNhbD48ZnVsbC10aXRsZT5DaGluYSBFY29ub21pYyBSZXZp
ZXc8L2Z1bGwtdGl0bGU+PC9wZXJpb2RpY2FsPjxwYWdlcz4zMTYtMzI2PC9wYWdlcz48dm9sdW1l
PjIwPC92b2x1bWU+PG51bWJlcj4yPC9udW1iZXI+PGtleXdvcmRzPjxrZXl3b3JkPkxhbmQgcmVm
b3JtPC9rZXl3b3JkPjxrZXl3b3JkPlRyYW5zaXRpb24gZWNvbm9teTwva2V5d29yZD48a2V5d29y
ZD5DSVM8L2tleXdvcmQ+PC9rZXl3b3Jkcz48ZGF0ZXM+PHllYXI+MjAwOTwveWVhcj48cHViLWRh
dGVzPjxkYXRlPjYvLzwvZGF0ZT48L3B1Yi1kYXRlcz48L2RhdGVzPjxpc2JuPjEwNDMtOTUxWDwv
aXNibj48dXJscz48cmVsYXRlZC11cmxzPjx1cmw+aHR0cDovL3d3dy5zY2llbmNlZGlyZWN0LmNv
bS9zY2llbmNlL2FydGljbGUvcGlpL1MxMDQzOTUxWDA4MDAwNzcxPC91cmw+PC9yZWxhdGVkLXVy
bHM+PC91cmxzPjxlbGVjdHJvbmljLXJlc291cmNlLW51bT5odHRwOi8vZHguZG9pLm9yZy8xMC4x
MDE2L2ouY2hpZWNvLjIwMDguMTAuMDA3PC9lbGVjdHJvbmljLXJlc291cmNlLW51bT48L3JlY29y
ZD48L0NpdGU+PC9FbmROb3RlPgB=
</w:fldData>
        </w:fldChar>
      </w:r>
      <w:r>
        <w:rPr>
          <w:lang w:val="en-US"/>
        </w:rPr>
        <w:instrText xml:space="preserve"> ADDIN EN.CITE </w:instrText>
      </w:r>
      <w:r w:rsidR="00E71FB7">
        <w:rPr>
          <w:lang w:val="en-US"/>
        </w:rPr>
        <w:fldChar w:fldCharType="begin">
          <w:fldData xml:space="preserve">PEVuZE5vdGU+PENpdGU+PEF1dGhvcj5MZXJtYW48L0F1dGhvcj48WWVhcj4yMDAxPC9ZZWFyPjxS
ZWNOdW0+NDU8L1JlY051bT48RGlzcGxheVRleHQ+KExlcm1hbiwgMjAwMSwgMjAwOSk8L0Rpc3Bs
YXlUZXh0PjxyZWNvcmQ+PHJlYy1udW1iZXI+NDU8L3JlYy1udW1iZXI+PGZvcmVpZ24ta2V5cz48
a2V5IGFwcD0iRU4iIGRiLWlkPSIwZXJ4dnJ6c2p2NXN6cWVmYWVzdjA5ZTRhd3hzMnQ1c2F3OTAi
PjQ1PC9rZXk+PC9mb3JlaWduLWtleXM+PHJlZi10eXBlIG5hbWU9IkpvdXJuYWwgQXJ0aWNsZSI+
MTc8L3JlZi10eXBlPjxjb250cmlidXRvcnM+PGF1dGhvcnM+PGF1dGhvcj5MZXJtYW4sIFp2aTwv
YXV0aG9yPjwvYXV0aG9ycz48L2NvbnRyaWJ1dG9ycz48dGl0bGVzPjx0aXRsZT5BZ3JpY3VsdHVy
ZSBpbiB0cmFuc2l0aW9uIGVjb25vbWllczogZnJvbSBjb21tb24gaGVyaXRhZ2UgdG8gZGl2ZXJn
ZW5jZTwvdGl0bGU+PHNlY29uZGFyeS10aXRsZT5BZ3JpY3VsdHVyYWwgRWNvbm9taWNzPC9zZWNv
bmRhcnktdGl0bGU+PC90aXRsZXM+PHBlcmlvZGljYWw+PGZ1bGwtdGl0bGU+QWdyaWN1bHR1cmFs
IEVjb25vbWljczwvZnVsbC10aXRsZT48L3BlcmlvZGljYWw+PHBhZ2VzPjk1LTExNDwvcGFnZXM+
PHZvbHVtZT4yNjwvdm9sdW1lPjxudW1iZXI+MjwvbnVtYmVyPjxrZXl3b3Jkcz48a2V5d29yZD5U
cmFuc2l0aW9uIGVjb25vbWllczwva2V5d29yZD48a2V5d29yZD5BZ3JpY3VsdHVyYWwgdHJhbnNp
dGlvbjwva2V5d29yZD48a2V5d29yZD5MYW5kIHJlZm9ybTwva2V5d29yZD48a2V5d29yZD5GYXJt
IHJlc3RydWN0dXJpbmc8L2tleXdvcmQ+PGtleXdvcmQ+UHJpdmF0aXphdGlvbiBvZiBsYW5kPC9r
ZXl3b3JkPjxrZXl3b3JkPkxhbmQgbWFya2V0PC9rZXl3b3JkPjxrZXl3b3JkPkVjb25vbWljIGdy
b3d0aDwva2V5d29yZD48L2tleXdvcmRzPjxkYXRlcz48eWVhcj4yMDAxPC95ZWFyPjwvZGF0ZXM+
PHB1Ymxpc2hlcj5CbGFja3dlbGwgUHVibGlzaGluZyBMdGQ8L3B1Ymxpc2hlcj48aXNibj4xNTc0
LTA4NjI8L2lzYm4+PHVybHM+PHJlbGF0ZWQtdXJscz48dXJsPmh0dHA6Ly9keC5kb2kub3JnLzEw
LjExMTEvai4xNTc0LTA4NjIuMjAwMS50YjAwMDU3Lng8L3VybD48L3JlbGF0ZWQtdXJscz48L3Vy
bHM+PGVsZWN0cm9uaWMtcmVzb3VyY2UtbnVtPjEwLjExMTEvai4xNTc0LTA4NjIuMjAwMS50YjAw
MDU3Lng8L2VsZWN0cm9uaWMtcmVzb3VyY2UtbnVtPjwvcmVjb3JkPjwvQ2l0ZT48Q2l0ZT48QXV0
aG9yPkxlcm1hbjwvQXV0aG9yPjxZZWFyPjIwMDk8L1llYXI+PFJlY051bT40NjwvUmVjTnVtPjxy
ZWNvcmQ+PHJlYy1udW1iZXI+NDY8L3JlYy1udW1iZXI+PGZvcmVpZ24ta2V5cz48a2V5IGFwcD0i
RU4iIGRiLWlkPSIwZXJ4dnJ6c2p2NXN6cWVmYWVzdjA5ZTRhd3hzMnQ1c2F3OTAiPjQ2PC9rZXk+
PC9mb3JlaWduLWtleXM+PHJlZi10eXBlIG5hbWU9IkpvdXJuYWwgQXJ0aWNsZSI+MTc8L3JlZi10
eXBlPjxjb250cmlidXRvcnM+PGF1dGhvcnM+PGF1dGhvcj5MZXJtYW4sIFp2aTwvYXV0aG9yPjwv
YXV0aG9ycz48L2NvbnRyaWJ1dG9ycz48dGl0bGVzPjx0aXRsZT5MYW5kIHJlZm9ybSwgZmFybSBz
dHJ1Y3R1cmUsIGFuZCBhZ3JpY3VsdHVyYWwgcGVyZm9ybWFuY2UgaW4gQ0lTIGNvdW50cmllczwv
dGl0bGU+PHNlY29uZGFyeS10aXRsZT5DaGluYSBFY29ub21pYyBSZXZpZXc8L3NlY29uZGFyeS10
aXRsZT48L3RpdGxlcz48cGVyaW9kaWNhbD48ZnVsbC10aXRsZT5DaGluYSBFY29ub21pYyBSZXZp
ZXc8L2Z1bGwtdGl0bGU+PC9wZXJpb2RpY2FsPjxwYWdlcz4zMTYtMzI2PC9wYWdlcz48dm9sdW1l
PjIwPC92b2x1bWU+PG51bWJlcj4yPC9udW1iZXI+PGtleXdvcmRzPjxrZXl3b3JkPkxhbmQgcmVm
b3JtPC9rZXl3b3JkPjxrZXl3b3JkPlRyYW5zaXRpb24gZWNvbm9teTwva2V5d29yZD48a2V5d29y
ZD5DSVM8L2tleXdvcmQ+PC9rZXl3b3Jkcz48ZGF0ZXM+PHllYXI+MjAwOTwveWVhcj48cHViLWRh
dGVzPjxkYXRlPjYvLzwvZGF0ZT48L3B1Yi1kYXRlcz48L2RhdGVzPjxpc2JuPjEwNDMtOTUxWDwv
aXNibj48dXJscz48cmVsYXRlZC11cmxzPjx1cmw+aHR0cDovL3d3dy5zY2llbmNlZGlyZWN0LmNv
bS9zY2llbmNlL2FydGljbGUvcGlpL1MxMDQzOTUxWDA4MDAwNzcxPC91cmw+PC9yZWxhdGVkLXVy
bHM+PC91cmxzPjxlbGVjdHJvbmljLXJlc291cmNlLW51bT5odHRwOi8vZHguZG9pLm9yZy8xMC4x
MDE2L2ouY2hpZWNvLjIwMDguMTAuMDA3PC9lbGVjdHJvbmljLXJlc291cmNlLW51bT48L3JlY29y
ZD48L0NpdGU+PC9FbmROb3RlPgB=
</w:fldData>
        </w:fldChar>
      </w:r>
      <w:r>
        <w:rPr>
          <w:lang w:val="en-US"/>
        </w:rPr>
        <w:instrText xml:space="preserve"> ADDIN EN.CITE.DATA </w:instrText>
      </w:r>
      <w:r w:rsidR="00E71FB7">
        <w:rPr>
          <w:lang w:val="en-US"/>
        </w:rPr>
      </w:r>
      <w:r w:rsidR="00E71FB7">
        <w:rPr>
          <w:lang w:val="en-US"/>
        </w:rPr>
        <w:fldChar w:fldCharType="end"/>
      </w:r>
      <w:r w:rsidR="00E71FB7" w:rsidRPr="00CF45F5">
        <w:rPr>
          <w:lang w:val="en-US"/>
        </w:rPr>
      </w:r>
      <w:r w:rsidR="00E71FB7" w:rsidRPr="00CF45F5">
        <w:rPr>
          <w:lang w:val="en-US"/>
        </w:rPr>
        <w:fldChar w:fldCharType="separate"/>
      </w:r>
      <w:r>
        <w:rPr>
          <w:lang w:val="en-US"/>
        </w:rPr>
        <w:t>(</w:t>
      </w:r>
      <w:hyperlink w:anchor="_ENREF_25" w:tooltip="Lerman, 2001 #45" w:history="1">
        <w:r w:rsidR="002C46A7">
          <w:rPr>
            <w:lang w:val="en-US"/>
          </w:rPr>
          <w:t>Lerman, 2001</w:t>
        </w:r>
      </w:hyperlink>
      <w:r>
        <w:rPr>
          <w:lang w:val="en-US"/>
        </w:rPr>
        <w:t xml:space="preserve">, </w:t>
      </w:r>
      <w:hyperlink w:anchor="_ENREF_26" w:tooltip="Lerman, 2009 #46" w:history="1">
        <w:r w:rsidR="002C46A7">
          <w:rPr>
            <w:lang w:val="en-US"/>
          </w:rPr>
          <w:t>2009</w:t>
        </w:r>
      </w:hyperlink>
      <w:r>
        <w:rPr>
          <w:lang w:val="en-US"/>
        </w:rPr>
        <w:t>)</w:t>
      </w:r>
      <w:r w:rsidR="00E71FB7" w:rsidRPr="00CF45F5">
        <w:rPr>
          <w:lang w:val="en-US"/>
        </w:rPr>
        <w:fldChar w:fldCharType="end"/>
      </w:r>
      <w:r>
        <w:rPr>
          <w:lang w:val="en-US"/>
        </w:rPr>
        <w:t xml:space="preserve">. The differentiation is also seen in </w:t>
      </w:r>
      <w:r w:rsidRPr="00CF45F5">
        <w:rPr>
          <w:lang w:val="en-US"/>
        </w:rPr>
        <w:t xml:space="preserve">their policies in trade with neighboring countries and world market. The main aspects causing the differences in trade policies may seem to be very obviously determined by the comparative advantages of these countries in producing certain crops, geographical location in terms of transport infrastructure as well as the </w:t>
      </w:r>
      <w:r w:rsidRPr="00CF45F5">
        <w:rPr>
          <w:lang w:val="en-US"/>
        </w:rPr>
        <w:lastRenderedPageBreak/>
        <w:t xml:space="preserve">importance of agricultural import and export in the country trade balances as the main economic grounds. </w:t>
      </w:r>
      <w:r>
        <w:rPr>
          <w:lang w:val="en-US"/>
        </w:rPr>
        <w:t xml:space="preserve">Uzbekistan and Turkmenistan </w:t>
      </w:r>
      <w:r w:rsidRPr="00CF45F5">
        <w:rPr>
          <w:lang w:val="en-US"/>
        </w:rPr>
        <w:t xml:space="preserve">boosted own wheat production </w:t>
      </w:r>
      <w:r>
        <w:rPr>
          <w:lang w:val="en-US"/>
        </w:rPr>
        <w:t>in order to achieve grain self-sufficiency after their independence but still maintained cotton production in high levels</w:t>
      </w:r>
      <w:r w:rsidRPr="00CF45F5">
        <w:rPr>
          <w:lang w:val="en-US"/>
        </w:rPr>
        <w:t>.</w:t>
      </w:r>
      <w:r w:rsidRPr="00FF1750">
        <w:rPr>
          <w:lang w:val="en-US"/>
        </w:rPr>
        <w:t xml:space="preserve"> </w:t>
      </w:r>
      <w:r>
        <w:rPr>
          <w:lang w:val="en-US"/>
        </w:rPr>
        <w:t>Tajikistan and Kyrgyzstan have</w:t>
      </w:r>
      <w:r w:rsidRPr="00CF45F5">
        <w:rPr>
          <w:lang w:val="en-US"/>
        </w:rPr>
        <w:t xml:space="preserve"> withdrawn their involvement in wheat production </w:t>
      </w:r>
      <w:r>
        <w:rPr>
          <w:lang w:val="en-US"/>
        </w:rPr>
        <w:t xml:space="preserve">and importing wheat from </w:t>
      </w:r>
      <w:r w:rsidRPr="00CF45F5">
        <w:rPr>
          <w:lang w:val="en-US"/>
        </w:rPr>
        <w:t>RUK</w:t>
      </w:r>
      <w:r>
        <w:rPr>
          <w:lang w:val="en-US"/>
        </w:rPr>
        <w:t xml:space="preserve">. Uzbekistan and Turkmenistan </w:t>
      </w:r>
      <w:r w:rsidRPr="00CF45F5">
        <w:rPr>
          <w:lang w:val="en-US"/>
        </w:rPr>
        <w:t xml:space="preserve">maintained </w:t>
      </w:r>
      <w:r>
        <w:rPr>
          <w:lang w:val="en-US"/>
        </w:rPr>
        <w:t xml:space="preserve">state </w:t>
      </w:r>
      <w:r w:rsidRPr="00CF45F5">
        <w:rPr>
          <w:lang w:val="en-US"/>
        </w:rPr>
        <w:t xml:space="preserve">involvement in wheat production </w:t>
      </w:r>
      <w:r>
        <w:rPr>
          <w:lang w:val="en-US"/>
        </w:rPr>
        <w:t>in irrigated areas against availability of cost effective high quality wheat from the neighbors. Th</w:t>
      </w:r>
      <w:r w:rsidR="0090294D">
        <w:rPr>
          <w:lang w:val="en-US"/>
        </w:rPr>
        <w:t>ese</w:t>
      </w:r>
      <w:r>
        <w:rPr>
          <w:lang w:val="en-US"/>
        </w:rPr>
        <w:t xml:space="preserve"> type of policies may be explained </w:t>
      </w:r>
      <w:r w:rsidR="001D64CF">
        <w:rPr>
          <w:lang w:val="en-US"/>
        </w:rPr>
        <w:t xml:space="preserve">by the </w:t>
      </w:r>
      <w:r>
        <w:rPr>
          <w:lang w:val="en-US"/>
        </w:rPr>
        <w:t>reduc</w:t>
      </w:r>
      <w:r w:rsidR="001D64CF">
        <w:rPr>
          <w:lang w:val="en-US"/>
        </w:rPr>
        <w:t xml:space="preserve">ed </w:t>
      </w:r>
      <w:r>
        <w:rPr>
          <w:lang w:val="en-US"/>
        </w:rPr>
        <w:t>uncertainty of cereal availability associated with production variation in RUK countries (e.g. export mans in RUK during the period 2006-2011) as well as uncertainties in the external relations between the countries (e.g. ethic and political disputes). These type</w:t>
      </w:r>
      <w:r w:rsidR="0090294D">
        <w:rPr>
          <w:lang w:val="en-US"/>
        </w:rPr>
        <w:t>s</w:t>
      </w:r>
      <w:r>
        <w:rPr>
          <w:lang w:val="en-US"/>
        </w:rPr>
        <w:t xml:space="preserve"> of uncertainties and trade constraints are not only relevant to the example of grain trade, but also relevant in case of agricultural trade in general. Political and ethnic disputes in the region are causing serious constraints to trade between the countries. Restrictions in commodity trade between the countries thus prevent farmers </w:t>
      </w:r>
      <w:r w:rsidR="0090294D">
        <w:rPr>
          <w:lang w:val="en-US"/>
        </w:rPr>
        <w:t xml:space="preserve">from </w:t>
      </w:r>
      <w:r>
        <w:rPr>
          <w:lang w:val="en-US"/>
        </w:rPr>
        <w:t>plant</w:t>
      </w:r>
      <w:r w:rsidR="0090294D">
        <w:rPr>
          <w:lang w:val="en-US"/>
        </w:rPr>
        <w:t>ing</w:t>
      </w:r>
      <w:r>
        <w:rPr>
          <w:lang w:val="en-US"/>
        </w:rPr>
        <w:t xml:space="preserve"> crops according to their comparative advantages and obtain</w:t>
      </w:r>
      <w:r w:rsidR="0090294D">
        <w:rPr>
          <w:lang w:val="en-US"/>
        </w:rPr>
        <w:t>ing</w:t>
      </w:r>
      <w:r>
        <w:rPr>
          <w:lang w:val="en-US"/>
        </w:rPr>
        <w:t xml:space="preserve"> </w:t>
      </w:r>
      <w:r w:rsidR="001D64CF">
        <w:rPr>
          <w:lang w:val="en-US"/>
        </w:rPr>
        <w:t xml:space="preserve">increased </w:t>
      </w:r>
      <w:r>
        <w:rPr>
          <w:lang w:val="en-US"/>
        </w:rPr>
        <w:t>revenue with the available resources. Furthermore, trade limitation is not only related to agricultural commodities but also limits agricultural input exchange between the countries. Improved commodity exchange between the countries thus could improve productivity not only because of specialization according to comparative advantage but also because of improving input access of s</w:t>
      </w:r>
      <w:r w:rsidR="00121E3E">
        <w:rPr>
          <w:lang w:val="en-US"/>
        </w:rPr>
        <w:t>mallholders</w:t>
      </w:r>
      <w:r>
        <w:rPr>
          <w:lang w:val="en-US"/>
        </w:rPr>
        <w:t xml:space="preserve">. This type of policy is especially needed in the future due to increasing climate risk and </w:t>
      </w:r>
      <w:r w:rsidR="0090294D">
        <w:rPr>
          <w:lang w:val="en-US"/>
        </w:rPr>
        <w:t xml:space="preserve">strong </w:t>
      </w:r>
      <w:r>
        <w:rPr>
          <w:lang w:val="en-US"/>
        </w:rPr>
        <w:t xml:space="preserve">need for policy measures to improve the adaptive capacity of agricultural producers. Opportunities and constraints for trade between the countries </w:t>
      </w:r>
      <w:r w:rsidR="0090294D">
        <w:rPr>
          <w:lang w:val="en-US"/>
        </w:rPr>
        <w:t>are</w:t>
      </w:r>
      <w:r>
        <w:rPr>
          <w:lang w:val="en-US"/>
        </w:rPr>
        <w:t xml:space="preserve"> often discussed in </w:t>
      </w:r>
      <w:r w:rsidR="0090294D">
        <w:rPr>
          <w:lang w:val="en-US"/>
        </w:rPr>
        <w:t xml:space="preserve">related </w:t>
      </w:r>
      <w:r>
        <w:rPr>
          <w:lang w:val="en-US"/>
        </w:rPr>
        <w:t>literature</w:t>
      </w:r>
      <w:r w:rsidR="0090294D">
        <w:rPr>
          <w:lang w:val="en-US"/>
        </w:rPr>
        <w:t>;</w:t>
      </w:r>
      <w:r>
        <w:rPr>
          <w:lang w:val="en-US"/>
        </w:rPr>
        <w:t xml:space="preserve"> however, quantitative analysis of household and farm level gains and losses under market integration </w:t>
      </w:r>
      <w:r w:rsidR="0090294D">
        <w:rPr>
          <w:lang w:val="en-US"/>
        </w:rPr>
        <w:t xml:space="preserve">has </w:t>
      </w:r>
      <w:r>
        <w:rPr>
          <w:lang w:val="en-US"/>
        </w:rPr>
        <w:t>not</w:t>
      </w:r>
      <w:r w:rsidR="0090294D">
        <w:rPr>
          <w:lang w:val="en-US"/>
        </w:rPr>
        <w:t xml:space="preserve"> been</w:t>
      </w:r>
      <w:r>
        <w:rPr>
          <w:lang w:val="en-US"/>
        </w:rPr>
        <w:t xml:space="preserve"> </w:t>
      </w:r>
      <w:r w:rsidR="0090294D">
        <w:rPr>
          <w:lang w:val="en-US"/>
        </w:rPr>
        <w:t>undertaken within this specific context</w:t>
      </w:r>
      <w:r>
        <w:rPr>
          <w:lang w:val="en-US"/>
        </w:rPr>
        <w:t xml:space="preserve">. </w:t>
      </w:r>
      <w:r>
        <w:rPr>
          <w:rFonts w:cstheme="minorHAnsi"/>
          <w:lang w:val="en-US"/>
        </w:rPr>
        <w:t xml:space="preserve">Especially the role of policy measures such as trade liberalization </w:t>
      </w:r>
      <w:r w:rsidR="0090294D">
        <w:rPr>
          <w:rFonts w:cstheme="minorHAnsi"/>
          <w:lang w:val="en-US"/>
        </w:rPr>
        <w:t>i</w:t>
      </w:r>
      <w:r>
        <w:rPr>
          <w:rFonts w:cstheme="minorHAnsi"/>
          <w:lang w:val="en-US"/>
        </w:rPr>
        <w:t xml:space="preserve">n increasing the adaptive capacity under climate change </w:t>
      </w:r>
      <w:r w:rsidR="0090294D">
        <w:rPr>
          <w:rFonts w:cstheme="minorHAnsi"/>
          <w:lang w:val="en-US"/>
        </w:rPr>
        <w:t>has</w:t>
      </w:r>
      <w:r>
        <w:rPr>
          <w:rFonts w:cstheme="minorHAnsi"/>
          <w:lang w:val="en-US"/>
        </w:rPr>
        <w:t xml:space="preserve"> not yet </w:t>
      </w:r>
      <w:r w:rsidR="0090294D">
        <w:rPr>
          <w:rFonts w:cstheme="minorHAnsi"/>
          <w:lang w:val="en-US"/>
        </w:rPr>
        <w:t xml:space="preserve">been </w:t>
      </w:r>
      <w:r>
        <w:rPr>
          <w:rFonts w:cstheme="minorHAnsi"/>
          <w:lang w:val="en-US"/>
        </w:rPr>
        <w:t xml:space="preserve">investigated. </w:t>
      </w:r>
      <w:r>
        <w:rPr>
          <w:lang w:val="en-US"/>
        </w:rPr>
        <w:t xml:space="preserve">Therefore, this study investigates how market integration will impact household budgets and farm revenues especially under climate change scenarios. </w:t>
      </w:r>
    </w:p>
    <w:p w:rsidR="001724BE" w:rsidRPr="00B5286A" w:rsidRDefault="001724BE" w:rsidP="00104719">
      <w:pPr>
        <w:pStyle w:val="berschrift1"/>
        <w:numPr>
          <w:ilvl w:val="0"/>
          <w:numId w:val="1"/>
        </w:numPr>
        <w:spacing w:line="360" w:lineRule="auto"/>
        <w:jc w:val="both"/>
        <w:rPr>
          <w:rFonts w:asciiTheme="minorHAnsi" w:hAnsiTheme="minorHAnsi"/>
          <w:szCs w:val="22"/>
          <w:lang w:val="en-US"/>
        </w:rPr>
      </w:pPr>
      <w:r w:rsidRPr="00B5286A">
        <w:rPr>
          <w:rFonts w:asciiTheme="minorHAnsi" w:hAnsiTheme="minorHAnsi"/>
          <w:szCs w:val="22"/>
          <w:lang w:val="en-US"/>
        </w:rPr>
        <w:t xml:space="preserve">Climate change in Central Asia </w:t>
      </w:r>
    </w:p>
    <w:p w:rsidR="001724BE" w:rsidRPr="00B339A5" w:rsidRDefault="001724BE" w:rsidP="00104719">
      <w:pPr>
        <w:autoSpaceDE w:val="0"/>
        <w:autoSpaceDN w:val="0"/>
        <w:adjustRightInd w:val="0"/>
        <w:spacing w:after="240" w:line="360" w:lineRule="auto"/>
        <w:jc w:val="both"/>
        <w:rPr>
          <w:rFonts w:cstheme="minorHAnsi"/>
          <w:lang w:val="en-US"/>
        </w:rPr>
      </w:pPr>
      <w:r w:rsidRPr="00B339A5">
        <w:rPr>
          <w:rFonts w:cstheme="minorHAnsi"/>
          <w:lang w:val="en-US"/>
        </w:rPr>
        <w:t xml:space="preserve">Irrational water use during the </w:t>
      </w:r>
      <w:r w:rsidR="0090294D">
        <w:rPr>
          <w:rFonts w:cstheme="minorHAnsi"/>
          <w:lang w:val="en-US"/>
        </w:rPr>
        <w:t xml:space="preserve">time of the </w:t>
      </w:r>
      <w:r w:rsidRPr="00B339A5">
        <w:rPr>
          <w:rFonts w:cstheme="minorHAnsi"/>
          <w:lang w:val="en-US"/>
        </w:rPr>
        <w:t xml:space="preserve">Soviet Union caused several problems in the region including the disappearance of the once fourth largest lake in the world, the Aral Sea </w:t>
      </w:r>
      <w:r w:rsidR="00E71FB7" w:rsidRPr="004E7800">
        <w:rPr>
          <w:rFonts w:cstheme="minorHAnsi"/>
        </w:rPr>
        <w:fldChar w:fldCharType="begin"/>
      </w:r>
      <w:r w:rsidRPr="00B339A5">
        <w:rPr>
          <w:rFonts w:cstheme="minorHAnsi"/>
          <w:lang w:val="en-US"/>
        </w:rPr>
        <w:instrText xml:space="preserve"> ADDIN EN.CITE &lt;EndNote&gt;&lt;Cite&gt;&lt;Author&gt;Glantz&lt;/Author&gt;&lt;Year&gt;2005&lt;/Year&gt;&lt;RecNum&gt;327&lt;/RecNum&gt;&lt;DisplayText&gt;(Glantz, 2005)&lt;/DisplayText&gt;&lt;record&gt;&lt;rec-number&gt;327&lt;/rec-number&gt;&lt;foreign-keys&gt;&lt;key app="EN" db-id="0erxvrzsjv5szqefaesv09e4awxs2t5saw90"&gt;327&lt;/key&gt;&lt;/foreign-keys&gt;&lt;ref-type name="Journal Article"&gt;17&lt;/ref-type&gt;&lt;contributors&gt;&lt;authors&gt;&lt;author&gt;Glantz, Michael&lt;/author&gt;&lt;/authors&gt;&lt;/contributors&gt;&lt;titles&gt;&lt;title&gt;Water, Climate, and Development Issues in the Amu Darya Basin&lt;/title&gt;&lt;secondary-title&gt;Mitigation and Adaptation Strategies for Global Change&lt;/secondary-title&gt;&lt;/titles&gt;&lt;periodical&gt;&lt;full-title&gt;Mitigation and Adaptation Strategies for Global Change&lt;/full-title&gt;&lt;/periodical&gt;&lt;pages&gt;23-50&lt;/pages&gt;&lt;volume&gt;10&lt;/volume&gt;&lt;number&gt;1&lt;/number&gt;&lt;dates&gt;&lt;year&gt;2005&lt;/year&gt;&lt;pub-dates&gt;&lt;date&gt;//&lt;/date&gt;&lt;/pub-dates&gt;&lt;/dates&gt;&lt;urls&gt;&lt;related-urls&gt;&lt;url&gt;http://www.ingentaconnect.com/content/klu/miti/2005/00000010/00000001/00007829&lt;/url&gt;&lt;url&gt;http://dx.doi.org/10.1007/s11027-005-7829-8&lt;/url&gt;&lt;/related-urls&gt;&lt;/urls&gt;&lt;electronic-resource-num&gt;10.1007/s11027-005-7829-8&lt;/electronic-resource-num&gt;&lt;/record&gt;&lt;/Cite&gt;&lt;/EndNote&gt;</w:instrText>
      </w:r>
      <w:r w:rsidR="00E71FB7" w:rsidRPr="004E7800">
        <w:rPr>
          <w:rFonts w:cstheme="minorHAnsi"/>
        </w:rPr>
        <w:fldChar w:fldCharType="separate"/>
      </w:r>
      <w:r w:rsidRPr="00B339A5">
        <w:rPr>
          <w:rFonts w:cstheme="minorHAnsi"/>
          <w:noProof/>
          <w:lang w:val="en-US"/>
        </w:rPr>
        <w:t>(</w:t>
      </w:r>
      <w:hyperlink w:anchor="_ENREF_20" w:tooltip="Glantz, 2005 #327" w:history="1">
        <w:r w:rsidR="002C46A7" w:rsidRPr="00B339A5">
          <w:rPr>
            <w:rFonts w:cstheme="minorHAnsi"/>
            <w:noProof/>
            <w:lang w:val="en-US"/>
          </w:rPr>
          <w:t>Glantz, 2005</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 xml:space="preserve">. Land degradation as an effect of these improper policies is still a major problem in all CA countries where land salinization affected about 12% of the total irrigated area in Kyrgyzstan, 50-60% in Uzbekistan and even more than 90% in Turkmenistan </w:t>
      </w:r>
      <w:r w:rsidR="00E71FB7" w:rsidRPr="004E7800">
        <w:rPr>
          <w:rFonts w:cstheme="minorHAnsi"/>
        </w:rPr>
        <w:fldChar w:fldCharType="begin"/>
      </w:r>
      <w:r w:rsidRPr="00B339A5">
        <w:rPr>
          <w:rFonts w:cstheme="minorHAnsi"/>
          <w:lang w:val="en-US"/>
        </w:rPr>
        <w:instrText xml:space="preserve"> ADDIN EN.CITE &lt;EndNote&gt;&lt;Cite&gt;&lt;Author&gt;Bucknall&lt;/Author&gt;&lt;Year&gt;2003&lt;/Year&gt;&lt;RecNum&gt;121&lt;/RecNum&gt;&lt;DisplayText&gt;(Bucknall&lt;style face="italic"&gt; et al.&lt;/style&gt;, 2003; CAREC, 2011)&lt;/DisplayText&gt;&lt;record&gt;&lt;rec-number&gt;121&lt;/rec-number&gt;&lt;foreign-keys&gt;&lt;key app="EN" db-id="0erxvrzsjv5szqefaesv09e4awxs2t5saw90"&gt;121&lt;/key&gt;&lt;/foreign-keys&gt;&lt;ref-type name="Report"&gt;27&lt;/ref-type&gt;&lt;contributors&gt;&lt;authors&gt;&lt;author&gt;Bucknall, L.&lt;/author&gt;&lt;author&gt;Klytchnikova, I.&lt;/author&gt;&lt;author&gt;Lampietti, J.&lt;/author&gt;&lt;author&gt;Lundell, M.&lt;/author&gt;&lt;author&gt;Scatasta, M.&lt;/author&gt;&lt;author&gt;Thurman, M.&lt;/author&gt;&lt;/authors&gt;&lt;/contributors&gt;&lt;titles&gt;&lt;title&gt;Social, Economic and Enviroment Considerations&lt;/title&gt;&lt;/titles&gt;&lt;dates&gt;&lt;year&gt;2003&lt;/year&gt;&lt;/dates&gt;&lt;publisher&gt;World Bank&lt;/publisher&gt;&lt;urls&gt;&lt;/urls&gt;&lt;/record&gt;&lt;/Cite&gt;&lt;Cite&gt;&lt;Author&gt;CAREC&lt;/Author&gt;&lt;Year&gt;2011&lt;/Year&gt;&lt;RecNum&gt;411&lt;/RecNum&gt;&lt;record&gt;&lt;rec-number&gt;411&lt;/rec-number&gt;&lt;foreign-keys&gt;&lt;key app="EN" db-id="0erxvrzsjv5szqefaesv09e4awxs2t5saw90"&gt;411&lt;/key&gt;&lt;/foreign-keys&gt;&lt;ref-type name="Report"&gt;27&lt;/ref-type&gt;&lt;contributors&gt;&lt;authors&gt;&lt;author&gt;CAREC&lt;/author&gt;&lt;/authors&gt;&lt;/contributors&gt;&lt;titles&gt;&lt;title&gt;Gap analysis on adaptation to climate change in Central Asia. Priorities, recommendations, practices&lt;/title&gt;&lt;/titles&gt;&lt;dates&gt;&lt;year&gt;2011&lt;/year&gt;&lt;/dates&gt;&lt;pub-location&gt;Almaty&lt;/pub-location&gt;&lt;publisher&gt;Regional Environmental Centre for Central Asia&lt;/publisher&gt;&lt;urls&gt;&lt;related-urls&gt;&lt;url&gt;http://www.carecnet.org/assets/files/Asia_Pacific_Network/eng/Gap_Analysis_Adaptation.pdf&lt;/url&gt;&lt;/related-urls&gt;&lt;/urls&gt;&lt;/record&gt;&lt;/Cite&gt;&lt;/EndNote&gt;</w:instrText>
      </w:r>
      <w:r w:rsidR="00E71FB7" w:rsidRPr="004E7800">
        <w:rPr>
          <w:rFonts w:cstheme="minorHAnsi"/>
        </w:rPr>
        <w:fldChar w:fldCharType="separate"/>
      </w:r>
      <w:r w:rsidRPr="00B339A5">
        <w:rPr>
          <w:rFonts w:cstheme="minorHAnsi"/>
          <w:noProof/>
          <w:lang w:val="en-US"/>
        </w:rPr>
        <w:t>(</w:t>
      </w:r>
      <w:hyperlink w:anchor="_ENREF_8" w:tooltip="Bucknall, 2003 #121" w:history="1">
        <w:r w:rsidR="002C46A7" w:rsidRPr="00B339A5">
          <w:rPr>
            <w:rFonts w:cstheme="minorHAnsi"/>
            <w:noProof/>
            <w:lang w:val="en-US"/>
          </w:rPr>
          <w:t>Bucknall</w:t>
        </w:r>
        <w:r w:rsidR="002C46A7" w:rsidRPr="00B339A5">
          <w:rPr>
            <w:rFonts w:cstheme="minorHAnsi"/>
            <w:i/>
            <w:noProof/>
            <w:lang w:val="en-US"/>
          </w:rPr>
          <w:t xml:space="preserve"> et al.</w:t>
        </w:r>
        <w:r w:rsidR="002C46A7" w:rsidRPr="00B339A5">
          <w:rPr>
            <w:rFonts w:cstheme="minorHAnsi"/>
            <w:noProof/>
            <w:lang w:val="en-US"/>
          </w:rPr>
          <w:t>, 2003</w:t>
        </w:r>
      </w:hyperlink>
      <w:r w:rsidRPr="00B339A5">
        <w:rPr>
          <w:rFonts w:cstheme="minorHAnsi"/>
          <w:noProof/>
          <w:lang w:val="en-US"/>
        </w:rPr>
        <w:t xml:space="preserve">; </w:t>
      </w:r>
      <w:hyperlink w:anchor="_ENREF_9" w:tooltip="CAREC, 2011 #411" w:history="1">
        <w:r w:rsidR="002C46A7" w:rsidRPr="00B339A5">
          <w:rPr>
            <w:rFonts w:cstheme="minorHAnsi"/>
            <w:noProof/>
            <w:lang w:val="en-US"/>
          </w:rPr>
          <w:t>CAREC, 2011</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 xml:space="preserve">. Reduction of the cropping areas in the irrigated lands has been observed during the last decades, which often occurs due to land degradation </w:t>
      </w:r>
      <w:r w:rsidR="00E71FB7" w:rsidRPr="004E7800">
        <w:rPr>
          <w:rFonts w:cstheme="minorHAnsi"/>
        </w:rPr>
        <w:fldChar w:fldCharType="begin"/>
      </w:r>
      <w:r w:rsidRPr="00B339A5">
        <w:rPr>
          <w:rFonts w:cstheme="minorHAnsi"/>
          <w:lang w:val="en-US"/>
        </w:rPr>
        <w:instrText xml:space="preserve"> ADDIN EN.CITE &lt;EndNote&gt;&lt;Cite&gt;&lt;Author&gt;Kariyeva&lt;/Author&gt;&lt;Year&gt;2012&lt;/Year&gt;&lt;RecNum&gt;331&lt;/RecNum&gt;&lt;DisplayText&gt;(Kariyeva and van Leeuwen, 2012)&lt;/DisplayText&gt;&lt;record&gt;&lt;rec-number&gt;331&lt;/rec-number&gt;&lt;foreign-keys&gt;&lt;key app="EN" db-id="0erxvrzsjv5szqefaesv09e4awxs2t5saw90"&gt;331&lt;/key&gt;&lt;/foreign-keys&gt;&lt;ref-type name="Journal Article"&gt;17&lt;/ref-type&gt;&lt;contributors&gt;&lt;authors&gt;&lt;author&gt;Kariyeva, Jahan&lt;/author&gt;&lt;author&gt;van Leeuwen, Willem J. D.&lt;/author&gt;&lt;/authors&gt;&lt;/contributors&gt;&lt;titles&gt;&lt;title&gt;Phenological dynamics of irrigated and natural drylands in Central Asia before and after the USSR collapse&lt;/title&gt;&lt;secondary-title&gt;Agriculture, Ecosystems &amp;amp; Environment&lt;/secondary-title&gt;&lt;/titles&gt;&lt;periodical&gt;&lt;full-title&gt;Agriculture, Ecosystems &amp;amp; Environment&lt;/full-title&gt;&lt;/periodical&gt;&lt;pages&gt;77-89&lt;/pages&gt;&lt;volume&gt;162&lt;/volume&gt;&lt;number&gt;0&lt;/number&gt;&lt;keywords&gt;&lt;keyword&gt;Remote sensing&lt;/keyword&gt;&lt;keyword&gt;Phenology&lt;/keyword&gt;&lt;keyword&gt;Land use change&lt;/keyword&gt;&lt;keyword&gt;Socio-economic change&lt;/keyword&gt;&lt;keyword&gt;Geography&lt;/keyword&gt;&lt;keyword&gt;Uzbekistan&lt;/keyword&gt;&lt;keyword&gt;Turkmenistan&lt;/keyword&gt;&lt;/keywords&gt;&lt;dates&gt;&lt;year&gt;2012&lt;/year&gt;&lt;pub-dates&gt;&lt;date&gt;11/1/&lt;/date&gt;&lt;/pub-dates&gt;&lt;/dates&gt;&lt;isbn&gt;0167-8809&lt;/isbn&gt;&lt;urls&gt;&lt;related-urls&gt;&lt;url&gt;http://www.sciencedirect.com/science/article/pii/S0167880912003179&lt;/url&gt;&lt;/related-urls&gt;&lt;/urls&gt;&lt;electronic-resource-num&gt;http://dx.doi.org/10.1016/j.agee.2012.08.006&lt;/electronic-resource-num&gt;&lt;/record&gt;&lt;/Cite&gt;&lt;/EndNote&gt;</w:instrText>
      </w:r>
      <w:r w:rsidR="00E71FB7" w:rsidRPr="004E7800">
        <w:rPr>
          <w:rFonts w:cstheme="minorHAnsi"/>
        </w:rPr>
        <w:fldChar w:fldCharType="separate"/>
      </w:r>
      <w:r w:rsidRPr="00B339A5">
        <w:rPr>
          <w:rFonts w:cstheme="minorHAnsi"/>
          <w:noProof/>
          <w:lang w:val="en-US"/>
        </w:rPr>
        <w:t>(</w:t>
      </w:r>
      <w:hyperlink w:anchor="_ENREF_23" w:tooltip="Kariyeva, 2012 #331" w:history="1">
        <w:r w:rsidR="002C46A7" w:rsidRPr="00B339A5">
          <w:rPr>
            <w:rFonts w:cstheme="minorHAnsi"/>
            <w:noProof/>
            <w:lang w:val="en-US"/>
          </w:rPr>
          <w:t>Kariyeva and van Leeuwen, 2012</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 xml:space="preserve">. Uncertainties during the transition phase combined with land degradation caused high rates of poverty in most of the regions in Central Asia. More than 90% of the population living in the rural areas is defined as poor (less than 4.30 USD per person per day) according to recent studies </w:t>
      </w:r>
      <w:r w:rsidR="00E71FB7" w:rsidRPr="004E7800">
        <w:rPr>
          <w:rFonts w:cstheme="minorHAnsi"/>
        </w:rPr>
        <w:fldChar w:fldCharType="begin"/>
      </w:r>
      <w:r w:rsidRPr="00B339A5">
        <w:rPr>
          <w:rFonts w:cstheme="minorHAnsi"/>
          <w:lang w:val="en-US"/>
        </w:rPr>
        <w:instrText xml:space="preserve"> ADDIN EN.CITE &lt;EndNote&gt;&lt;Cite&gt;&lt;Author&gt;World Bank&lt;/Author&gt;&lt;Year&gt;2009&lt;/Year&gt;&lt;RecNum&gt;145&lt;/RecNum&gt;&lt;DisplayText&gt;(World Bank, 2009)&lt;/DisplayText&gt;&lt;record&gt;&lt;rec-number&gt;145&lt;/rec-number&gt;&lt;foreign-keys&gt;&lt;key app="EN" db-id="0erxvrzsjv5szqefaesv09e4awxs2t5saw90"&gt;145&lt;/key&gt;&lt;/foreign-keys&gt;&lt;ref-type name="Report"&gt;27&lt;/ref-type&gt;&lt;contributors&gt;&lt;authors&gt;&lt;author&gt;World Bank,&lt;/author&gt;&lt;/authors&gt;&lt;tertiary-authors&gt;&lt;author&gt;The World Bank&lt;/author&gt;&lt;/tertiary-authors&gt;&lt;/contributors&gt;&lt;titles&gt;&lt;title&gt;Adapting to Climate Change in Europe and Central Asia&lt;/title&gt;&lt;/titles&gt;&lt;dates&gt;&lt;year&gt;2009&lt;/year&gt;&lt;pub-dates&gt;&lt;date&gt;June 1&lt;/date&gt;&lt;/pub-dates&gt;&lt;/dates&gt;&lt;urls&gt;&lt;related-urls&gt;&lt;url&gt;http://www.worldbank.org/eca/climate/ECA_CCA_Full_Report.pdf&lt;/url&gt;&lt;/related-urls&gt;&lt;/urls&gt;&lt;/record&gt;&lt;/Cite&gt;&lt;/EndNote&gt;</w:instrText>
      </w:r>
      <w:r w:rsidR="00E71FB7" w:rsidRPr="004E7800">
        <w:rPr>
          <w:rFonts w:cstheme="minorHAnsi"/>
        </w:rPr>
        <w:fldChar w:fldCharType="separate"/>
      </w:r>
      <w:r w:rsidRPr="00B339A5">
        <w:rPr>
          <w:rFonts w:cstheme="minorHAnsi"/>
          <w:noProof/>
          <w:lang w:val="en-US"/>
        </w:rPr>
        <w:t>(</w:t>
      </w:r>
      <w:hyperlink w:anchor="_ENREF_38" w:tooltip="World Bank, 2009 #145" w:history="1">
        <w:r w:rsidR="002C46A7" w:rsidRPr="00B339A5">
          <w:rPr>
            <w:rFonts w:cstheme="minorHAnsi"/>
            <w:noProof/>
            <w:lang w:val="en-US"/>
          </w:rPr>
          <w:t>World Bank, 2009</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w:t>
      </w:r>
    </w:p>
    <w:p w:rsidR="001724BE" w:rsidRPr="00B339A5" w:rsidRDefault="001724BE" w:rsidP="00104719">
      <w:pPr>
        <w:autoSpaceDE w:val="0"/>
        <w:autoSpaceDN w:val="0"/>
        <w:adjustRightInd w:val="0"/>
        <w:spacing w:line="360" w:lineRule="auto"/>
        <w:jc w:val="both"/>
        <w:rPr>
          <w:rFonts w:cstheme="minorHAnsi"/>
          <w:lang w:val="en-US"/>
        </w:rPr>
      </w:pPr>
      <w:r w:rsidRPr="00B339A5">
        <w:rPr>
          <w:rFonts w:cstheme="minorHAnsi"/>
          <w:lang w:val="en-US"/>
        </w:rPr>
        <w:t xml:space="preserve">Climate change adds additional dimensions to the problems in the Central Asia region and increases the vulnerability of rural producers </w:t>
      </w:r>
      <w:r w:rsidR="00E71FB7" w:rsidRPr="004E7800">
        <w:rPr>
          <w:rFonts w:cstheme="minorHAnsi"/>
        </w:rPr>
        <w:fldChar w:fldCharType="begin"/>
      </w:r>
      <w:r w:rsidRPr="00B339A5">
        <w:rPr>
          <w:rFonts w:cstheme="minorHAnsi"/>
          <w:lang w:val="en-US"/>
        </w:rPr>
        <w:instrText xml:space="preserve"> ADDIN EN.CITE &lt;EndNote&gt;&lt;Cite&gt;&lt;Author&gt;Lioubimtseva&lt;/Author&gt;&lt;Year&gt;2009&lt;/Year&gt;&lt;RecNum&gt;133&lt;/RecNum&gt;&lt;DisplayText&gt;(Lioubimtseva and Henebry, 2009)&lt;/DisplayText&gt;&lt;record&gt;&lt;rec-number&gt;133&lt;/rec-number&gt;&lt;foreign-keys&gt;&lt;key app="EN" db-id="0erxvrzsjv5szqefaesv09e4awxs2t5saw90"&gt;133&lt;/key&gt;&lt;/foreign-keys&gt;&lt;ref-type name="Journal Article"&gt;17&lt;/ref-type&gt;&lt;contributors&gt;&lt;authors&gt;&lt;author&gt;E. Lioubimtseva &lt;/author&gt;&lt;author&gt;G.M. Henebry &lt;/author&gt;&lt;/authors&gt;&lt;/contributors&gt;&lt;titles&gt;&lt;title&gt;Climate and environmental change in arid Central Asia: Impacts, vulnerability, and adaptations&lt;/title&gt;&lt;secondary-title&gt;Journal of Arid Environments&lt;/secondary-title&gt;&lt;/titles&gt;&lt;periodical&gt;&lt;full-title&gt;Journal of Arid Environments&lt;/full-title&gt;&lt;/periodical&gt;&lt;pages&gt;963–977&lt;/pages&gt;&lt;volume&gt;73&lt;/volume&gt;&lt;dates&gt;&lt;year&gt;2009&lt;/year&gt;&lt;/dates&gt;&lt;urls&gt;&lt;/urls&gt;&lt;/record&gt;&lt;/Cite&gt;&lt;/EndNote&gt;</w:instrText>
      </w:r>
      <w:r w:rsidR="00E71FB7" w:rsidRPr="004E7800">
        <w:rPr>
          <w:rFonts w:cstheme="minorHAnsi"/>
        </w:rPr>
        <w:fldChar w:fldCharType="separate"/>
      </w:r>
      <w:r w:rsidRPr="00B339A5">
        <w:rPr>
          <w:rFonts w:cstheme="minorHAnsi"/>
          <w:noProof/>
          <w:lang w:val="en-US"/>
        </w:rPr>
        <w:t>(</w:t>
      </w:r>
      <w:hyperlink w:anchor="_ENREF_27" w:tooltip="Lioubimtseva, 2009 #133" w:history="1">
        <w:r w:rsidR="002C46A7" w:rsidRPr="00B339A5">
          <w:rPr>
            <w:rFonts w:cstheme="minorHAnsi"/>
            <w:noProof/>
            <w:lang w:val="en-US"/>
          </w:rPr>
          <w:t>Lioubimtseva and Henebry, 2009</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 xml:space="preserve">. Increasing sequences of droughts is causing serious damage to the livelihoods of rural population in semiarid and arid regions of Central Asia </w:t>
      </w:r>
      <w:r w:rsidR="00E71FB7">
        <w:rPr>
          <w:rFonts w:cstheme="minorHAnsi"/>
        </w:rPr>
        <w:fldChar w:fldCharType="begin"/>
      </w:r>
      <w:r w:rsidRPr="00B339A5">
        <w:rPr>
          <w:rFonts w:cstheme="minorHAnsi"/>
          <w:lang w:val="en-US"/>
        </w:rPr>
        <w:instrText xml:space="preserve"> ADDIN EN.CITE &lt;EndNote&gt;&lt;Cite&gt;&lt;Author&gt;CAREC&lt;/Author&gt;&lt;Year&gt;2011&lt;/Year&gt;&lt;RecNum&gt;411&lt;/RecNum&gt;&lt;DisplayText&gt;(CAREC, 2011)&lt;/DisplayText&gt;&lt;record&gt;&lt;rec-number&gt;411&lt;/rec-number&gt;&lt;foreign-keys&gt;&lt;key app="EN" db-id="0erxvrzsjv5szqefaesv09e4awxs2t5saw90"&gt;411&lt;/key&gt;&lt;/foreign-keys&gt;&lt;ref-type name="Report"&gt;27&lt;/ref-type&gt;&lt;contributors&gt;&lt;authors&gt;&lt;author&gt;CAREC&lt;/author&gt;&lt;/authors&gt;&lt;/contributors&gt;&lt;titles&gt;&lt;title&gt;Gap analysis on adaptation to climate change in Central Asia. Priorities, recommendations, practices&lt;/title&gt;&lt;/titles&gt;&lt;dates&gt;&lt;year&gt;2011&lt;/year&gt;&lt;/dates&gt;&lt;pub-location&gt;Almaty&lt;/pub-location&gt;&lt;publisher&gt;Regional Environmental Centre for Central Asia&lt;/publisher&gt;&lt;urls&gt;&lt;related-urls&gt;&lt;url&gt;http://www.carecnet.org/assets/files/Asia_Pacific_Network/eng/Gap_Analysis_Adaptation.pdf&lt;/url&gt;&lt;/related-urls&gt;&lt;/urls&gt;&lt;/record&gt;&lt;/Cite&gt;&lt;/EndNote&gt;</w:instrText>
      </w:r>
      <w:r w:rsidR="00E71FB7">
        <w:rPr>
          <w:rFonts w:cstheme="minorHAnsi"/>
        </w:rPr>
        <w:fldChar w:fldCharType="separate"/>
      </w:r>
      <w:r w:rsidRPr="00B339A5">
        <w:rPr>
          <w:rFonts w:cstheme="minorHAnsi"/>
          <w:noProof/>
          <w:lang w:val="en-US"/>
        </w:rPr>
        <w:t>(</w:t>
      </w:r>
      <w:hyperlink w:anchor="_ENREF_9" w:tooltip="CAREC, 2011 #411" w:history="1">
        <w:r w:rsidR="002C46A7" w:rsidRPr="00B339A5">
          <w:rPr>
            <w:rFonts w:cstheme="minorHAnsi"/>
            <w:noProof/>
            <w:lang w:val="en-US"/>
          </w:rPr>
          <w:t>CAREC, 2011</w:t>
        </w:r>
      </w:hyperlink>
      <w:r w:rsidRPr="00B339A5">
        <w:rPr>
          <w:rFonts w:cstheme="minorHAnsi"/>
          <w:noProof/>
          <w:lang w:val="en-US"/>
        </w:rPr>
        <w:t>)</w:t>
      </w:r>
      <w:r w:rsidR="00E71FB7">
        <w:rPr>
          <w:rFonts w:cstheme="minorHAnsi"/>
        </w:rPr>
        <w:fldChar w:fldCharType="end"/>
      </w:r>
      <w:r w:rsidRPr="00B339A5">
        <w:rPr>
          <w:rFonts w:cstheme="minorHAnsi"/>
          <w:lang w:val="en-US"/>
        </w:rPr>
        <w:t xml:space="preserve">. Droughts during 2001-2003 and 2007-2008 have shown to be the worst droughts in the history in Central Asia and caused several socio-economic problems </w:t>
      </w:r>
      <w:r w:rsidR="00E71FB7" w:rsidRPr="004E7800">
        <w:rPr>
          <w:rFonts w:cstheme="minorHAnsi"/>
        </w:rPr>
        <w:fldChar w:fldCharType="begin"/>
      </w:r>
      <w:r w:rsidRPr="00B339A5">
        <w:rPr>
          <w:rFonts w:cstheme="minorHAnsi"/>
          <w:lang w:val="en-US"/>
        </w:rPr>
        <w:instrText xml:space="preserve"> ADDIN EN.CITE &lt;EndNote&gt;&lt;Cite&gt;&lt;Author&gt;Lioubimtseva&lt;/Author&gt;&lt;Year&gt;2009&lt;/Year&gt;&lt;RecNum&gt;133&lt;/RecNum&gt;&lt;DisplayText&gt;(Lioubimtseva and Henebry, 2009)&lt;/DisplayText&gt;&lt;record&gt;&lt;rec-number&gt;133&lt;/rec-number&gt;&lt;foreign-keys&gt;&lt;key app="EN" db-id="0erxvrzsjv5szqefaesv09e4awxs2t5saw90"&gt;133&lt;/key&gt;&lt;/foreign-keys&gt;&lt;ref-type name="Journal Article"&gt;17&lt;/ref-type&gt;&lt;contributors&gt;&lt;authors&gt;&lt;author&gt;E. Lioubimtseva &lt;/author&gt;&lt;author&gt;G.M. Henebry &lt;/author&gt;&lt;/authors&gt;&lt;/contributors&gt;&lt;titles&gt;&lt;title&gt;Climate and environmental change in arid Central Asia: Impacts, vulnerability, and adaptations&lt;/title&gt;&lt;secondary-title&gt;Journal of Arid Environments&lt;/secondary-title&gt;&lt;/titles&gt;&lt;periodical&gt;&lt;full-title&gt;Journal of Arid Environments&lt;/full-title&gt;&lt;/periodical&gt;&lt;pages&gt;963–977&lt;/pages&gt;&lt;volume&gt;73&lt;/volume&gt;&lt;dates&gt;&lt;year&gt;2009&lt;/year&gt;&lt;/dates&gt;&lt;urls&gt;&lt;/urls&gt;&lt;/record&gt;&lt;/Cite&gt;&lt;/EndNote&gt;</w:instrText>
      </w:r>
      <w:r w:rsidR="00E71FB7" w:rsidRPr="004E7800">
        <w:rPr>
          <w:rFonts w:cstheme="minorHAnsi"/>
        </w:rPr>
        <w:fldChar w:fldCharType="separate"/>
      </w:r>
      <w:r w:rsidRPr="00B339A5">
        <w:rPr>
          <w:rFonts w:cstheme="minorHAnsi"/>
          <w:noProof/>
          <w:lang w:val="en-US"/>
        </w:rPr>
        <w:t>(</w:t>
      </w:r>
      <w:hyperlink w:anchor="_ENREF_27" w:tooltip="Lioubimtseva, 2009 #133" w:history="1">
        <w:r w:rsidR="002C46A7" w:rsidRPr="00B339A5">
          <w:rPr>
            <w:rFonts w:cstheme="minorHAnsi"/>
            <w:noProof/>
            <w:lang w:val="en-US"/>
          </w:rPr>
          <w:t>Lioubimtseva and Henebry, 2009</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 xml:space="preserve">. For example, droughts in 2001 and 2008 damaged more than a third of the cropping areas in Tajikistan </w:t>
      </w:r>
      <w:r w:rsidR="00E71FB7" w:rsidRPr="004E7800">
        <w:rPr>
          <w:rFonts w:cstheme="minorHAnsi"/>
        </w:rPr>
        <w:fldChar w:fldCharType="begin"/>
      </w:r>
      <w:r w:rsidRPr="00B339A5">
        <w:rPr>
          <w:rFonts w:cstheme="minorHAnsi"/>
          <w:lang w:val="en-US"/>
        </w:rPr>
        <w:instrText xml:space="preserve"> ADDIN EN.CITE &lt;EndNote&gt;&lt;Cite&gt;&lt;Author&gt;Christmann&lt;/Author&gt;&lt;Year&gt;2009&lt;/Year&gt;&lt;RecNum&gt;181&lt;/RecNum&gt;&lt;DisplayText&gt;(Christmann&lt;style face="italic"&gt; et al.&lt;/style&gt;, 2009; CAREC, 2011)&lt;/DisplayText&gt;&lt;record&gt;&lt;rec-number&gt;181&lt;/rec-number&gt;&lt;foreign-keys&gt;&lt;key app="EN" db-id="0erxvrzsjv5szqefaesv09e4awxs2t5saw90"&gt;181&lt;/key&gt;&lt;/foreign-keys&gt;&lt;ref-type name="Report"&gt;27&lt;/ref-type&gt;&lt;contributors&gt;&lt;authors&gt;&lt;author&gt;Christmann, S., &lt;/author&gt;&lt;author&gt;Martius, C., &lt;/author&gt;&lt;author&gt;Bedoshvili, D., &lt;/author&gt;&lt;author&gt;Bobojonov, I., &lt;/author&gt;&lt;author&gt;Carli, C., &lt;/author&gt;&lt;author&gt;Devkota, K.,&lt;/author&gt;&lt;author&gt;Ibragimov, Z., &lt;/author&gt;&lt;author&gt;Khalikulov, Z., &lt;/author&gt;&lt;author&gt;Kienzler, K., &lt;/author&gt;&lt;author&gt;Manthrithilake, H., &lt;/author&gt;&lt;author&gt;Mavlyanova, R.,&lt;/author&gt;&lt;author&gt;Mirzabaev, A., &lt;/author&gt;&lt;author&gt;Nishanov, N., &lt;/author&gt;&lt;author&gt;Sharma, R.C., &lt;/author&gt;&lt;author&gt;Tashpulatova, B., &lt;/author&gt;&lt;author&gt;Toderich, K., &lt;/author&gt;&lt;author&gt;Turdieva, M.&lt;/author&gt;&lt;/authors&gt;&lt;/contributors&gt;&lt;titles&gt;&lt;title&gt;Food Security and Climate Change in Central Asia and the Caucasus&lt;/title&gt;&lt;/titles&gt;&lt;dates&gt;&lt;year&gt;2009&lt;/year&gt;&lt;/dates&gt;&lt;pub-location&gt;Tashkent&lt;/pub-location&gt;&lt;publisher&gt;CGIAR-PFlI, ICARDA&lt;/publisher&gt;&lt;urls&gt;&lt;/urls&gt;&lt;/record&gt;&lt;/Cite&gt;&lt;Cite&gt;&lt;Author&gt;CAREC&lt;/Author&gt;&lt;Year&gt;2011&lt;/Year&gt;&lt;RecNum&gt;411&lt;/RecNum&gt;&lt;record&gt;&lt;rec-number&gt;411&lt;/rec-number&gt;&lt;foreign-keys&gt;&lt;key app="EN" db-id="0erxvrzsjv5szqefaesv09e4awxs2t5saw90"&gt;411&lt;/key&gt;&lt;/foreign-keys&gt;&lt;ref-type name="Report"&gt;27&lt;/ref-type&gt;&lt;contributors&gt;&lt;authors&gt;&lt;author&gt;CAREC&lt;/author&gt;&lt;/authors&gt;&lt;/contributors&gt;&lt;titles&gt;&lt;title&gt;Gap analysis on adaptation to climate change in Central Asia. Priorities, recommendations, practices&lt;/title&gt;&lt;/titles&gt;&lt;dates&gt;&lt;year&gt;2011&lt;/year&gt;&lt;/dates&gt;&lt;pub-location&gt;Almaty&lt;/pub-location&gt;&lt;publisher&gt;Regional Environmental Centre for Central Asia&lt;/publisher&gt;&lt;urls&gt;&lt;related-urls&gt;&lt;url&gt;http://www.carecnet.org/assets/files/Asia_Pacific_Network/eng/Gap_Analysis_Adaptation.pdf&lt;/url&gt;&lt;/related-urls&gt;&lt;/urls&gt;&lt;/record&gt;&lt;/Cite&gt;&lt;/EndNote&gt;</w:instrText>
      </w:r>
      <w:r w:rsidR="00E71FB7" w:rsidRPr="004E7800">
        <w:rPr>
          <w:rFonts w:cstheme="minorHAnsi"/>
        </w:rPr>
        <w:fldChar w:fldCharType="separate"/>
      </w:r>
      <w:r w:rsidRPr="00B339A5">
        <w:rPr>
          <w:rFonts w:cstheme="minorHAnsi"/>
          <w:noProof/>
          <w:lang w:val="en-US"/>
        </w:rPr>
        <w:t>(</w:t>
      </w:r>
      <w:hyperlink w:anchor="_ENREF_12" w:tooltip="Christmann, 2009 #181" w:history="1">
        <w:r w:rsidR="002C46A7" w:rsidRPr="00B339A5">
          <w:rPr>
            <w:rFonts w:cstheme="minorHAnsi"/>
            <w:noProof/>
            <w:lang w:val="en-US"/>
          </w:rPr>
          <w:t>Christmann</w:t>
        </w:r>
        <w:r w:rsidR="002C46A7" w:rsidRPr="00B339A5">
          <w:rPr>
            <w:rFonts w:cstheme="minorHAnsi"/>
            <w:i/>
            <w:noProof/>
            <w:lang w:val="en-US"/>
          </w:rPr>
          <w:t xml:space="preserve"> et al.</w:t>
        </w:r>
        <w:r w:rsidR="002C46A7" w:rsidRPr="00B339A5">
          <w:rPr>
            <w:rFonts w:cstheme="minorHAnsi"/>
            <w:noProof/>
            <w:lang w:val="en-US"/>
          </w:rPr>
          <w:t>, 2009</w:t>
        </w:r>
      </w:hyperlink>
      <w:r w:rsidRPr="00B339A5">
        <w:rPr>
          <w:rFonts w:cstheme="minorHAnsi"/>
          <w:noProof/>
          <w:lang w:val="en-US"/>
        </w:rPr>
        <w:t xml:space="preserve">; </w:t>
      </w:r>
      <w:hyperlink w:anchor="_ENREF_9" w:tooltip="CAREC, 2011 #411" w:history="1">
        <w:r w:rsidR="002C46A7" w:rsidRPr="00B339A5">
          <w:rPr>
            <w:rFonts w:cstheme="minorHAnsi"/>
            <w:noProof/>
            <w:lang w:val="en-US"/>
          </w:rPr>
          <w:t>CAREC, 2011</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 xml:space="preserve">. Furthermore, rainfall is </w:t>
      </w:r>
      <w:r w:rsidR="00896287">
        <w:rPr>
          <w:rFonts w:cstheme="minorHAnsi"/>
          <w:lang w:val="en-US"/>
        </w:rPr>
        <w:t>becoming</w:t>
      </w:r>
      <w:r w:rsidR="00896287" w:rsidRPr="00B339A5">
        <w:rPr>
          <w:rFonts w:cstheme="minorHAnsi"/>
          <w:lang w:val="en-US"/>
        </w:rPr>
        <w:t xml:space="preserve"> </w:t>
      </w:r>
      <w:r w:rsidRPr="00B339A5">
        <w:rPr>
          <w:rFonts w:cstheme="minorHAnsi"/>
          <w:lang w:val="en-US"/>
        </w:rPr>
        <w:t xml:space="preserve">heavier and increasing the sequence of floods in mountainous regions of </w:t>
      </w:r>
      <w:r>
        <w:rPr>
          <w:rFonts w:cstheme="minorHAnsi"/>
          <w:lang w:val="en-US"/>
        </w:rPr>
        <w:t>CA</w:t>
      </w:r>
      <w:r w:rsidRPr="00B339A5">
        <w:rPr>
          <w:rFonts w:cstheme="minorHAnsi"/>
          <w:lang w:val="en-US"/>
        </w:rPr>
        <w:t xml:space="preserve"> and the impact is hitting the poorest population the hardest. Rural populations are already suffering from the increasing sequence of extreme events, and projections show even more changes in the future. According to the Intergovernmental Panel on Climate Change (IPCC) predictions </w:t>
      </w:r>
      <w:r w:rsidR="00E71FB7" w:rsidRPr="004E7800">
        <w:rPr>
          <w:rFonts w:cstheme="minorHAnsi"/>
        </w:rPr>
        <w:fldChar w:fldCharType="begin"/>
      </w:r>
      <w:r w:rsidRPr="007E19BA">
        <w:rPr>
          <w:rFonts w:cstheme="minorHAnsi"/>
          <w:lang w:val="en-US"/>
        </w:rPr>
        <w:instrText xml:space="preserve"> ADDIN EN.CITE &lt;EndNote&gt;&lt;Cite&gt;&lt;Author&gt;IPCC&lt;/Author&gt;&lt;Year&gt;2007&lt;/Year&gt;&lt;RecNum&gt;335&lt;/RecNum&gt;&lt;DisplayText&gt;(IPCC, 2007b)&lt;/DisplayText&gt;&lt;record&gt;&lt;rec-number&gt;335&lt;/rec-number&gt;&lt;foreign-keys&gt;&lt;key app="EN" db-id="0erxvrzsjv5szqefaesv09e4awxs2t5saw90"&gt;335&lt;/key&gt;&lt;/foreign-keys&gt;&lt;ref-type name="Book"&gt;6&lt;/ref-type&gt;&lt;contributors&gt;&lt;authors&gt;&lt;author&gt;IPCC&lt;/author&gt;&lt;/authors&gt;&lt;/contributors&gt;&lt;titles&gt;&lt;title&gt;Climate change 2007: the Physical Science Basis Contribution of Working Group I to the Fourth Assessment Report of the Intergovernmental Panel on Climate Change Summary for Policymakers&lt;/title&gt;&lt;/titles&gt;&lt;pages&gt;18&lt;/pages&gt;&lt;keywords&gt;&lt;keyword&gt;CAB ABSTRACTS 1973-Current&lt;/keyword&gt;&lt;keyword&gt;Soils and Fertilizers&lt;/keyword&gt;&lt;keyword&gt;No Code&lt;/keyword&gt;&lt;keyword&gt;No Code&lt;/keyword&gt;&lt;keyword&gt;No Code&lt;/keyword&gt;&lt;keyword&gt;Environment Product&lt;/keyword&gt;&lt;keyword&gt;Full Text Select&lt;/keyword&gt;&lt;keyword&gt;CAB Abstracts Plus&lt;/keyword&gt;&lt;keyword&gt;No Code&lt;/keyword&gt;&lt;keyword&gt;Meteorology and Climate&lt;/keyword&gt;&lt;keyword&gt;CA&lt;/keyword&gt;&lt;keyword&gt;0S&lt;/keyword&gt;&lt;keyword&gt;EC&lt;/keyword&gt;&lt;keyword&gt;SO&lt;/keyword&gt;&lt;keyword&gt;TR&lt;/keyword&gt;&lt;keyword&gt;ZG&lt;/keyword&gt;&lt;keyword&gt;FT&lt;/keyword&gt;&lt;keyword&gt;FF&lt;/keyword&gt;&lt;keyword&gt;ZS&lt;/keyword&gt;&lt;keyword&gt;PP500&lt;/keyword&gt;&lt;keyword&gt;climatic change&lt;/keyword&gt;&lt;keyword&gt;emission&lt;/keyword&gt;&lt;keyword&gt;global warming&lt;/keyword&gt;&lt;keyword&gt;greenhouse gases&lt;/keyword&gt;&lt;keyword&gt;human activity&lt;/keyword&gt;&lt;keyword&gt;palaeoclimatology&lt;/keyword&gt;&lt;keyword&gt;precipitation&lt;/keyword&gt;&lt;keyword&gt;snow cover&lt;/keyword&gt;&lt;keyword&gt;temperature&lt;/keyword&gt;&lt;keyword&gt;climate change&lt;/keyword&gt;&lt;keyword&gt;paleoclimatology&lt;/keyword&gt;&lt;keyword&gt;sea level&lt;/keyword&gt;&lt;/keywords&gt;&lt;dates&gt;&lt;year&gt;2007&lt;/year&gt;&lt;/dates&gt;&lt;pub-location&gt;Geneva&lt;/pub-location&gt;&lt;publisher&gt;Intergovernmental Panel on Climate Change (IPCC)&lt;/publisher&gt;&lt;urls&gt;&lt;related-urls&gt;&lt;url&gt;http://www.ipcc.ch/pdf/assessment-report/ar4/wg1/ar4-wg1-spm.pdf&lt;/url&gt;&lt;/related-urls&gt;&lt;/urls&gt;&lt;remote-database-provider&gt;CAB International&lt;/remote-database-provider&gt;&lt;language&gt;English&lt;/language&gt;&lt;/record&gt;&lt;/Cite&gt;&lt;/EndNote&gt;</w:instrText>
      </w:r>
      <w:r w:rsidR="00E71FB7" w:rsidRPr="004E7800">
        <w:rPr>
          <w:rFonts w:cstheme="minorHAnsi"/>
        </w:rPr>
        <w:fldChar w:fldCharType="separate"/>
      </w:r>
      <w:r w:rsidRPr="007E19BA">
        <w:rPr>
          <w:rFonts w:cstheme="minorHAnsi"/>
          <w:noProof/>
          <w:lang w:val="en-US"/>
        </w:rPr>
        <w:t>(</w:t>
      </w:r>
      <w:hyperlink w:anchor="_ENREF_22" w:tooltip="IPCC, 2007 #335" w:history="1">
        <w:r w:rsidR="002C46A7" w:rsidRPr="007E19BA">
          <w:rPr>
            <w:rFonts w:cstheme="minorHAnsi"/>
            <w:noProof/>
            <w:lang w:val="en-US"/>
          </w:rPr>
          <w:t>IPCC, 2007b</w:t>
        </w:r>
      </w:hyperlink>
      <w:r w:rsidRPr="007E19BA">
        <w:rPr>
          <w:rFonts w:cstheme="minorHAnsi"/>
          <w:noProof/>
          <w:lang w:val="en-US"/>
        </w:rPr>
        <w:t>)</w:t>
      </w:r>
      <w:r w:rsidR="00E71FB7" w:rsidRPr="004E7800">
        <w:rPr>
          <w:rFonts w:cstheme="minorHAnsi"/>
        </w:rPr>
        <w:fldChar w:fldCharType="end"/>
      </w:r>
      <w:r w:rsidRPr="00B339A5">
        <w:rPr>
          <w:rFonts w:cstheme="minorHAnsi"/>
          <w:lang w:val="en-US"/>
        </w:rPr>
        <w:t xml:space="preserve">, </w:t>
      </w:r>
      <w:r>
        <w:rPr>
          <w:rFonts w:cstheme="minorHAnsi"/>
          <w:lang w:val="en-US"/>
        </w:rPr>
        <w:t>CA</w:t>
      </w:r>
      <w:r w:rsidRPr="00B339A5">
        <w:rPr>
          <w:rFonts w:cstheme="minorHAnsi"/>
          <w:lang w:val="en-US"/>
        </w:rPr>
        <w:t xml:space="preserve"> may face declining rainfall during spring, summer and autumn and slight increase or unchanged precipitation during the winter periods. According to IPCC fourth assessment report, the temperature in CA may increase by 3.7</w:t>
      </w:r>
      <w:r w:rsidRPr="00B339A5">
        <w:rPr>
          <w:lang w:val="en-US"/>
        </w:rPr>
        <w:t xml:space="preserve"> </w:t>
      </w:r>
      <w:r w:rsidRPr="00B339A5">
        <w:rPr>
          <w:rFonts w:cstheme="minorHAnsi"/>
          <w:lang w:val="en-US"/>
        </w:rPr>
        <w:t xml:space="preserve">°C on average by the end of the century and this is mainly expected to occur during June, July and August, which are the most important months in the vegetation period. Higher temperatures during the vegetation period may cause higher probability of drought risk and declining productivity of agricultural production </w:t>
      </w:r>
      <w:r w:rsidR="00E71FB7" w:rsidRPr="004E7800">
        <w:rPr>
          <w:rFonts w:cstheme="minorHAnsi"/>
        </w:rPr>
        <w:fldChar w:fldCharType="begin"/>
      </w:r>
      <w:r w:rsidRPr="007E19BA">
        <w:rPr>
          <w:rFonts w:cstheme="minorHAnsi"/>
          <w:lang w:val="en-US"/>
        </w:rPr>
        <w:instrText xml:space="preserve"> ADDIN EN.CITE &lt;EndNote&gt;&lt;Cite&gt;&lt;Author&gt;IPCC&lt;/Author&gt;&lt;Year&gt;2007&lt;/Year&gt;&lt;RecNum&gt;130&lt;/RecNum&gt;&lt;DisplayText&gt;(IPCC, 2007a)&lt;/DisplayText&gt;&lt;record&gt;&lt;rec-number&gt;130&lt;/rec-number&gt;&lt;foreign-keys&gt;&lt;key app="EN" db-id="0erxvrzsjv5szqefaesv09e4awxs2t5saw90"&gt;130&lt;/key&gt;&lt;/foreign-keys&gt;&lt;ref-type name="Report"&gt;27&lt;/ref-type&gt;&lt;contributors&gt;&lt;authors&gt;&lt;author&gt;IPCC&lt;/author&gt;&lt;/authors&gt;&lt;/contributors&gt;&lt;titles&gt;&lt;title&gt;Climate change 2007: Impacts, adaptation and vulnerability&lt;/title&gt;&lt;secondary-title&gt;Contribution of Working Group II to the Fourth Assessment Report of the Intergovernmental Panel on Climate Change&lt;/secondary-title&gt;&lt;/titles&gt;&lt;dates&gt;&lt;year&gt;2007&lt;/year&gt;&lt;/dates&gt;&lt;pub-location&gt;Cambridge, UK&lt;/pub-location&gt;&lt;publisher&gt;Cambridge University Press&lt;/publisher&gt;&lt;urls&gt;&lt;/urls&gt;&lt;/record&gt;&lt;/Cite&gt;&lt;/EndNote&gt;</w:instrText>
      </w:r>
      <w:r w:rsidR="00E71FB7" w:rsidRPr="004E7800">
        <w:rPr>
          <w:rFonts w:cstheme="minorHAnsi"/>
        </w:rPr>
        <w:fldChar w:fldCharType="separate"/>
      </w:r>
      <w:r w:rsidRPr="007E19BA">
        <w:rPr>
          <w:rFonts w:cstheme="minorHAnsi"/>
          <w:noProof/>
          <w:lang w:val="en-US"/>
        </w:rPr>
        <w:t>(</w:t>
      </w:r>
      <w:hyperlink w:anchor="_ENREF_21" w:tooltip="IPCC, 2007 #130" w:history="1">
        <w:r w:rsidR="002C46A7" w:rsidRPr="007E19BA">
          <w:rPr>
            <w:rFonts w:cstheme="minorHAnsi"/>
            <w:noProof/>
            <w:lang w:val="en-US"/>
          </w:rPr>
          <w:t>IPCC, 2007a</w:t>
        </w:r>
      </w:hyperlink>
      <w:r w:rsidRPr="007E19BA">
        <w:rPr>
          <w:rFonts w:cstheme="minorHAnsi"/>
          <w:noProof/>
          <w:lang w:val="en-US"/>
        </w:rPr>
        <w:t>)</w:t>
      </w:r>
      <w:r w:rsidR="00E71FB7" w:rsidRPr="004E7800">
        <w:rPr>
          <w:rFonts w:cstheme="minorHAnsi"/>
        </w:rPr>
        <w:fldChar w:fldCharType="end"/>
      </w:r>
      <w:r w:rsidRPr="00B339A5">
        <w:rPr>
          <w:rFonts w:cstheme="minorHAnsi"/>
          <w:lang w:val="en-US"/>
        </w:rPr>
        <w:t>.</w:t>
      </w:r>
    </w:p>
    <w:p w:rsidR="001724BE" w:rsidRDefault="001724BE" w:rsidP="00104719">
      <w:pPr>
        <w:autoSpaceDE w:val="0"/>
        <w:autoSpaceDN w:val="0"/>
        <w:adjustRightInd w:val="0"/>
        <w:spacing w:after="240" w:line="360" w:lineRule="auto"/>
        <w:jc w:val="both"/>
        <w:rPr>
          <w:rFonts w:cstheme="minorHAnsi"/>
          <w:lang w:val="en-US"/>
        </w:rPr>
      </w:pPr>
      <w:r w:rsidRPr="00B339A5">
        <w:rPr>
          <w:rFonts w:cstheme="minorHAnsi"/>
          <w:lang w:val="en-US"/>
        </w:rPr>
        <w:t xml:space="preserve">Existing studies about climate change impacts in CA indicate negative effects of climate change on the livelihoods of small-scale farmers who are currently operating </w:t>
      </w:r>
      <w:r w:rsidR="00896287">
        <w:rPr>
          <w:rFonts w:cstheme="minorHAnsi"/>
          <w:lang w:val="en-US"/>
        </w:rPr>
        <w:t>on</w:t>
      </w:r>
      <w:r w:rsidRPr="00B339A5">
        <w:rPr>
          <w:rFonts w:cstheme="minorHAnsi"/>
          <w:lang w:val="en-US"/>
        </w:rPr>
        <w:t xml:space="preserve"> very narrow </w:t>
      </w:r>
      <w:r w:rsidR="00896287">
        <w:rPr>
          <w:rFonts w:cstheme="minorHAnsi"/>
          <w:lang w:val="en-US"/>
        </w:rPr>
        <w:t xml:space="preserve">profit </w:t>
      </w:r>
      <w:r w:rsidRPr="00B339A5">
        <w:rPr>
          <w:rFonts w:cstheme="minorHAnsi"/>
          <w:lang w:val="en-US"/>
        </w:rPr>
        <w:t xml:space="preserve">margin and who lack access to financial resources and technological knowledge in the region </w:t>
      </w:r>
      <w:r w:rsidR="00E71FB7" w:rsidRPr="004E7800">
        <w:rPr>
          <w:rFonts w:cstheme="minorHAnsi"/>
        </w:rPr>
        <w:fldChar w:fldCharType="begin"/>
      </w:r>
      <w:r w:rsidRPr="00B339A5">
        <w:rPr>
          <w:rFonts w:cstheme="minorHAnsi"/>
          <w:lang w:val="en-US"/>
        </w:rPr>
        <w:instrText xml:space="preserve"> ADDIN EN.CITE &lt;EndNote&gt;&lt;Cite&gt;&lt;Author&gt;World Bank&lt;/Author&gt;&lt;Year&gt;2009&lt;/Year&gt;&lt;RecNum&gt;145&lt;/RecNum&gt;&lt;DisplayText&gt;(World Bank, 2009)&lt;/DisplayText&gt;&lt;record&gt;&lt;rec-number&gt;145&lt;/rec-number&gt;&lt;foreign-keys&gt;&lt;key app="EN" db-id="0erxvrzsjv5szqefaesv09e4awxs2t5saw90"&gt;145&lt;/key&gt;&lt;/foreign-keys&gt;&lt;ref-type name="Report"&gt;27&lt;/ref-type&gt;&lt;contributors&gt;&lt;authors&gt;&lt;author&gt;World Bank,&lt;/author&gt;&lt;/authors&gt;&lt;tertiary-authors&gt;&lt;author&gt;The World Bank&lt;/author&gt;&lt;/tertiary-authors&gt;&lt;/contributors&gt;&lt;titles&gt;&lt;title&gt;Adapting to Climate Change in Europe and Central Asia&lt;/title&gt;&lt;/titles&gt;&lt;dates&gt;&lt;year&gt;2009&lt;/year&gt;&lt;pub-dates&gt;&lt;date&gt;June 1&lt;/date&gt;&lt;/pub-dates&gt;&lt;/dates&gt;&lt;urls&gt;&lt;related-urls&gt;&lt;url&gt;http://www.worldbank.org/eca/climate/ECA_CCA_Full_Report.pdf&lt;/url&gt;&lt;/related-urls&gt;&lt;/urls&gt;&lt;/record&gt;&lt;/Cite&gt;&lt;/EndNote&gt;</w:instrText>
      </w:r>
      <w:r w:rsidR="00E71FB7" w:rsidRPr="004E7800">
        <w:rPr>
          <w:rFonts w:cstheme="minorHAnsi"/>
        </w:rPr>
        <w:fldChar w:fldCharType="separate"/>
      </w:r>
      <w:r w:rsidRPr="00B339A5">
        <w:rPr>
          <w:rFonts w:cstheme="minorHAnsi"/>
          <w:noProof/>
          <w:lang w:val="en-US"/>
        </w:rPr>
        <w:t>(</w:t>
      </w:r>
      <w:hyperlink w:anchor="_ENREF_38" w:tooltip="World Bank, 2009 #145" w:history="1">
        <w:r w:rsidR="002C46A7" w:rsidRPr="00B339A5">
          <w:rPr>
            <w:rFonts w:cstheme="minorHAnsi"/>
            <w:noProof/>
            <w:lang w:val="en-US"/>
          </w:rPr>
          <w:t>World Bank, 2009</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w:t>
      </w:r>
      <w:r>
        <w:rPr>
          <w:rFonts w:cstheme="minorHAnsi"/>
          <w:lang w:val="en-US"/>
        </w:rPr>
        <w:t xml:space="preserve"> </w:t>
      </w:r>
      <w:r w:rsidRPr="00B339A5">
        <w:rPr>
          <w:rFonts w:cstheme="minorHAnsi"/>
          <w:lang w:val="en-US"/>
        </w:rPr>
        <w:t xml:space="preserve">There is very limited research available on the impact of climate change on agro-ecosystems and analysis of the adaptation strategies in response to the growing urgency in </w:t>
      </w:r>
      <w:r>
        <w:rPr>
          <w:rFonts w:cstheme="minorHAnsi"/>
          <w:lang w:val="en-US"/>
        </w:rPr>
        <w:t>CA</w:t>
      </w:r>
      <w:r w:rsidRPr="00B339A5">
        <w:rPr>
          <w:rFonts w:cstheme="minorHAnsi"/>
          <w:lang w:val="en-US"/>
        </w:rPr>
        <w:t xml:space="preserve"> </w:t>
      </w:r>
      <w:r w:rsidR="00E71FB7" w:rsidRPr="004E7800">
        <w:rPr>
          <w:rFonts w:cstheme="minorHAnsi"/>
        </w:rPr>
        <w:fldChar w:fldCharType="begin"/>
      </w:r>
      <w:r w:rsidRPr="00B339A5">
        <w:rPr>
          <w:rFonts w:cstheme="minorHAnsi"/>
          <w:lang w:val="en-US"/>
        </w:rPr>
        <w:instrText xml:space="preserve"> ADDIN EN.CITE &lt;EndNote&gt;&lt;Cite&gt;&lt;Author&gt;Christmann&lt;/Author&gt;&lt;Year&gt;2011&lt;/Year&gt;&lt;RecNum&gt;180&lt;/RecNum&gt;&lt;DisplayText&gt;(Christmann and Aw-Hassan, 2011)&lt;/DisplayText&gt;&lt;record&gt;&lt;rec-number&gt;180&lt;/rec-number&gt;&lt;foreign-keys&gt;&lt;key app="EN" db-id="0erxvrzsjv5szqefaesv09e4awxs2t5saw90"&gt;180&lt;/key&gt;&lt;/foreign-keys&gt;&lt;ref-type name="Journal Article"&gt;17&lt;/ref-type&gt;&lt;contributors&gt;&lt;authors&gt;&lt;author&gt;Christmann, Stefanie&lt;/author&gt;&lt;author&gt;Aw-Hassan, Aden&lt;/author&gt;&lt;/authors&gt;&lt;/contributors&gt;&lt;titles&gt;&lt;title&gt;Should agricultural research in Central Asia and Caucasus (CAC) re-prioritize its agenda with view to climate change?&lt;/title&gt;&lt;secondary-title&gt;Agriculture, Ecosystems &amp;amp; Environment&lt;/secondary-title&gt;&lt;/titles&gt;&lt;periodical&gt;&lt;full-title&gt;Agriculture, Ecosystems &amp;amp; Environment&lt;/full-title&gt;&lt;/periodical&gt;&lt;pages&gt;314-316&lt;/pages&gt;&lt;volume&gt;140&lt;/volume&gt;&lt;number&gt;1–2&lt;/number&gt;&lt;dates&gt;&lt;year&gt;2011&lt;/year&gt;&lt;pub-dates&gt;&lt;date&gt;1/30/&lt;/date&gt;&lt;/pub-dates&gt;&lt;/dates&gt;&lt;isbn&gt;0167-8809&lt;/isbn&gt;&lt;urls&gt;&lt;related-urls&gt;&lt;url&gt;http://www.sciencedirect.com/science/article/pii/S016788091000321X&lt;/url&gt;&lt;/related-urls&gt;&lt;/urls&gt;&lt;electronic-resource-num&gt;http://dx.doi.org/10.1016/j.agee.2010.12.006&lt;/electronic-resource-num&gt;&lt;/record&gt;&lt;/Cite&gt;&lt;/EndNote&gt;</w:instrText>
      </w:r>
      <w:r w:rsidR="00E71FB7" w:rsidRPr="004E7800">
        <w:rPr>
          <w:rFonts w:cstheme="minorHAnsi"/>
        </w:rPr>
        <w:fldChar w:fldCharType="separate"/>
      </w:r>
      <w:r w:rsidRPr="00B339A5">
        <w:rPr>
          <w:rFonts w:cstheme="minorHAnsi"/>
          <w:noProof/>
          <w:lang w:val="en-US"/>
        </w:rPr>
        <w:t>(</w:t>
      </w:r>
      <w:hyperlink w:anchor="_ENREF_11" w:tooltip="Christmann, 2011 #180" w:history="1">
        <w:r w:rsidR="002C46A7" w:rsidRPr="00B339A5">
          <w:rPr>
            <w:rFonts w:cstheme="minorHAnsi"/>
            <w:noProof/>
            <w:lang w:val="en-US"/>
          </w:rPr>
          <w:t>Christmann and Aw-Hassan, 2011</w:t>
        </w:r>
      </w:hyperlink>
      <w:r w:rsidRPr="00B339A5">
        <w:rPr>
          <w:rFonts w:cstheme="minorHAnsi"/>
          <w:noProof/>
          <w:lang w:val="en-US"/>
        </w:rPr>
        <w:t>)</w:t>
      </w:r>
      <w:r w:rsidR="00E71FB7" w:rsidRPr="004E7800">
        <w:rPr>
          <w:rFonts w:cstheme="minorHAnsi"/>
        </w:rPr>
        <w:fldChar w:fldCharType="end"/>
      </w:r>
      <w:r w:rsidRPr="00B339A5">
        <w:rPr>
          <w:rFonts w:cstheme="minorHAnsi"/>
          <w:lang w:val="en-US"/>
        </w:rPr>
        <w:t>.</w:t>
      </w:r>
      <w:r>
        <w:rPr>
          <w:rFonts w:cstheme="minorHAnsi"/>
          <w:lang w:val="en-US"/>
        </w:rPr>
        <w:t xml:space="preserve"> </w:t>
      </w:r>
      <w:r w:rsidR="00896287">
        <w:rPr>
          <w:rFonts w:cstheme="minorHAnsi"/>
          <w:lang w:val="en-US"/>
        </w:rPr>
        <w:t>In particular</w:t>
      </w:r>
      <w:r>
        <w:rPr>
          <w:rFonts w:cstheme="minorHAnsi"/>
          <w:lang w:val="en-US"/>
        </w:rPr>
        <w:t>, the impact of market integration on household</w:t>
      </w:r>
      <w:r w:rsidR="00896287">
        <w:rPr>
          <w:rFonts w:cstheme="minorHAnsi"/>
          <w:lang w:val="en-US"/>
        </w:rPr>
        <w:t>s</w:t>
      </w:r>
      <w:r>
        <w:rPr>
          <w:rFonts w:cstheme="minorHAnsi"/>
          <w:lang w:val="en-US"/>
        </w:rPr>
        <w:t xml:space="preserve"> and farm welfare under conditions of climate change remains</w:t>
      </w:r>
      <w:r w:rsidR="00896287">
        <w:rPr>
          <w:rFonts w:cstheme="minorHAnsi"/>
          <w:lang w:val="en-US"/>
        </w:rPr>
        <w:t xml:space="preserve"> an</w:t>
      </w:r>
      <w:r>
        <w:rPr>
          <w:rFonts w:cstheme="minorHAnsi"/>
          <w:lang w:val="en-US"/>
        </w:rPr>
        <w:t xml:space="preserve"> interesting topic for an investigation in the region.</w:t>
      </w:r>
    </w:p>
    <w:p w:rsidR="001724BE" w:rsidRPr="001068EA" w:rsidRDefault="001724BE" w:rsidP="00104719">
      <w:pPr>
        <w:pStyle w:val="berschrift1"/>
        <w:numPr>
          <w:ilvl w:val="0"/>
          <w:numId w:val="1"/>
        </w:numPr>
        <w:spacing w:line="360" w:lineRule="auto"/>
        <w:jc w:val="both"/>
        <w:rPr>
          <w:rFonts w:asciiTheme="minorHAnsi" w:hAnsiTheme="minorHAnsi"/>
          <w:szCs w:val="22"/>
          <w:lang w:val="en-US"/>
        </w:rPr>
      </w:pPr>
      <w:r w:rsidRPr="001068EA">
        <w:rPr>
          <w:rFonts w:asciiTheme="minorHAnsi" w:hAnsiTheme="minorHAnsi"/>
          <w:szCs w:val="22"/>
          <w:lang w:val="en-US"/>
        </w:rPr>
        <w:t xml:space="preserve">Opportunities and constraints for market integration </w:t>
      </w:r>
    </w:p>
    <w:p w:rsidR="001724BE" w:rsidRDefault="001724BE" w:rsidP="00104719">
      <w:pPr>
        <w:autoSpaceDE w:val="0"/>
        <w:autoSpaceDN w:val="0"/>
        <w:adjustRightInd w:val="0"/>
        <w:spacing w:line="360" w:lineRule="auto"/>
        <w:jc w:val="both"/>
        <w:rPr>
          <w:rFonts w:cstheme="minorHAnsi"/>
          <w:lang w:val="en-US"/>
        </w:rPr>
      </w:pPr>
      <w:r w:rsidRPr="00450906">
        <w:rPr>
          <w:rFonts w:cstheme="minorHAnsi"/>
          <w:lang w:val="en-US"/>
        </w:rPr>
        <w:t>CIS countries have established several regional cooperation organizations in order to develop economic cooperation between these states. There is a very long list of regional organization</w:t>
      </w:r>
      <w:r w:rsidR="00186F8F">
        <w:rPr>
          <w:rFonts w:cstheme="minorHAnsi"/>
          <w:lang w:val="en-US"/>
        </w:rPr>
        <w:t>s</w:t>
      </w:r>
      <w:r>
        <w:rPr>
          <w:rFonts w:cstheme="minorHAnsi"/>
          <w:lang w:val="en-US"/>
        </w:rPr>
        <w:t xml:space="preserve"> </w:t>
      </w:r>
      <w:r w:rsidRPr="00450906">
        <w:rPr>
          <w:rFonts w:cstheme="minorHAnsi"/>
          <w:lang w:val="en-US"/>
        </w:rPr>
        <w:t>and several ones are expected to be established in the future</w:t>
      </w:r>
      <w:r>
        <w:rPr>
          <w:rFonts w:cstheme="minorHAnsi"/>
          <w:lang w:val="en-US"/>
        </w:rPr>
        <w:t xml:space="preserve"> </w:t>
      </w:r>
      <w:r w:rsidR="00E71FB7">
        <w:rPr>
          <w:rFonts w:cstheme="minorHAnsi"/>
          <w:lang w:val="en-US"/>
        </w:rPr>
        <w:fldChar w:fldCharType="begin">
          <w:fldData xml:space="preserve">PEVuZE5vdGU+PENpdGU+PEF1dGhvcj5BREI8L0F1dGhvcj48WWVhcj4yMDA2PC9ZZWFyPjxSZWNO
dW0+NjY8L1JlY051bT48RGlzcGxheVRleHQ+KFBvbWZyZXQsIDIwMDU7IFVORFAsIDIwMDU7IEFE
QiwgMjAwNik8L0Rpc3BsYXlUZXh0PjxyZWNvcmQ+PHJlYy1udW1iZXI+NjY8L3JlYy1udW1iZXI+
PGZvcmVpZ24ta2V5cz48a2V5IGFwcD0iRU4iIGRiLWlkPSIwZXJ4dnJ6c2p2NXN6cWVmYWVzdjA5
ZTRhd3hzMnQ1c2F3OTAiPjY2PC9rZXk+PC9mb3JlaWduLWtleXM+PHJlZi10eXBlIG5hbWU9IlJl
cG9ydCI+Mjc8L3JlZi10eXBlPjxjb250cmlidXRvcnM+PGF1dGhvcnM+PGF1dGhvcj5BREI8L2F1
dGhvcj48L2F1dGhvcnM+PC9jb250cmlidXRvcnM+PHRpdGxlcz48dGl0bGU+Q2VudHJhbCBBc2lh
LiBJbmNyZWFzaW5nIEdhaW5zIGZyb20gVHJhZGUgVGhyb3VnaCBSZWdpb25hbCBDb29wZXJhdGlv
biBpbiBUcmFkZSBQb2xpY3ksIFRyYW5zcG9ydCwgYW5kIEN1c3RvbXMgVHJhbnNpdDwvdGl0bGU+
PC90aXRsZXM+PGRhdGVzPjx5ZWFyPjIwMDY8L3llYXI+PC9kYXRlcz48cHViLWxvY2F0aW9uPlBo
aWxpcHBpbmVzPC9wdWItbG9jYXRpb24+PHB1Ymxpc2hlcj5Bc2lhbiBEZXZlbG9wbWVudCBCYW5r
PC9wdWJsaXNoZXI+PHVybHM+PC91cmxzPjwvcmVjb3JkPjwvQ2l0ZT48Q2l0ZT48QXV0aG9yPlBv
bWZyZXQ8L0F1dGhvcj48WWVhcj4yMDA1PC9ZZWFyPjxSZWNOdW0+MTI8L1JlY051bT48cmVjb3Jk
PjxyZWMtbnVtYmVyPjEyPC9yZWMtbnVtYmVyPjxmb3JlaWduLWtleXM+PGtleSBhcHA9IkVOIiBk
Yi1pZD0iMGVyeHZyenNqdjVzenFlZmFlc3YwOWU0YXd4czJ0NXNhdzkwIj4xMjwva2V5PjwvZm9y
ZWlnbi1rZXlzPjxyZWYtdHlwZSBuYW1lPSJKb3VybmFsIEFydGljbGUiPjE3PC9yZWYtdHlwZT48
Y29udHJpYnV0b3JzPjxhdXRob3JzPjxhdXRob3I+UG9tZnJldCwgUmljaGFyZDwvYXV0aG9yPjwv
YXV0aG9ycz48L2NvbnRyaWJ1dG9ycz48dGl0bGVzPjx0aXRsZT5UcmFkZSBwb2xpY2llcyBpbiBD
ZW50cmFsIEFzaWEgYWZ0ZXIgRVUgZW5sYXJnZW1lbnQgYW5kIGJlZm9yZSBSdXNzaWFuIFdUTyBh
Y2Nlc3Npb246IFJlZ2lvbmFsaXNtIGFuZCBpbnRlZ3JhdGlvbiBpbnRvIHRoZSB3b3JsZCBlY29u
b215PC90aXRsZT48c2Vjb25kYXJ5LXRpdGxlPkVjb25vbWljIFN5c3RlbXM8L3NlY29uZGFyeS10
aXRsZT48L3RpdGxlcz48cGVyaW9kaWNhbD48ZnVsbC10aXRsZT5FY29ub21pYyBTeXN0ZW1zPC9m
dWxsLXRpdGxlPjwvcGVyaW9kaWNhbD48cGFnZXM+MzItNTg8L3BhZ2VzPjx2b2x1bWU+Mjk8L3Zv
bHVtZT48bnVtYmVyPjE8L251bWJlcj48a2V5d29yZHM+PGtleXdvcmQ+UmVnaW9uYWxpc208L2tl
eXdvcmQ+PGtleXdvcmQ+V1RPPC9rZXl3b3JkPjxrZXl3b3JkPkNlbnRyYWwgQXNpYTwva2V5d29y
ZD48L2tleXdvcmRzPjxkYXRlcz48eWVhcj4yMDA1PC95ZWFyPjxwdWItZGF0ZXM+PGRhdGU+My8v
PC9kYXRlPjwvcHViLWRhdGVzPjwvZGF0ZXM+PGlzYm4+MDkzOS0zNjI1PC9pc2JuPjx1cmxzPjxy
ZWxhdGVkLXVybHM+PHVybD5odHRwOi8vd3d3LnNjaWVuY2VkaXJlY3QuY29tL3NjaWVuY2UvYXJ0
aWNsZS9waWkvUzA5MzkzNjI1MDUwMDAxNjY8L3VybD48L3JlbGF0ZWQtdXJscz48L3VybHM+PGVs
ZWN0cm9uaWMtcmVzb3VyY2UtbnVtPmh0dHA6Ly9keC5kb2kub3JnLzEwLjEwMTYvai5lY29zeXMu
MjAwNS4wMS4wMDI8L2VsZWN0cm9uaWMtcmVzb3VyY2UtbnVtPjwvcmVjb3JkPjwvQ2l0ZT48Q2l0
ZT48QXV0aG9yPlVORFA8L0F1dGhvcj48WWVhcj4yMDA1PC9ZZWFyPjxSZWNOdW0+ODM8L1JlY051
bT48cmVjb3JkPjxyZWMtbnVtYmVyPjgzPC9yZWMtbnVtYmVyPjxmb3JlaWduLWtleXM+PGtleSBh
cHA9IkVOIiBkYi1pZD0iMGVyeHZyenNqdjVzenFlZmFlc3YwOWU0YXd4czJ0NXNhdzkwIj44Mzwv
a2V5PjwvZm9yZWlnbi1rZXlzPjxyZWYtdHlwZSBuYW1lPSJSZXBvcnQiPjI3PC9yZWYtdHlwZT48
Y29udHJpYnV0b3JzPjxhdXRob3JzPjxhdXRob3I+VU5EUDwvYXV0aG9yPjwvYXV0aG9ycz48L2Nv
bnRyaWJ1dG9ycz48dGl0bGVzPjx0aXRsZT5DZW50cmFsIEFzaWEgaHVtYW4gZGV2ZWxvcG1lbnQg
cmVwb3J0LiBCcmluZ2luZyBkb3duIGJhcnJpZXJzOiBSZWdpb25hbCBjb29wZXJhdGlvbiBmb3Ig
aHVtYW4gZGV2ZWxvcG1lbnQgYW5kIGh1bWFuIHNlY3VyaXR5PC90aXRsZT48L3RpdGxlcz48ZGF0
ZXM+PHllYXI+MjAwNTwveWVhcj48L2RhdGVzPjxwdWItbG9jYXRpb24+QnJhdGlzbGF2YSwgU2xv
dmFrIFJlcHVibGljPC9wdWItbG9jYXRpb24+PHB1Ymxpc2hlcj5UaGUgVU5EUCBSZWdpb25hbCBC
dXJlYXUgZm9yIEV1cm9wZSBhbmQgdGhlIENvbW1vbndlYWx0aCBvZiBJbmRlcGVuZGVudCBTdGF0
ZXM8L3B1Ymxpc2hlcj48dXJscz48L3VybHM+PC9yZWNvcmQ+PC9DaXRlPjwvRW5kTm90ZT4A
</w:fldData>
        </w:fldChar>
      </w:r>
      <w:r>
        <w:rPr>
          <w:rFonts w:cstheme="minorHAnsi"/>
          <w:lang w:val="en-US"/>
        </w:rPr>
        <w:instrText xml:space="preserve"> ADDIN EN.CITE </w:instrText>
      </w:r>
      <w:r w:rsidR="00E71FB7">
        <w:rPr>
          <w:rFonts w:cstheme="minorHAnsi"/>
          <w:lang w:val="en-US"/>
        </w:rPr>
        <w:fldChar w:fldCharType="begin">
          <w:fldData xml:space="preserve">PEVuZE5vdGU+PENpdGU+PEF1dGhvcj5BREI8L0F1dGhvcj48WWVhcj4yMDA2PC9ZZWFyPjxSZWNO
dW0+NjY8L1JlY051bT48RGlzcGxheVRleHQ+KFBvbWZyZXQsIDIwMDU7IFVORFAsIDIwMDU7IEFE
QiwgMjAwNik8L0Rpc3BsYXlUZXh0PjxyZWNvcmQ+PHJlYy1udW1iZXI+NjY8L3JlYy1udW1iZXI+
PGZvcmVpZ24ta2V5cz48a2V5IGFwcD0iRU4iIGRiLWlkPSIwZXJ4dnJ6c2p2NXN6cWVmYWVzdjA5
ZTRhd3hzMnQ1c2F3OTAiPjY2PC9rZXk+PC9mb3JlaWduLWtleXM+PHJlZi10eXBlIG5hbWU9IlJl
cG9ydCI+Mjc8L3JlZi10eXBlPjxjb250cmlidXRvcnM+PGF1dGhvcnM+PGF1dGhvcj5BREI8L2F1
dGhvcj48L2F1dGhvcnM+PC9jb250cmlidXRvcnM+PHRpdGxlcz48dGl0bGU+Q2VudHJhbCBBc2lh
LiBJbmNyZWFzaW5nIEdhaW5zIGZyb20gVHJhZGUgVGhyb3VnaCBSZWdpb25hbCBDb29wZXJhdGlv
biBpbiBUcmFkZSBQb2xpY3ksIFRyYW5zcG9ydCwgYW5kIEN1c3RvbXMgVHJhbnNpdDwvdGl0bGU+
PC90aXRsZXM+PGRhdGVzPjx5ZWFyPjIwMDY8L3llYXI+PC9kYXRlcz48cHViLWxvY2F0aW9uPlBo
aWxpcHBpbmVzPC9wdWItbG9jYXRpb24+PHB1Ymxpc2hlcj5Bc2lhbiBEZXZlbG9wbWVudCBCYW5r
PC9wdWJsaXNoZXI+PHVybHM+PC91cmxzPjwvcmVjb3JkPjwvQ2l0ZT48Q2l0ZT48QXV0aG9yPlBv
bWZyZXQ8L0F1dGhvcj48WWVhcj4yMDA1PC9ZZWFyPjxSZWNOdW0+MTI8L1JlY051bT48cmVjb3Jk
PjxyZWMtbnVtYmVyPjEyPC9yZWMtbnVtYmVyPjxmb3JlaWduLWtleXM+PGtleSBhcHA9IkVOIiBk
Yi1pZD0iMGVyeHZyenNqdjVzenFlZmFlc3YwOWU0YXd4czJ0NXNhdzkwIj4xMjwva2V5PjwvZm9y
ZWlnbi1rZXlzPjxyZWYtdHlwZSBuYW1lPSJKb3VybmFsIEFydGljbGUiPjE3PC9yZWYtdHlwZT48
Y29udHJpYnV0b3JzPjxhdXRob3JzPjxhdXRob3I+UG9tZnJldCwgUmljaGFyZDwvYXV0aG9yPjwv
YXV0aG9ycz48L2NvbnRyaWJ1dG9ycz48dGl0bGVzPjx0aXRsZT5UcmFkZSBwb2xpY2llcyBpbiBD
ZW50cmFsIEFzaWEgYWZ0ZXIgRVUgZW5sYXJnZW1lbnQgYW5kIGJlZm9yZSBSdXNzaWFuIFdUTyBh
Y2Nlc3Npb246IFJlZ2lvbmFsaXNtIGFuZCBpbnRlZ3JhdGlvbiBpbnRvIHRoZSB3b3JsZCBlY29u
b215PC90aXRsZT48c2Vjb25kYXJ5LXRpdGxlPkVjb25vbWljIFN5c3RlbXM8L3NlY29uZGFyeS10
aXRsZT48L3RpdGxlcz48cGVyaW9kaWNhbD48ZnVsbC10aXRsZT5FY29ub21pYyBTeXN0ZW1zPC9m
dWxsLXRpdGxlPjwvcGVyaW9kaWNhbD48cGFnZXM+MzItNTg8L3BhZ2VzPjx2b2x1bWU+Mjk8L3Zv
bHVtZT48bnVtYmVyPjE8L251bWJlcj48a2V5d29yZHM+PGtleXdvcmQ+UmVnaW9uYWxpc208L2tl
eXdvcmQ+PGtleXdvcmQ+V1RPPC9rZXl3b3JkPjxrZXl3b3JkPkNlbnRyYWwgQXNpYTwva2V5d29y
ZD48L2tleXdvcmRzPjxkYXRlcz48eWVhcj4yMDA1PC95ZWFyPjxwdWItZGF0ZXM+PGRhdGU+My8v
PC9kYXRlPjwvcHViLWRhdGVzPjwvZGF0ZXM+PGlzYm4+MDkzOS0zNjI1PC9pc2JuPjx1cmxzPjxy
ZWxhdGVkLXVybHM+PHVybD5odHRwOi8vd3d3LnNjaWVuY2VkaXJlY3QuY29tL3NjaWVuY2UvYXJ0
aWNsZS9waWkvUzA5MzkzNjI1MDUwMDAxNjY8L3VybD48L3JlbGF0ZWQtdXJscz48L3VybHM+PGVs
ZWN0cm9uaWMtcmVzb3VyY2UtbnVtPmh0dHA6Ly9keC5kb2kub3JnLzEwLjEwMTYvai5lY29zeXMu
MjAwNS4wMS4wMDI8L2VsZWN0cm9uaWMtcmVzb3VyY2UtbnVtPjwvcmVjb3JkPjwvQ2l0ZT48Q2l0
ZT48QXV0aG9yPlVORFA8L0F1dGhvcj48WWVhcj4yMDA1PC9ZZWFyPjxSZWNOdW0+ODM8L1JlY051
bT48cmVjb3JkPjxyZWMtbnVtYmVyPjgzPC9yZWMtbnVtYmVyPjxmb3JlaWduLWtleXM+PGtleSBh
cHA9IkVOIiBkYi1pZD0iMGVyeHZyenNqdjVzenFlZmFlc3YwOWU0YXd4czJ0NXNhdzkwIj44Mzwv
a2V5PjwvZm9yZWlnbi1rZXlzPjxyZWYtdHlwZSBuYW1lPSJSZXBvcnQiPjI3PC9yZWYtdHlwZT48
Y29udHJpYnV0b3JzPjxhdXRob3JzPjxhdXRob3I+VU5EUDwvYXV0aG9yPjwvYXV0aG9ycz48L2Nv
bnRyaWJ1dG9ycz48dGl0bGVzPjx0aXRsZT5DZW50cmFsIEFzaWEgaHVtYW4gZGV2ZWxvcG1lbnQg
cmVwb3J0LiBCcmluZ2luZyBkb3duIGJhcnJpZXJzOiBSZWdpb25hbCBjb29wZXJhdGlvbiBmb3Ig
aHVtYW4gZGV2ZWxvcG1lbnQgYW5kIGh1bWFuIHNlY3VyaXR5PC90aXRsZT48L3RpdGxlcz48ZGF0
ZXM+PHllYXI+MjAwNTwveWVhcj48L2RhdGVzPjxwdWItbG9jYXRpb24+QnJhdGlzbGF2YSwgU2xv
dmFrIFJlcHVibGljPC9wdWItbG9jYXRpb24+PHB1Ymxpc2hlcj5UaGUgVU5EUCBSZWdpb25hbCBC
dXJlYXUgZm9yIEV1cm9wZSBhbmQgdGhlIENvbW1vbndlYWx0aCBvZiBJbmRlcGVuZGVudCBTdGF0
ZXM8L3B1Ymxpc2hlcj48dXJscz48L3VybHM+PC9yZWNvcmQ+PC9DaXRlPjwvRW5kTm90ZT4A
</w:fldData>
        </w:fldChar>
      </w:r>
      <w:r>
        <w:rPr>
          <w:rFonts w:cstheme="minorHAnsi"/>
          <w:lang w:val="en-US"/>
        </w:rPr>
        <w:instrText xml:space="preserve"> ADDIN EN.CITE.DATA </w:instrText>
      </w:r>
      <w:r w:rsidR="00E71FB7">
        <w:rPr>
          <w:rFonts w:cstheme="minorHAnsi"/>
          <w:lang w:val="en-US"/>
        </w:rPr>
      </w:r>
      <w:r w:rsidR="00E71FB7">
        <w:rPr>
          <w:rFonts w:cstheme="minorHAnsi"/>
          <w:lang w:val="en-US"/>
        </w:rPr>
        <w:fldChar w:fldCharType="end"/>
      </w:r>
      <w:r w:rsidR="00E71FB7">
        <w:rPr>
          <w:rFonts w:cstheme="minorHAnsi"/>
          <w:lang w:val="en-US"/>
        </w:rPr>
      </w:r>
      <w:r w:rsidR="00E71FB7">
        <w:rPr>
          <w:rFonts w:cstheme="minorHAnsi"/>
          <w:lang w:val="en-US"/>
        </w:rPr>
        <w:fldChar w:fldCharType="separate"/>
      </w:r>
      <w:r>
        <w:rPr>
          <w:rFonts w:cstheme="minorHAnsi"/>
          <w:noProof/>
          <w:lang w:val="en-US"/>
        </w:rPr>
        <w:t>(</w:t>
      </w:r>
      <w:hyperlink w:anchor="_ENREF_29" w:tooltip="Pomfret, 2005 #12" w:history="1">
        <w:r w:rsidR="002C46A7">
          <w:rPr>
            <w:rFonts w:cstheme="minorHAnsi"/>
            <w:noProof/>
            <w:lang w:val="en-US"/>
          </w:rPr>
          <w:t>Pomfret, 2005</w:t>
        </w:r>
      </w:hyperlink>
      <w:proofErr w:type="gramStart"/>
      <w:r>
        <w:rPr>
          <w:rFonts w:cstheme="minorHAnsi"/>
          <w:noProof/>
          <w:lang w:val="en-US"/>
        </w:rPr>
        <w:t xml:space="preserve">; </w:t>
      </w:r>
      <w:hyperlink w:anchor="_ENREF_36" w:tooltip="UNDP, 2005 #83" w:history="1">
        <w:r w:rsidR="002C46A7">
          <w:rPr>
            <w:rFonts w:cstheme="minorHAnsi"/>
            <w:noProof/>
            <w:lang w:val="en-US"/>
          </w:rPr>
          <w:t>UNDP, 2005</w:t>
        </w:r>
      </w:hyperlink>
      <w:r>
        <w:rPr>
          <w:rFonts w:cstheme="minorHAnsi"/>
          <w:noProof/>
          <w:lang w:val="en-US"/>
        </w:rPr>
        <w:t>;</w:t>
      </w:r>
      <w:proofErr w:type="gramEnd"/>
      <w:r>
        <w:rPr>
          <w:rFonts w:cstheme="minorHAnsi"/>
          <w:noProof/>
          <w:lang w:val="en-US"/>
        </w:rPr>
        <w:t xml:space="preserve"> </w:t>
      </w:r>
      <w:hyperlink w:anchor="_ENREF_1" w:tooltip="ADB, 2006 #66" w:history="1">
        <w:r w:rsidR="002C46A7">
          <w:rPr>
            <w:rFonts w:cstheme="minorHAnsi"/>
            <w:noProof/>
            <w:lang w:val="en-US"/>
          </w:rPr>
          <w:t>ADB, 2006</w:t>
        </w:r>
      </w:hyperlink>
      <w:r>
        <w:rPr>
          <w:rFonts w:cstheme="minorHAnsi"/>
          <w:noProof/>
          <w:lang w:val="en-US"/>
        </w:rPr>
        <w:t>)</w:t>
      </w:r>
      <w:r w:rsidR="00E71FB7">
        <w:rPr>
          <w:rFonts w:cstheme="minorHAnsi"/>
          <w:lang w:val="en-US"/>
        </w:rPr>
        <w:fldChar w:fldCharType="end"/>
      </w:r>
      <w:r>
        <w:rPr>
          <w:rFonts w:cstheme="minorHAnsi"/>
          <w:lang w:val="en-US"/>
        </w:rPr>
        <w:t xml:space="preserve">. The </w:t>
      </w:r>
      <w:r w:rsidRPr="00450906">
        <w:rPr>
          <w:rFonts w:cstheme="minorHAnsi"/>
          <w:lang w:val="en-US"/>
        </w:rPr>
        <w:t xml:space="preserve">regional cooperation organizations could play </w:t>
      </w:r>
      <w:r w:rsidR="00186F8F">
        <w:rPr>
          <w:rFonts w:cstheme="minorHAnsi"/>
          <w:lang w:val="en-US"/>
        </w:rPr>
        <w:t xml:space="preserve">an </w:t>
      </w:r>
      <w:r w:rsidRPr="00450906">
        <w:rPr>
          <w:rFonts w:cstheme="minorHAnsi"/>
          <w:lang w:val="en-US"/>
        </w:rPr>
        <w:t xml:space="preserve">important role </w:t>
      </w:r>
      <w:r w:rsidR="00186F8F">
        <w:rPr>
          <w:rFonts w:cstheme="minorHAnsi"/>
          <w:lang w:val="en-US"/>
        </w:rPr>
        <w:t>in</w:t>
      </w:r>
      <w:r w:rsidRPr="00450906">
        <w:rPr>
          <w:rFonts w:cstheme="minorHAnsi"/>
          <w:lang w:val="en-US"/>
        </w:rPr>
        <w:t xml:space="preserve"> improv</w:t>
      </w:r>
      <w:r w:rsidR="00186F8F">
        <w:rPr>
          <w:rFonts w:cstheme="minorHAnsi"/>
          <w:lang w:val="en-US"/>
        </w:rPr>
        <w:t>ing</w:t>
      </w:r>
      <w:r w:rsidRPr="00450906">
        <w:rPr>
          <w:rFonts w:cstheme="minorHAnsi"/>
          <w:lang w:val="en-US"/>
        </w:rPr>
        <w:t xml:space="preserve"> economic cooperation and trade between the states. Furthermore, the regional cooperation could also facilitate the cumbersome transit bureaucracy between the countries, which could also increase the trade between non-CIS countries. However, the impact</w:t>
      </w:r>
      <w:r w:rsidR="00186F8F">
        <w:rPr>
          <w:rFonts w:cstheme="minorHAnsi"/>
          <w:lang w:val="en-US"/>
        </w:rPr>
        <w:t>s</w:t>
      </w:r>
      <w:r w:rsidRPr="00450906">
        <w:rPr>
          <w:rFonts w:cstheme="minorHAnsi"/>
          <w:lang w:val="en-US"/>
        </w:rPr>
        <w:t xml:space="preserve"> of these organization</w:t>
      </w:r>
      <w:r w:rsidR="00186F8F">
        <w:rPr>
          <w:rFonts w:cstheme="minorHAnsi"/>
          <w:lang w:val="en-US"/>
        </w:rPr>
        <w:t>s</w:t>
      </w:r>
      <w:r w:rsidRPr="00450906">
        <w:rPr>
          <w:rFonts w:cstheme="minorHAnsi"/>
          <w:lang w:val="en-US"/>
        </w:rPr>
        <w:t xml:space="preserve"> have been minimal in the past two decades and challenges associated with transportation remains </w:t>
      </w:r>
      <w:r>
        <w:rPr>
          <w:rFonts w:cstheme="minorHAnsi"/>
          <w:lang w:val="en-US"/>
        </w:rPr>
        <w:t xml:space="preserve">unsolved </w:t>
      </w:r>
      <w:r w:rsidR="00E71FB7" w:rsidRPr="00450906">
        <w:rPr>
          <w:rFonts w:cstheme="minorHAnsi"/>
          <w:lang w:val="en-US"/>
        </w:rPr>
        <w:fldChar w:fldCharType="begin"/>
      </w:r>
      <w:r w:rsidRPr="00450906">
        <w:rPr>
          <w:rFonts w:cstheme="minorHAnsi"/>
          <w:lang w:val="en-US"/>
        </w:rPr>
        <w:instrText xml:space="preserve"> ADDIN EN.CITE &lt;EndNote&gt;&lt;Cite&gt;&lt;Author&gt;ADB&lt;/Author&gt;&lt;Year&gt;2006&lt;/Year&gt;&lt;RecNum&gt;66&lt;/RecNum&gt;&lt;DisplayText&gt;(ADB, 2006)&lt;/DisplayText&gt;&lt;record&gt;&lt;rec-number&gt;66&lt;/rec-number&gt;&lt;foreign-keys&gt;&lt;key app="EN" db-id="0erxvrzsjv5szqefaesv09e4awxs2t5saw90"&gt;66&lt;/key&gt;&lt;/foreign-keys&gt;&lt;ref-type name="Report"&gt;27&lt;/ref-type&gt;&lt;contributors&gt;&lt;authors&gt;&lt;author&gt;ADB&lt;/author&gt;&lt;/authors&gt;&lt;/contributors&gt;&lt;titles&gt;&lt;title&gt;Central Asia. Increasing Gains from Trade Through Regional Cooperation in Trade Policy, Transport, and Customs Transit&lt;/title&gt;&lt;/titles&gt;&lt;dates&gt;&lt;year&gt;2006&lt;/year&gt;&lt;/dates&gt;&lt;pub-location&gt;Philippines&lt;/pub-location&gt;&lt;publisher&gt;Asian Development Bank&lt;/publisher&gt;&lt;urls&gt;&lt;/urls&gt;&lt;/record&gt;&lt;/Cite&gt;&lt;/EndNote&gt;</w:instrText>
      </w:r>
      <w:r w:rsidR="00E71FB7" w:rsidRPr="00450906">
        <w:rPr>
          <w:rFonts w:cstheme="minorHAnsi"/>
          <w:lang w:val="en-US"/>
        </w:rPr>
        <w:fldChar w:fldCharType="separate"/>
      </w:r>
      <w:r w:rsidRPr="00450906">
        <w:rPr>
          <w:rFonts w:cstheme="minorHAnsi"/>
          <w:lang w:val="en-US"/>
        </w:rPr>
        <w:t>(</w:t>
      </w:r>
      <w:hyperlink w:anchor="_ENREF_1" w:tooltip="ADB, 2006 #66" w:history="1">
        <w:r w:rsidR="002C46A7" w:rsidRPr="00450906">
          <w:rPr>
            <w:rFonts w:cstheme="minorHAnsi"/>
            <w:lang w:val="en-US"/>
          </w:rPr>
          <w:t>ADB, 2006</w:t>
        </w:r>
      </w:hyperlink>
      <w:r w:rsidRPr="00450906">
        <w:rPr>
          <w:rFonts w:cstheme="minorHAnsi"/>
          <w:lang w:val="en-US"/>
        </w:rPr>
        <w:t>)</w:t>
      </w:r>
      <w:r w:rsidR="00E71FB7" w:rsidRPr="00450906">
        <w:rPr>
          <w:rFonts w:cstheme="minorHAnsi"/>
          <w:lang w:val="en-US"/>
        </w:rPr>
        <w:fldChar w:fldCharType="end"/>
      </w:r>
      <w:r w:rsidRPr="00450906">
        <w:rPr>
          <w:rFonts w:cstheme="minorHAnsi"/>
          <w:lang w:val="en-US"/>
        </w:rPr>
        <w:t>. The f</w:t>
      </w:r>
      <w:r>
        <w:rPr>
          <w:rFonts w:cstheme="minorHAnsi"/>
          <w:lang w:val="en-US"/>
        </w:rPr>
        <w:t>ear</w:t>
      </w:r>
      <w:r w:rsidRPr="00450906">
        <w:rPr>
          <w:rFonts w:cstheme="minorHAnsi"/>
          <w:lang w:val="en-US"/>
        </w:rPr>
        <w:t xml:space="preserve"> that these organization</w:t>
      </w:r>
      <w:r w:rsidR="00186F8F">
        <w:rPr>
          <w:rFonts w:cstheme="minorHAnsi"/>
          <w:lang w:val="en-US"/>
        </w:rPr>
        <w:t>s</w:t>
      </w:r>
      <w:r w:rsidRPr="00450906">
        <w:rPr>
          <w:rFonts w:cstheme="minorHAnsi"/>
          <w:lang w:val="en-US"/>
        </w:rPr>
        <w:t xml:space="preserve"> </w:t>
      </w:r>
      <w:r w:rsidR="00186F8F">
        <w:rPr>
          <w:rFonts w:cstheme="minorHAnsi"/>
          <w:lang w:val="en-US"/>
        </w:rPr>
        <w:t>could</w:t>
      </w:r>
      <w:r w:rsidR="00186F8F" w:rsidRPr="00450906">
        <w:rPr>
          <w:rFonts w:cstheme="minorHAnsi"/>
          <w:lang w:val="en-US"/>
        </w:rPr>
        <w:t xml:space="preserve"> </w:t>
      </w:r>
      <w:r w:rsidRPr="00450906">
        <w:rPr>
          <w:rFonts w:cstheme="minorHAnsi"/>
          <w:lang w:val="en-US"/>
        </w:rPr>
        <w:t xml:space="preserve">become more political was one of the reasons for </w:t>
      </w:r>
      <w:r w:rsidR="00186F8F">
        <w:rPr>
          <w:rFonts w:cstheme="minorHAnsi"/>
          <w:lang w:val="en-US"/>
        </w:rPr>
        <w:t xml:space="preserve">the </w:t>
      </w:r>
      <w:r w:rsidRPr="00450906">
        <w:rPr>
          <w:rFonts w:cstheme="minorHAnsi"/>
          <w:lang w:val="en-US"/>
        </w:rPr>
        <w:t xml:space="preserve">failure of </w:t>
      </w:r>
      <w:r w:rsidR="00186F8F">
        <w:rPr>
          <w:rFonts w:cstheme="minorHAnsi"/>
          <w:lang w:val="en-US"/>
        </w:rPr>
        <w:t xml:space="preserve">a </w:t>
      </w:r>
      <w:r w:rsidRPr="00450906">
        <w:rPr>
          <w:rFonts w:cstheme="minorHAnsi"/>
          <w:lang w:val="en-US"/>
        </w:rPr>
        <w:t xml:space="preserve">wide number of regional agreements and </w:t>
      </w:r>
      <w:proofErr w:type="spellStart"/>
      <w:r w:rsidRPr="00450906">
        <w:rPr>
          <w:rFonts w:cstheme="minorHAnsi"/>
          <w:lang w:val="en-US"/>
        </w:rPr>
        <w:t>cooperations</w:t>
      </w:r>
      <w:proofErr w:type="spellEnd"/>
      <w:r w:rsidRPr="00450906">
        <w:rPr>
          <w:rFonts w:cstheme="minorHAnsi"/>
          <w:lang w:val="en-US"/>
        </w:rPr>
        <w:t xml:space="preserve"> </w:t>
      </w:r>
      <w:r w:rsidR="00E71FB7" w:rsidRPr="00450906">
        <w:rPr>
          <w:rFonts w:cstheme="minorHAnsi"/>
          <w:lang w:val="en-US"/>
        </w:rPr>
        <w:fldChar w:fldCharType="begin"/>
      </w:r>
      <w:r w:rsidRPr="00450906">
        <w:rPr>
          <w:rFonts w:cstheme="minorHAnsi"/>
          <w:lang w:val="en-US"/>
        </w:rPr>
        <w:instrText xml:space="preserve"> ADDIN EN.CITE &lt;EndNote&gt;&lt;Cite&gt;&lt;Author&gt;UNDP&lt;/Author&gt;&lt;Year&gt;2005&lt;/Year&gt;&lt;RecNum&gt;83&lt;/RecNum&gt;&lt;DisplayText&gt;(UNDP, 2005)&lt;/DisplayText&gt;&lt;record&gt;&lt;rec-number&gt;83&lt;/rec-number&gt;&lt;foreign-keys&gt;&lt;key app="EN" db-id="0erxvrzsjv5szqefaesv09e4awxs2t5saw90"&gt;83&lt;/key&gt;&lt;/foreign-keys&gt;&lt;ref-type name="Report"&gt;27&lt;/ref-type&gt;&lt;contributors&gt;&lt;authors&gt;&lt;author&gt;UNDP&lt;/author&gt;&lt;/authors&gt;&lt;/contributors&gt;&lt;titles&gt;&lt;title&gt;Central Asia human development report. Bringing down barriers: Regional cooperation for human development and human security&lt;/title&gt;&lt;/titles&gt;&lt;dates&gt;&lt;year&gt;2005&lt;/year&gt;&lt;/dates&gt;&lt;pub-location&gt;Bratislava, Slovak Republic&lt;/pub-location&gt;&lt;publisher&gt;The UNDP Regional Bureau for Europe and the Commonwealth of Independent States&lt;/publisher&gt;&lt;urls&gt;&lt;/urls&gt;&lt;/record&gt;&lt;/Cite&gt;&lt;/EndNote&gt;</w:instrText>
      </w:r>
      <w:r w:rsidR="00E71FB7" w:rsidRPr="00450906">
        <w:rPr>
          <w:rFonts w:cstheme="minorHAnsi"/>
          <w:lang w:val="en-US"/>
        </w:rPr>
        <w:fldChar w:fldCharType="separate"/>
      </w:r>
      <w:r w:rsidRPr="00450906">
        <w:rPr>
          <w:rFonts w:cstheme="minorHAnsi"/>
          <w:lang w:val="en-US"/>
        </w:rPr>
        <w:t>(</w:t>
      </w:r>
      <w:hyperlink w:anchor="_ENREF_36" w:tooltip="UNDP, 2005 #83" w:history="1">
        <w:r w:rsidR="002C46A7" w:rsidRPr="00450906">
          <w:rPr>
            <w:rFonts w:cstheme="minorHAnsi"/>
            <w:lang w:val="en-US"/>
          </w:rPr>
          <w:t>UNDP, 2005</w:t>
        </w:r>
      </w:hyperlink>
      <w:r w:rsidRPr="00450906">
        <w:rPr>
          <w:rFonts w:cstheme="minorHAnsi"/>
          <w:lang w:val="en-US"/>
        </w:rPr>
        <w:t>)</w:t>
      </w:r>
      <w:r w:rsidR="00E71FB7" w:rsidRPr="00450906">
        <w:rPr>
          <w:rFonts w:cstheme="minorHAnsi"/>
          <w:lang w:val="en-US"/>
        </w:rPr>
        <w:fldChar w:fldCharType="end"/>
      </w:r>
      <w:r w:rsidRPr="00450906">
        <w:rPr>
          <w:rFonts w:cstheme="minorHAnsi"/>
          <w:lang w:val="en-US"/>
        </w:rPr>
        <w:t xml:space="preserve">. </w:t>
      </w:r>
    </w:p>
    <w:p w:rsidR="001724BE" w:rsidRDefault="001724BE" w:rsidP="00104719">
      <w:pPr>
        <w:autoSpaceDE w:val="0"/>
        <w:autoSpaceDN w:val="0"/>
        <w:adjustRightInd w:val="0"/>
        <w:spacing w:line="360" w:lineRule="auto"/>
        <w:jc w:val="both"/>
        <w:rPr>
          <w:lang w:val="en-US"/>
        </w:rPr>
      </w:pPr>
      <w:r>
        <w:rPr>
          <w:rFonts w:cstheme="minorHAnsi"/>
          <w:lang w:val="en-US"/>
        </w:rPr>
        <w:t>Furthermore, ethnic disputes and political problems between the states have negative impact</w:t>
      </w:r>
      <w:r w:rsidR="00186F8F">
        <w:rPr>
          <w:rFonts w:cstheme="minorHAnsi"/>
          <w:lang w:val="en-US"/>
        </w:rPr>
        <w:t>s</w:t>
      </w:r>
      <w:r>
        <w:rPr>
          <w:rFonts w:cstheme="minorHAnsi"/>
          <w:lang w:val="en-US"/>
        </w:rPr>
        <w:t xml:space="preserve"> on trade of agricultural commodities between the countries. For example, </w:t>
      </w:r>
      <w:r w:rsidRPr="00450906">
        <w:rPr>
          <w:rFonts w:cstheme="minorHAnsi"/>
          <w:lang w:val="en-US"/>
        </w:rPr>
        <w:t xml:space="preserve">ethnic violence against Uzbeks living in southern Kyrgyzstan </w:t>
      </w:r>
      <w:r w:rsidR="00186F8F">
        <w:rPr>
          <w:rFonts w:cstheme="minorHAnsi"/>
          <w:lang w:val="en-US"/>
        </w:rPr>
        <w:t xml:space="preserve">that </w:t>
      </w:r>
      <w:r w:rsidRPr="00450906">
        <w:rPr>
          <w:rFonts w:cstheme="minorHAnsi"/>
          <w:lang w:val="en-US"/>
        </w:rPr>
        <w:t>happened</w:t>
      </w:r>
      <w:r>
        <w:rPr>
          <w:lang w:val="en-US"/>
        </w:rPr>
        <w:t xml:space="preserve"> in June 2010 had negative impact</w:t>
      </w:r>
      <w:r w:rsidR="00186F8F">
        <w:rPr>
          <w:lang w:val="en-US"/>
        </w:rPr>
        <w:t>s</w:t>
      </w:r>
      <w:r>
        <w:rPr>
          <w:lang w:val="en-US"/>
        </w:rPr>
        <w:t xml:space="preserve"> not only on food security in the country but also damaged trade relations of the country</w:t>
      </w:r>
      <w:r w:rsidRPr="00175A5A">
        <w:rPr>
          <w:lang w:val="en-US"/>
        </w:rPr>
        <w:t>.</w:t>
      </w:r>
      <w:r>
        <w:rPr>
          <w:lang w:val="en-US"/>
        </w:rPr>
        <w:t xml:space="preserve"> The violence has displaced more than 350 thousand people in the country and more than 100 thousand crossed the border to Uzbekistan. The violence which continued </w:t>
      </w:r>
      <w:r w:rsidR="00186F8F">
        <w:rPr>
          <w:lang w:val="en-US"/>
        </w:rPr>
        <w:t xml:space="preserve">for </w:t>
      </w:r>
      <w:r>
        <w:rPr>
          <w:lang w:val="en-US"/>
        </w:rPr>
        <w:t xml:space="preserve">several weeks </w:t>
      </w:r>
      <w:r w:rsidR="00186F8F">
        <w:rPr>
          <w:lang w:val="en-US"/>
        </w:rPr>
        <w:t>showed</w:t>
      </w:r>
      <w:r>
        <w:rPr>
          <w:lang w:val="en-US"/>
        </w:rPr>
        <w:t xml:space="preserve"> its negative impact o</w:t>
      </w:r>
      <w:r w:rsidR="00186F8F">
        <w:rPr>
          <w:lang w:val="en-US"/>
        </w:rPr>
        <w:t>n</w:t>
      </w:r>
      <w:r>
        <w:rPr>
          <w:lang w:val="en-US"/>
        </w:rPr>
        <w:t xml:space="preserve"> food security for several months </w:t>
      </w:r>
      <w:r w:rsidR="00E71FB7">
        <w:rPr>
          <w:lang w:val="en-US"/>
        </w:rPr>
        <w:fldChar w:fldCharType="begin"/>
      </w:r>
      <w:r>
        <w:rPr>
          <w:lang w:val="en-US"/>
        </w:rPr>
        <w:instrText xml:space="preserve"> ADDIN EN.CITE &lt;EndNote&gt;&lt;Cite&gt;&lt;Author&gt;FAO&lt;/Author&gt;&lt;Year&gt;2010 &lt;/Year&gt;&lt;RecNum&gt;92&lt;/RecNum&gt;&lt;DisplayText&gt;(FAO and WFP, 2010 )&lt;/DisplayText&gt;&lt;record&gt;&lt;rec-number&gt;92&lt;/rec-number&gt;&lt;foreign-keys&gt;&lt;key app="EN" db-id="0erxvrzsjv5szqefaesv09e4awxs2t5saw90"&gt;92&lt;/key&gt;&lt;/foreign-keys&gt;&lt;ref-type name="Report"&gt;27&lt;/ref-type&gt;&lt;contributors&gt;&lt;authors&gt;&lt;author&gt;FAO&lt;/author&gt;&lt;author&gt;WFP&lt;/author&gt;&lt;/authors&gt;&lt;tertiary-authors&gt;&lt;author&gt;Rome&lt;/author&gt;&lt;/tertiary-authors&gt;&lt;/contributors&gt;&lt;titles&gt;&lt;title&gt;FAO/WFP crop and food security assessment mission to Kyrgyzstan&lt;/title&gt;&lt;/titles&gt;&lt;dates&gt;&lt;year&gt;2010 &lt;/year&gt;&lt;pub-dates&gt;&lt;date&gt;7 December 2010&lt;/date&gt;&lt;/pub-dates&gt;&lt;/dates&gt;&lt;publisher&gt;Food and Agriculture Organization of the United Nations&amp;#xD;World Food Programme&lt;/publisher&gt;&lt;urls&gt;&lt;/urls&gt;&lt;/record&gt;&lt;/Cite&gt;&lt;/EndNote&gt;</w:instrText>
      </w:r>
      <w:r w:rsidR="00E71FB7">
        <w:rPr>
          <w:lang w:val="en-US"/>
        </w:rPr>
        <w:fldChar w:fldCharType="separate"/>
      </w:r>
      <w:r>
        <w:rPr>
          <w:noProof/>
          <w:lang w:val="en-US"/>
        </w:rPr>
        <w:t>(</w:t>
      </w:r>
      <w:hyperlink w:anchor="_ENREF_18" w:tooltip="FAO, 2010  #92" w:history="1">
        <w:r w:rsidR="002C46A7">
          <w:rPr>
            <w:noProof/>
            <w:lang w:val="en-US"/>
          </w:rPr>
          <w:t xml:space="preserve">FAO and WFP, 2010 </w:t>
        </w:r>
      </w:hyperlink>
      <w:r>
        <w:rPr>
          <w:noProof/>
          <w:lang w:val="en-US"/>
        </w:rPr>
        <w:t>)</w:t>
      </w:r>
      <w:r w:rsidR="00E71FB7">
        <w:rPr>
          <w:lang w:val="en-US"/>
        </w:rPr>
        <w:fldChar w:fldCharType="end"/>
      </w:r>
      <w:r>
        <w:rPr>
          <w:lang w:val="en-US"/>
        </w:rPr>
        <w:t>. Closing</w:t>
      </w:r>
      <w:r w:rsidR="00186F8F">
        <w:rPr>
          <w:lang w:val="en-US"/>
        </w:rPr>
        <w:t xml:space="preserve"> the</w:t>
      </w:r>
      <w:r>
        <w:rPr>
          <w:lang w:val="en-US"/>
        </w:rPr>
        <w:t xml:space="preserve"> borders of Kazakhstan and Uzbekistan during this violen</w:t>
      </w:r>
      <w:r w:rsidR="00186F8F">
        <w:rPr>
          <w:lang w:val="en-US"/>
        </w:rPr>
        <w:t>t period</w:t>
      </w:r>
      <w:r>
        <w:rPr>
          <w:lang w:val="en-US"/>
        </w:rPr>
        <w:t xml:space="preserve"> reduced the flour and wheat import</w:t>
      </w:r>
      <w:r w:rsidR="00186F8F">
        <w:rPr>
          <w:lang w:val="en-US"/>
        </w:rPr>
        <w:t>s</w:t>
      </w:r>
      <w:r>
        <w:rPr>
          <w:lang w:val="en-US"/>
        </w:rPr>
        <w:t xml:space="preserve"> to </w:t>
      </w:r>
      <w:r w:rsidR="00186F8F">
        <w:rPr>
          <w:lang w:val="en-US"/>
        </w:rPr>
        <w:t>incredibly low</w:t>
      </w:r>
      <w:r>
        <w:rPr>
          <w:lang w:val="en-US"/>
        </w:rPr>
        <w:t xml:space="preserve"> levels and caused extremely high prices in Kyrgyzstan </w:t>
      </w:r>
      <w:r w:rsidR="00E71FB7">
        <w:rPr>
          <w:lang w:val="en-US"/>
        </w:rPr>
        <w:fldChar w:fldCharType="begin"/>
      </w:r>
      <w:r>
        <w:rPr>
          <w:lang w:val="en-US"/>
        </w:rPr>
        <w:instrText xml:space="preserve"> ADDIN EN.CITE &lt;EndNote&gt;&lt;Cite&gt;&lt;Author&gt;Barrows&lt;/Author&gt;&lt;Year&gt;2010&lt;/Year&gt;&lt;RecNum&gt;73&lt;/RecNum&gt;&lt;DisplayText&gt;(Barrows and Gusev, 2010)&lt;/DisplayText&gt;&lt;record&gt;&lt;rec-number&gt;73&lt;/rec-number&gt;&lt;foreign-keys&gt;&lt;key app="EN" db-id="0erxvrzsjv5szqefaesv09e4awxs2t5saw90"&gt;73&lt;/key&gt;&lt;/foreign-keys&gt;&lt;ref-type name="Report"&gt;27&lt;/ref-type&gt;&lt;contributors&gt;&lt;authors&gt;&lt;author&gt;Benjamin Barrows&lt;/author&gt;&lt;author&gt;Eugenia Gusev&lt;/author&gt;&lt;/authors&gt;&lt;/contributors&gt;&lt;titles&gt;&lt;title&gt;Emergency Market Mapping and Analysis (EMMA). Wheat Flour Market System, Kyrgyzstan&lt;/title&gt;&lt;/titles&gt;&lt;dates&gt;&lt;year&gt;2010&lt;/year&gt;&lt;pub-dates&gt;&lt;date&gt;July 23-28, 2010&lt;/date&gt;&lt;/pub-dates&gt;&lt;/dates&gt;&lt;publisher&gt;International Rescue Committee&lt;/publisher&gt;&lt;urls&gt;&lt;related-urls&gt;&lt;url&gt;http://practicalaction.org/docs/emma/EMMA-Kyrgyzstan-report-Wheat.pdf&lt;/url&gt;&lt;/related-urls&gt;&lt;/urls&gt;&lt;access-date&gt;21.02.2013&lt;/access-date&gt;&lt;/record&gt;&lt;/Cite&gt;&lt;/EndNote&gt;</w:instrText>
      </w:r>
      <w:r w:rsidR="00E71FB7">
        <w:rPr>
          <w:lang w:val="en-US"/>
        </w:rPr>
        <w:fldChar w:fldCharType="separate"/>
      </w:r>
      <w:r>
        <w:rPr>
          <w:noProof/>
          <w:lang w:val="en-US"/>
        </w:rPr>
        <w:t>(</w:t>
      </w:r>
      <w:hyperlink w:anchor="_ENREF_3" w:tooltip="Barrows, 2010 #73" w:history="1">
        <w:r w:rsidR="002C46A7">
          <w:rPr>
            <w:noProof/>
            <w:lang w:val="en-US"/>
          </w:rPr>
          <w:t>Barrows and Gusev, 2010</w:t>
        </w:r>
      </w:hyperlink>
      <w:r>
        <w:rPr>
          <w:noProof/>
          <w:lang w:val="en-US"/>
        </w:rPr>
        <w:t>)</w:t>
      </w:r>
      <w:r w:rsidR="00E71FB7">
        <w:rPr>
          <w:lang w:val="en-US"/>
        </w:rPr>
        <w:fldChar w:fldCharType="end"/>
      </w:r>
      <w:r>
        <w:rPr>
          <w:lang w:val="en-US"/>
        </w:rPr>
        <w:t>. The large scale mills and bakeries stopped operation</w:t>
      </w:r>
      <w:r w:rsidR="00186F8F">
        <w:rPr>
          <w:lang w:val="en-US"/>
        </w:rPr>
        <w:t>s</w:t>
      </w:r>
      <w:r>
        <w:rPr>
          <w:lang w:val="en-US"/>
        </w:rPr>
        <w:t xml:space="preserve"> due to the lack of wheat and flour associated with damage to the import infrastructure during the violence. The negative effect continued for several years also due to complications associated with the trade activities transiting Uzbekistan.</w:t>
      </w:r>
    </w:p>
    <w:p w:rsidR="001724BE" w:rsidRDefault="00186F8F" w:rsidP="00104719">
      <w:pPr>
        <w:spacing w:line="360" w:lineRule="auto"/>
        <w:jc w:val="both"/>
        <w:rPr>
          <w:lang w:val="en-US"/>
        </w:rPr>
      </w:pPr>
      <w:r>
        <w:rPr>
          <w:lang w:val="en-US"/>
        </w:rPr>
        <w:t>In a</w:t>
      </w:r>
      <w:r w:rsidR="001724BE">
        <w:rPr>
          <w:lang w:val="en-US"/>
        </w:rPr>
        <w:t xml:space="preserve">ddition to the ethnic disputes, resource related political disagreements also put much pressure on the function of agricultural commodity exchange between the countries. One of the examples could be given in case of Uzbek and Tajik political disputes over construction of </w:t>
      </w:r>
      <w:r w:rsidR="00C9413F">
        <w:rPr>
          <w:lang w:val="en-US"/>
        </w:rPr>
        <w:t xml:space="preserve">the </w:t>
      </w:r>
      <w:proofErr w:type="spellStart"/>
      <w:r w:rsidR="001724BE">
        <w:rPr>
          <w:lang w:val="en-US"/>
        </w:rPr>
        <w:t>Rogun</w:t>
      </w:r>
      <w:proofErr w:type="spellEnd"/>
      <w:r w:rsidR="001724BE">
        <w:rPr>
          <w:lang w:val="en-US"/>
        </w:rPr>
        <w:t xml:space="preserve"> dam in Tajikistan. Uzbekistan is opposing the construction of </w:t>
      </w:r>
      <w:r w:rsidR="00C9413F">
        <w:rPr>
          <w:lang w:val="en-US"/>
        </w:rPr>
        <w:t xml:space="preserve">the </w:t>
      </w:r>
      <w:r w:rsidR="001724BE">
        <w:rPr>
          <w:lang w:val="en-US"/>
        </w:rPr>
        <w:t xml:space="preserve">dam since </w:t>
      </w:r>
      <w:r w:rsidR="00C9413F">
        <w:rPr>
          <w:lang w:val="en-US"/>
        </w:rPr>
        <w:t xml:space="preserve">the </w:t>
      </w:r>
      <w:r w:rsidR="001724BE">
        <w:rPr>
          <w:lang w:val="en-US"/>
        </w:rPr>
        <w:t xml:space="preserve">Uzbek government argues that it will reduce water availability in downstream regions especially during the summer periods </w:t>
      </w:r>
      <w:r w:rsidR="00E71FB7">
        <w:rPr>
          <w:lang w:val="en-US"/>
        </w:rPr>
        <w:fldChar w:fldCharType="begin"/>
      </w:r>
      <w:r w:rsidR="001724BE">
        <w:rPr>
          <w:lang w:val="en-US"/>
        </w:rPr>
        <w:instrText xml:space="preserve"> ADDIN EN.CITE &lt;EndNote&gt;&lt;Cite&gt;&lt;Author&gt;Eshchanov&lt;/Author&gt;&lt;Year&gt;2011&lt;/Year&gt;&lt;RecNum&gt;114&lt;/RecNum&gt;&lt;DisplayText&gt;(Eshchanov&lt;style face="italic"&gt; et al.&lt;/style&gt;, 2011)&lt;/DisplayText&gt;&lt;record&gt;&lt;rec-number&gt;114&lt;/rec-number&gt;&lt;foreign-keys&gt;&lt;key app="EN" db-id="0erxvrzsjv5szqefaesv09e4awxs2t5saw90"&gt;114&lt;/key&gt;&lt;/foreign-keys&gt;&lt;ref-type name="Journal Article"&gt;17&lt;/ref-type&gt;&lt;contributors&gt;&lt;authors&gt;&lt;author&gt;Eshchanov, B.R&lt;/author&gt;&lt;author&gt;Stultjes, M.G.P.&lt;/author&gt;&lt;author&gt;Salaev, S.K.&lt;/author&gt;&lt;author&gt;Eshchanov, R.A. &lt;/author&gt;&lt;/authors&gt;&lt;/contributors&gt;&lt;titles&gt;&lt;title&gt;Rogun Dam—Path to Energy Independence or Security Threat? &lt;/title&gt;&lt;secondary-title&gt;Sustainability&lt;/secondary-title&gt;&lt;/titles&gt;&lt;periodical&gt;&lt;full-title&gt;Sustainability&lt;/full-title&gt;&lt;/periodical&gt;&lt;pages&gt;1573-1592&lt;/pages&gt;&lt;volume&gt;3&lt;/volume&gt;&lt;dates&gt;&lt;year&gt;2011&lt;/year&gt;&lt;/dates&gt;&lt;urls&gt;&lt;/urls&gt;&lt;/record&gt;&lt;/Cite&gt;&lt;/EndNote&gt;</w:instrText>
      </w:r>
      <w:r w:rsidR="00E71FB7">
        <w:rPr>
          <w:lang w:val="en-US"/>
        </w:rPr>
        <w:fldChar w:fldCharType="separate"/>
      </w:r>
      <w:r w:rsidR="001724BE">
        <w:rPr>
          <w:noProof/>
          <w:lang w:val="en-US"/>
        </w:rPr>
        <w:t>(</w:t>
      </w:r>
      <w:hyperlink w:anchor="_ENREF_17" w:tooltip="Eshchanov, 2011 #27" w:history="1">
        <w:r w:rsidR="002C46A7">
          <w:rPr>
            <w:noProof/>
            <w:lang w:val="en-US"/>
          </w:rPr>
          <w:t>Eshchanov</w:t>
        </w:r>
        <w:r w:rsidR="002C46A7" w:rsidRPr="001068EA">
          <w:rPr>
            <w:i/>
            <w:noProof/>
            <w:lang w:val="en-US"/>
          </w:rPr>
          <w:t xml:space="preserve"> et al.</w:t>
        </w:r>
        <w:r w:rsidR="002C46A7">
          <w:rPr>
            <w:noProof/>
            <w:lang w:val="en-US"/>
          </w:rPr>
          <w:t>, 2011</w:t>
        </w:r>
      </w:hyperlink>
      <w:r w:rsidR="001724BE">
        <w:rPr>
          <w:noProof/>
          <w:lang w:val="en-US"/>
        </w:rPr>
        <w:t>)</w:t>
      </w:r>
      <w:r w:rsidR="00E71FB7">
        <w:rPr>
          <w:lang w:val="en-US"/>
        </w:rPr>
        <w:fldChar w:fldCharType="end"/>
      </w:r>
      <w:r w:rsidR="001724BE">
        <w:rPr>
          <w:lang w:val="en-US"/>
        </w:rPr>
        <w:t xml:space="preserve">. The blockage of construction material transiting though Uzbekistan to Tajikistan </w:t>
      </w:r>
      <w:r w:rsidR="00C9413F">
        <w:rPr>
          <w:lang w:val="en-US"/>
        </w:rPr>
        <w:t xml:space="preserve">has occurred </w:t>
      </w:r>
      <w:r w:rsidR="001724BE">
        <w:rPr>
          <w:lang w:val="en-US"/>
        </w:rPr>
        <w:t xml:space="preserve">some years which also </w:t>
      </w:r>
      <w:r w:rsidR="00C9413F">
        <w:rPr>
          <w:lang w:val="en-US"/>
        </w:rPr>
        <w:t>resulted in</w:t>
      </w:r>
      <w:r w:rsidR="001724BE">
        <w:rPr>
          <w:lang w:val="en-US"/>
        </w:rPr>
        <w:t xml:space="preserve"> negative impact</w:t>
      </w:r>
      <w:r w:rsidR="00C9413F">
        <w:rPr>
          <w:lang w:val="en-US"/>
        </w:rPr>
        <w:t>s</w:t>
      </w:r>
      <w:r w:rsidR="001724BE">
        <w:rPr>
          <w:lang w:val="en-US"/>
        </w:rPr>
        <w:t xml:space="preserve"> on trade of agricultural goods. This political dispute reduced the trade potential between these two countries. For example, Uzbekistan export</w:t>
      </w:r>
      <w:r w:rsidR="00F343CB">
        <w:rPr>
          <w:lang w:val="en-US"/>
        </w:rPr>
        <w:t>s</w:t>
      </w:r>
      <w:r w:rsidR="001724BE">
        <w:rPr>
          <w:lang w:val="en-US"/>
        </w:rPr>
        <w:t xml:space="preserve"> grain to Azerbaijan and</w:t>
      </w:r>
      <w:r w:rsidR="00F343CB">
        <w:rPr>
          <w:lang w:val="en-US"/>
        </w:rPr>
        <w:t xml:space="preserve"> could</w:t>
      </w:r>
      <w:r w:rsidR="001724BE">
        <w:rPr>
          <w:lang w:val="en-US"/>
        </w:rPr>
        <w:t xml:space="preserve"> also export grain to Tajikistan in years when RUK countries have production shortfall or export restrictions</w:t>
      </w:r>
      <w:r w:rsidR="00F343CB">
        <w:rPr>
          <w:lang w:val="en-US"/>
        </w:rPr>
        <w:t xml:space="preserve"> if political disputes did not hinder this option</w:t>
      </w:r>
      <w:r w:rsidR="001724BE">
        <w:rPr>
          <w:lang w:val="en-US"/>
        </w:rPr>
        <w:t>. This c</w:t>
      </w:r>
      <w:r w:rsidR="00F343CB">
        <w:rPr>
          <w:lang w:val="en-US"/>
        </w:rPr>
        <w:t>ould</w:t>
      </w:r>
      <w:r w:rsidR="001724BE">
        <w:rPr>
          <w:lang w:val="en-US"/>
        </w:rPr>
        <w:t xml:space="preserve"> also function as risk minimization policy for Tajikistan since production risks are not correlated between Uzbekistan and RUK. </w:t>
      </w:r>
      <w:r w:rsidR="00E71FB7">
        <w:rPr>
          <w:lang w:val="en-US"/>
        </w:rPr>
        <w:fldChar w:fldCharType="begin"/>
      </w:r>
      <w:r w:rsidR="001724BE">
        <w:rPr>
          <w:lang w:val="en-US"/>
        </w:rPr>
        <w:instrText xml:space="preserve"> ADDIN EN.CITE &lt;EndNote&gt;&lt;Cite AuthorYear="1"&gt;&lt;Author&gt;USAID&lt;/Author&gt;&lt;Year&gt;2011&lt;/Year&gt;&lt;RecNum&gt;62&lt;/RecNum&gt;&lt;DisplayText&gt;USAID (2011)&lt;/DisplayText&gt;&lt;record&gt;&lt;rec-number&gt;62&lt;/rec-number&gt;&lt;foreign-keys&gt;&lt;key app="EN" db-id="0erxvrzsjv5szqefaesv09e4awxs2t5saw90"&gt;62&lt;/key&gt;&lt;/foreign-keys&gt;&lt;ref-type name="Report"&gt;27&lt;/ref-type&gt;&lt;contributors&gt;&lt;authors&gt;&lt;author&gt;USAID &lt;/author&gt;&lt;/authors&gt;&lt;/contributors&gt;&lt;titles&gt;&lt;title&gt;A regional view of wheat markets and food security in Central Asia. With a focus on Afghanistan and Tajikistan&lt;/title&gt;&lt;/titles&gt;&lt;dates&gt;&lt;year&gt;2011&lt;/year&gt;&lt;/dates&gt;&lt;publisher&gt;USAID, EWSNET, WFP&lt;/publisher&gt;&lt;urls&gt;&lt;/urls&gt;&lt;/record&gt;&lt;/Cite&gt;&lt;/EndNote&gt;</w:instrText>
      </w:r>
      <w:r w:rsidR="00E71FB7">
        <w:rPr>
          <w:lang w:val="en-US"/>
        </w:rPr>
        <w:fldChar w:fldCharType="separate"/>
      </w:r>
      <w:hyperlink w:anchor="_ENREF_37" w:tooltip="USAID, 2011 #62" w:history="1">
        <w:r w:rsidR="002C46A7">
          <w:rPr>
            <w:noProof/>
            <w:lang w:val="en-US"/>
          </w:rPr>
          <w:t>USAID (2011</w:t>
        </w:r>
      </w:hyperlink>
      <w:r w:rsidR="001724BE">
        <w:rPr>
          <w:noProof/>
          <w:lang w:val="en-US"/>
        </w:rPr>
        <w:t>)</w:t>
      </w:r>
      <w:r w:rsidR="00E71FB7">
        <w:rPr>
          <w:lang w:val="en-US"/>
        </w:rPr>
        <w:fldChar w:fldCharType="end"/>
      </w:r>
      <w:r w:rsidR="001724BE">
        <w:rPr>
          <w:lang w:val="en-US"/>
        </w:rPr>
        <w:t xml:space="preserve"> discusses complain</w:t>
      </w:r>
      <w:r w:rsidR="006E54DD">
        <w:rPr>
          <w:lang w:val="en-US"/>
        </w:rPr>
        <w:t>t</w:t>
      </w:r>
      <w:r w:rsidR="001724BE">
        <w:rPr>
          <w:lang w:val="en-US"/>
        </w:rPr>
        <w:t xml:space="preserve">s of the traders from Tajikistan about the complications of buying grain from Uzbekistan which </w:t>
      </w:r>
      <w:r w:rsidR="001724BE" w:rsidRPr="00A175AA">
        <w:rPr>
          <w:lang w:val="en-US"/>
        </w:rPr>
        <w:t>gives disincentives to the traders</w:t>
      </w:r>
      <w:r w:rsidR="001724BE">
        <w:rPr>
          <w:lang w:val="en-US"/>
        </w:rPr>
        <w:t>.</w:t>
      </w:r>
    </w:p>
    <w:p w:rsidR="001724BE" w:rsidRDefault="001724BE" w:rsidP="00104719">
      <w:pPr>
        <w:spacing w:line="360" w:lineRule="auto"/>
        <w:jc w:val="both"/>
        <w:rPr>
          <w:lang w:val="en-US"/>
        </w:rPr>
      </w:pPr>
      <w:r>
        <w:rPr>
          <w:lang w:val="en-US"/>
        </w:rPr>
        <w:t xml:space="preserve">Trade limitation between the countries has its impact on agricultural producers. One of the assumptions is that it limits agricultural producers’ revenues producing crops according to their comparative advantages. Furthermore, the trade limitations between the countries may distort food prices. However, there is very limited literature available which </w:t>
      </w:r>
      <w:r w:rsidR="00F343CB">
        <w:rPr>
          <w:lang w:val="en-US"/>
        </w:rPr>
        <w:t xml:space="preserve">has </w:t>
      </w:r>
      <w:r>
        <w:rPr>
          <w:lang w:val="en-US"/>
        </w:rPr>
        <w:t xml:space="preserve">investigated the price differentiations and therefore this study contributes to the discussions about the role of market integration </w:t>
      </w:r>
      <w:r w:rsidR="00F343CB">
        <w:rPr>
          <w:lang w:val="en-US"/>
        </w:rPr>
        <w:t>i</w:t>
      </w:r>
      <w:r>
        <w:rPr>
          <w:lang w:val="en-US"/>
        </w:rPr>
        <w:t>n agricultural development in CA.</w:t>
      </w:r>
    </w:p>
    <w:p w:rsidR="001724BE" w:rsidRDefault="001724BE" w:rsidP="00104719">
      <w:pPr>
        <w:pStyle w:val="berschrift1"/>
        <w:numPr>
          <w:ilvl w:val="0"/>
          <w:numId w:val="1"/>
        </w:numPr>
        <w:spacing w:line="360" w:lineRule="auto"/>
        <w:jc w:val="both"/>
        <w:rPr>
          <w:rFonts w:asciiTheme="minorHAnsi" w:hAnsiTheme="minorHAnsi"/>
          <w:szCs w:val="22"/>
          <w:lang w:val="en-US"/>
        </w:rPr>
      </w:pPr>
      <w:r w:rsidRPr="00B5286A">
        <w:rPr>
          <w:rFonts w:asciiTheme="minorHAnsi" w:hAnsiTheme="minorHAnsi"/>
          <w:szCs w:val="22"/>
          <w:lang w:val="en-US"/>
        </w:rPr>
        <w:t xml:space="preserve">Data and methods </w:t>
      </w:r>
    </w:p>
    <w:p w:rsidR="001724BE" w:rsidRPr="0055668A" w:rsidRDefault="001724BE" w:rsidP="00104719">
      <w:pPr>
        <w:spacing w:line="360" w:lineRule="auto"/>
        <w:jc w:val="both"/>
        <w:rPr>
          <w:lang w:val="en-US"/>
        </w:rPr>
      </w:pPr>
      <w:r>
        <w:rPr>
          <w:lang w:val="en-US"/>
        </w:rPr>
        <w:t>The study uses different methodologies in order to investigate the impact of market integration among CA countries on agricultural earnings, household expenses and the role of trade liberalization under climate change. All analysis and modeling work is based on the farm level data obtained from household surveys in four Central Asian countries: Kazakhstan, Kyrgyzstan, Tajikistan and Uzbekistan.</w:t>
      </w:r>
    </w:p>
    <w:p w:rsidR="001724BE" w:rsidRPr="004E7800" w:rsidRDefault="001724BE" w:rsidP="00104719">
      <w:pPr>
        <w:pStyle w:val="11"/>
        <w:spacing w:line="360" w:lineRule="auto"/>
        <w:jc w:val="both"/>
      </w:pPr>
      <w:r>
        <w:t>Household surveys</w:t>
      </w:r>
    </w:p>
    <w:p w:rsidR="001724BE" w:rsidRDefault="001724BE" w:rsidP="00104719">
      <w:pPr>
        <w:spacing w:before="120" w:after="120" w:line="360" w:lineRule="auto"/>
        <w:jc w:val="both"/>
        <w:rPr>
          <w:lang w:val="en-US"/>
        </w:rPr>
      </w:pPr>
      <w:r w:rsidRPr="00DB2E04">
        <w:rPr>
          <w:lang w:val="en-US"/>
        </w:rPr>
        <w:t>A f</w:t>
      </w:r>
      <w:r>
        <w:rPr>
          <w:lang w:val="en-US"/>
        </w:rPr>
        <w:t>arm/</w:t>
      </w:r>
      <w:r w:rsidRPr="00DB2E04">
        <w:rPr>
          <w:lang w:val="en-US"/>
        </w:rPr>
        <w:t xml:space="preserve">household survey with total sample of 1591 was conducted in representative provinces for </w:t>
      </w:r>
      <w:r>
        <w:rPr>
          <w:lang w:val="en-US"/>
        </w:rPr>
        <w:t xml:space="preserve">10 </w:t>
      </w:r>
      <w:r w:rsidRPr="00DB2E04">
        <w:rPr>
          <w:lang w:val="en-US"/>
        </w:rPr>
        <w:t xml:space="preserve">farming systems </w:t>
      </w:r>
      <w:r>
        <w:rPr>
          <w:lang w:val="en-US"/>
        </w:rPr>
        <w:t xml:space="preserve">in CA </w:t>
      </w:r>
      <w:r w:rsidRPr="00DB2E04">
        <w:rPr>
          <w:lang w:val="en-US"/>
        </w:rPr>
        <w:t>during the years 2009-2010. The survey covered both subsistence</w:t>
      </w:r>
      <w:r w:rsidR="000A7543">
        <w:rPr>
          <w:lang w:val="en-US"/>
        </w:rPr>
        <w:t xml:space="preserve"> </w:t>
      </w:r>
      <w:r w:rsidRPr="00DB2E04">
        <w:rPr>
          <w:lang w:val="en-US"/>
        </w:rPr>
        <w:t>farm</w:t>
      </w:r>
      <w:r w:rsidR="000A7543">
        <w:rPr>
          <w:lang w:val="en-US"/>
        </w:rPr>
        <w:t>s</w:t>
      </w:r>
      <w:r w:rsidRPr="00DB2E04">
        <w:rPr>
          <w:lang w:val="en-US"/>
        </w:rPr>
        <w:t xml:space="preserve"> </w:t>
      </w:r>
      <w:r>
        <w:rPr>
          <w:lang w:val="en-US"/>
        </w:rPr>
        <w:t xml:space="preserve">with small parcel of land </w:t>
      </w:r>
      <w:r w:rsidR="000A7543">
        <w:rPr>
          <w:lang w:val="en-US"/>
        </w:rPr>
        <w:t>(</w:t>
      </w:r>
      <w:r w:rsidR="000A7543" w:rsidRPr="000A7543">
        <w:rPr>
          <w:i/>
          <w:lang w:val="en-US"/>
        </w:rPr>
        <w:t>households</w:t>
      </w:r>
      <w:r w:rsidR="000A7543">
        <w:rPr>
          <w:lang w:val="en-US"/>
        </w:rPr>
        <w:t xml:space="preserve">) </w:t>
      </w:r>
      <w:r w:rsidRPr="00DB2E04">
        <w:rPr>
          <w:lang w:val="en-US"/>
        </w:rPr>
        <w:t>as well as commercial farms (</w:t>
      </w:r>
      <w:proofErr w:type="spellStart"/>
      <w:r w:rsidRPr="00DB2E04">
        <w:rPr>
          <w:i/>
          <w:lang w:val="en-US"/>
        </w:rPr>
        <w:t>fermer</w:t>
      </w:r>
      <w:r w:rsidRPr="00DB2E04">
        <w:rPr>
          <w:lang w:val="en-US"/>
        </w:rPr>
        <w:t>s</w:t>
      </w:r>
      <w:proofErr w:type="spellEnd"/>
      <w:r w:rsidRPr="00DB2E04">
        <w:rPr>
          <w:lang w:val="en-US"/>
        </w:rPr>
        <w:t xml:space="preserve">). The stratified random selection procedure was applied to select </w:t>
      </w:r>
      <w:r w:rsidR="00916A33">
        <w:rPr>
          <w:lang w:val="en-US"/>
        </w:rPr>
        <w:t xml:space="preserve">several </w:t>
      </w:r>
      <w:r w:rsidRPr="00DB2E04">
        <w:rPr>
          <w:lang w:val="en-US"/>
        </w:rPr>
        <w:t>villages from these representative provinces for the abovementioned 10 agro-ecological zones</w:t>
      </w:r>
      <w:r>
        <w:rPr>
          <w:lang w:val="en-US"/>
        </w:rPr>
        <w:t xml:space="preserve"> (AEZ)</w:t>
      </w:r>
      <w:r w:rsidRPr="00DB2E04">
        <w:rPr>
          <w:lang w:val="en-US"/>
        </w:rPr>
        <w:t xml:space="preserve">. The number of villages selected from each AEZ was determined by the number of farms and agricultural areas used for crop production by different producer types. After identifying the number of villages per AEZ, random sampling was used to identify the names of the villages from an available list of villages. Collected data included household characteristics and farm level production characteristics </w:t>
      </w:r>
      <w:r w:rsidRPr="00DB2E04">
        <w:rPr>
          <w:rFonts w:cstheme="minorHAnsi"/>
          <w:lang w:val="en-US"/>
        </w:rPr>
        <w:t xml:space="preserve">(e.g. farm size, fertilizer use, irrigation practices, input use and fertilizer availability) </w:t>
      </w:r>
      <w:r w:rsidRPr="00DB2E04">
        <w:rPr>
          <w:lang w:val="en-US"/>
        </w:rPr>
        <w:t>as well as climate change perceptions. This household data was the main information source for the identification of representative farms (</w:t>
      </w:r>
      <w:r w:rsidR="00632A11">
        <w:fldChar w:fldCharType="begin"/>
      </w:r>
      <w:r w:rsidR="00632A11" w:rsidRPr="00916A33">
        <w:rPr>
          <w:lang w:val="en-US"/>
        </w:rPr>
        <w:instrText xml:space="preserve"> REF _Ref353345334 \h  \* MERGEFORMAT </w:instrText>
      </w:r>
      <w:r w:rsidR="00632A11">
        <w:fldChar w:fldCharType="separate"/>
      </w:r>
      <w:r w:rsidRPr="00DB2E04">
        <w:rPr>
          <w:lang w:val="en-US"/>
        </w:rPr>
        <w:t>Table 1</w:t>
      </w:r>
      <w:r w:rsidR="00632A11">
        <w:fldChar w:fldCharType="end"/>
      </w:r>
      <w:r w:rsidRPr="00DB2E04">
        <w:rPr>
          <w:lang w:val="en-US"/>
        </w:rPr>
        <w:t xml:space="preserve">) and </w:t>
      </w:r>
      <w:r>
        <w:rPr>
          <w:lang w:val="en-US"/>
        </w:rPr>
        <w:t xml:space="preserve">bio-economic farm </w:t>
      </w:r>
      <w:r w:rsidRPr="00DB2E04">
        <w:rPr>
          <w:lang w:val="en-US"/>
        </w:rPr>
        <w:t xml:space="preserve">model </w:t>
      </w:r>
      <w:r>
        <w:rPr>
          <w:lang w:val="en-US"/>
        </w:rPr>
        <w:t xml:space="preserve">(BEFM) </w:t>
      </w:r>
      <w:r w:rsidRPr="00DB2E04">
        <w:rPr>
          <w:lang w:val="en-US"/>
        </w:rPr>
        <w:t>calibrations.</w:t>
      </w:r>
    </w:p>
    <w:p w:rsidR="001724BE" w:rsidRDefault="001724BE" w:rsidP="00104719">
      <w:pPr>
        <w:pStyle w:val="11"/>
        <w:spacing w:line="360" w:lineRule="auto"/>
        <w:jc w:val="both"/>
      </w:pPr>
      <w:r>
        <w:t>H</w:t>
      </w:r>
      <w:r w:rsidRPr="0090719C">
        <w:t xml:space="preserve">ousehold </w:t>
      </w:r>
      <w:r>
        <w:t>food expenditure changes</w:t>
      </w:r>
    </w:p>
    <w:p w:rsidR="001724BE" w:rsidRPr="00450906" w:rsidRDefault="001724BE" w:rsidP="00104719">
      <w:pPr>
        <w:spacing w:line="360" w:lineRule="auto"/>
        <w:jc w:val="both"/>
        <w:rPr>
          <w:lang w:val="en-US"/>
        </w:rPr>
      </w:pPr>
      <w:r w:rsidRPr="00450906">
        <w:rPr>
          <w:lang w:val="en-US"/>
        </w:rPr>
        <w:t>In this study</w:t>
      </w:r>
      <w:r>
        <w:rPr>
          <w:lang w:val="en-US"/>
        </w:rPr>
        <w:t xml:space="preserve"> </w:t>
      </w:r>
      <w:r w:rsidR="009F58D9">
        <w:rPr>
          <w:lang w:val="en-US"/>
        </w:rPr>
        <w:t xml:space="preserve">a </w:t>
      </w:r>
      <w:r>
        <w:rPr>
          <w:lang w:val="en-US"/>
        </w:rPr>
        <w:t xml:space="preserve">market integration scenario is considered </w:t>
      </w:r>
      <w:r w:rsidR="009F58D9">
        <w:rPr>
          <w:lang w:val="en-US"/>
        </w:rPr>
        <w:t xml:space="preserve">based on </w:t>
      </w:r>
      <w:r>
        <w:rPr>
          <w:lang w:val="en-US"/>
        </w:rPr>
        <w:t>the condition that commodity prices between the countries will follow similar pattern.</w:t>
      </w:r>
      <w:r w:rsidRPr="00450906">
        <w:rPr>
          <w:lang w:val="en-US"/>
        </w:rPr>
        <w:t xml:space="preserve"> </w:t>
      </w:r>
      <w:r>
        <w:rPr>
          <w:lang w:val="en-US"/>
        </w:rPr>
        <w:t xml:space="preserve">Further limitation is introduced in terms of commodity prices considered in the expenditure change analysis. </w:t>
      </w:r>
      <w:r w:rsidRPr="00450906">
        <w:rPr>
          <w:lang w:val="en-US"/>
        </w:rPr>
        <w:t xml:space="preserve">Only the most important agricultural and processing products such as wheat, rice, vegetables, meat, egg, wheat flour, bread, vegetable oil are considered since those products have </w:t>
      </w:r>
      <w:r w:rsidR="009F58D9">
        <w:rPr>
          <w:lang w:val="en-US"/>
        </w:rPr>
        <w:t xml:space="preserve">the </w:t>
      </w:r>
      <w:r w:rsidRPr="00450906">
        <w:rPr>
          <w:lang w:val="en-US"/>
        </w:rPr>
        <w:t xml:space="preserve">largest share in the household food expenses in </w:t>
      </w:r>
      <w:r>
        <w:rPr>
          <w:lang w:val="en-US"/>
        </w:rPr>
        <w:t xml:space="preserve">rural areas of </w:t>
      </w:r>
      <w:r w:rsidRPr="00450906">
        <w:rPr>
          <w:lang w:val="en-US"/>
        </w:rPr>
        <w:t>CA.</w:t>
      </w:r>
    </w:p>
    <w:p w:rsidR="001724BE" w:rsidRPr="00450906" w:rsidRDefault="001724BE" w:rsidP="00104719">
      <w:pPr>
        <w:spacing w:line="360" w:lineRule="auto"/>
        <w:jc w:val="both"/>
        <w:rPr>
          <w:lang w:val="en-US"/>
        </w:rPr>
      </w:pPr>
      <w:r w:rsidRPr="00450906">
        <w:rPr>
          <w:lang w:val="en-US"/>
        </w:rPr>
        <w:t>Per capita changes of consumption expenses (</w:t>
      </w:r>
      <m:oMath>
        <m:r>
          <m:rPr>
            <m:sty m:val="p"/>
          </m:rPr>
          <w:rPr>
            <w:rFonts w:ascii="Cambria Math" w:hAnsi="Cambria Math"/>
            <w:lang w:val="en-US"/>
          </w:rPr>
          <m:t>∆</m:t>
        </m:r>
        <m:r>
          <m:rPr>
            <m:sty m:val="bi"/>
          </m:rPr>
          <w:rPr>
            <w:rFonts w:ascii="Cambria Math" w:hAnsi="Cambria Math"/>
          </w:rPr>
          <m:t>C</m:t>
        </m:r>
      </m:oMath>
      <w:r w:rsidRPr="00450906">
        <w:rPr>
          <w:lang w:val="en-US"/>
        </w:rPr>
        <w:t xml:space="preserve"> ) under </w:t>
      </w:r>
      <w:r w:rsidR="009F58D9">
        <w:rPr>
          <w:lang w:val="en-US"/>
        </w:rPr>
        <w:t xml:space="preserve">the </w:t>
      </w:r>
      <w:r w:rsidRPr="00450906">
        <w:rPr>
          <w:lang w:val="en-US"/>
        </w:rPr>
        <w:t xml:space="preserve">market integration scenario </w:t>
      </w:r>
      <w:r w:rsidR="009F58D9">
        <w:rPr>
          <w:lang w:val="en-US"/>
        </w:rPr>
        <w:t>are</w:t>
      </w:r>
      <w:r w:rsidR="009F58D9" w:rsidRPr="00450906">
        <w:rPr>
          <w:lang w:val="en-US"/>
        </w:rPr>
        <w:t xml:space="preserve"> </w:t>
      </w:r>
      <w:r w:rsidRPr="00450906">
        <w:rPr>
          <w:lang w:val="en-US"/>
        </w:rPr>
        <w:t xml:space="preserve">estimates from the household data: </w:t>
      </w:r>
    </w:p>
    <w:p w:rsidR="001724BE" w:rsidRPr="00450906" w:rsidRDefault="001724BE" w:rsidP="00104719">
      <w:pPr>
        <w:spacing w:line="360" w:lineRule="auto"/>
        <w:jc w:val="both"/>
        <w:rPr>
          <w:lang w:val="en-US"/>
        </w:rPr>
      </w:pPr>
      <m:oMath>
        <m:r>
          <m:rPr>
            <m:sty m:val="p"/>
          </m:rPr>
          <w:rPr>
            <w:rFonts w:ascii="Cambria Math" w:hAnsi="Cambria Math"/>
            <w:lang w:val="en-US"/>
          </w:rPr>
          <m:t>∆</m:t>
        </m:r>
        <m:r>
          <m:rPr>
            <m:sty m:val="bi"/>
          </m:rPr>
          <w:rPr>
            <w:rFonts w:ascii="Cambria Math" w:hAnsi="Cambria Math"/>
          </w:rPr>
          <m:t>C</m:t>
        </m:r>
        <m:r>
          <m:rPr>
            <m:sty m:val="p"/>
          </m:rPr>
          <w:rPr>
            <w:rFonts w:ascii="Cambria Math" w:hAnsi="Cambria Math"/>
            <w:lang w:val="en-US"/>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cur</m:t>
            </m:r>
          </m:sub>
        </m:sSub>
        <m:r>
          <m:rPr>
            <m:sty m:val="p"/>
          </m:rPr>
          <w:rPr>
            <w:rFonts w:ascii="Cambria Math" w:hAnsi="Cambria Math"/>
            <w:lang w:val="en-US"/>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ml</m:t>
            </m:r>
          </m:sub>
        </m:sSub>
      </m:oMath>
      <w:r w:rsidRPr="00450906">
        <w:rPr>
          <w:lang w:val="en-US"/>
        </w:rPr>
        <w:tab/>
      </w:r>
      <w:r w:rsidRPr="00450906">
        <w:rPr>
          <w:lang w:val="en-US"/>
        </w:rPr>
        <w:tab/>
      </w:r>
      <w:r w:rsidRPr="00450906">
        <w:rPr>
          <w:lang w:val="en-US"/>
        </w:rPr>
        <w:tab/>
      </w:r>
      <w:r w:rsidRPr="00450906">
        <w:rPr>
          <w:lang w:val="en-US"/>
        </w:rPr>
        <w:tab/>
      </w:r>
      <w:r w:rsidRPr="00450906">
        <w:rPr>
          <w:lang w:val="en-US"/>
        </w:rPr>
        <w:tab/>
      </w:r>
      <w:r w:rsidRPr="00450906">
        <w:rPr>
          <w:lang w:val="en-US"/>
        </w:rPr>
        <w:tab/>
      </w:r>
      <w:r w:rsidRPr="00450906">
        <w:rPr>
          <w:lang w:val="en-US"/>
        </w:rPr>
        <w:tab/>
      </w:r>
      <w:r w:rsidR="00DD3E46">
        <w:rPr>
          <w:lang w:val="en-US"/>
        </w:rPr>
        <w:t>(</w:t>
      </w:r>
      <w:r w:rsidRPr="00450906">
        <w:rPr>
          <w:lang w:val="en-US"/>
        </w:rPr>
        <w:t>1</w:t>
      </w:r>
      <w:r w:rsidR="00DD3E46">
        <w:rPr>
          <w:lang w:val="en-US"/>
        </w:rPr>
        <w:t>)</w:t>
      </w:r>
    </w:p>
    <w:p w:rsidR="001724BE" w:rsidRDefault="001724BE" w:rsidP="00104719">
      <w:pPr>
        <w:spacing w:line="360" w:lineRule="auto"/>
        <w:jc w:val="both"/>
        <w:rPr>
          <w:lang w:val="en-US"/>
        </w:rPr>
      </w:pPr>
      <w:proofErr w:type="gramStart"/>
      <w:r>
        <w:rPr>
          <w:lang w:val="en-US"/>
        </w:rPr>
        <w:t>where</w:t>
      </w:r>
      <w:proofErr w:type="gramEnd"/>
      <w:r>
        <w:rPr>
          <w:lang w:val="en-US"/>
        </w:rPr>
        <w:t xml:space="preserve"> </w:t>
      </w:r>
      <m:oMath>
        <m:sSub>
          <m:sSubPr>
            <m:ctrlPr>
              <w:rPr>
                <w:rFonts w:ascii="Cambria Math" w:hAnsi="Cambria Math"/>
                <w:lang w:val="en-US"/>
              </w:rPr>
            </m:ctrlPr>
          </m:sSubPr>
          <m:e>
            <m:r>
              <m:rPr>
                <m:sty m:val="bi"/>
              </m:rPr>
              <w:rPr>
                <w:rFonts w:ascii="Cambria Math" w:hAnsi="Cambria Math"/>
                <w:lang w:val="en-US"/>
              </w:rPr>
              <m:t>C</m:t>
            </m:r>
          </m:e>
          <m:sub>
            <m:r>
              <m:rPr>
                <m:sty m:val="bi"/>
              </m:rPr>
              <w:rPr>
                <w:rFonts w:ascii="Cambria Math" w:hAnsi="Cambria Math"/>
                <w:lang w:val="en-US"/>
              </w:rPr>
              <m:t>cur</m:t>
            </m:r>
          </m:sub>
        </m:sSub>
      </m:oMath>
      <w:r w:rsidRPr="00747D48">
        <w:rPr>
          <w:lang w:val="en-US"/>
        </w:rPr>
        <w:t xml:space="preserve"> is the vector of current food expenses and </w:t>
      </w:r>
      <m:oMath>
        <m:sSub>
          <m:sSubPr>
            <m:ctrlPr>
              <w:rPr>
                <w:rFonts w:ascii="Cambria Math" w:hAnsi="Cambria Math"/>
                <w:lang w:val="en-US"/>
              </w:rPr>
            </m:ctrlPr>
          </m:sSubPr>
          <m:e>
            <m:r>
              <m:rPr>
                <m:sty m:val="bi"/>
              </m:rPr>
              <w:rPr>
                <w:rFonts w:ascii="Cambria Math" w:hAnsi="Cambria Math"/>
                <w:lang w:val="en-US"/>
              </w:rPr>
              <m:t>C</m:t>
            </m:r>
          </m:e>
          <m:sub>
            <m:r>
              <m:rPr>
                <m:sty m:val="bi"/>
              </m:rPr>
              <w:rPr>
                <w:rFonts w:ascii="Cambria Math" w:hAnsi="Cambria Math"/>
                <w:lang w:val="en-US"/>
              </w:rPr>
              <m:t>ml</m:t>
            </m:r>
          </m:sub>
        </m:sSub>
      </m:oMath>
      <w:r w:rsidRPr="00747D48">
        <w:rPr>
          <w:lang w:val="en-US"/>
        </w:rPr>
        <w:t xml:space="preserve"> is the vector of food expense under market integration conditions. </w:t>
      </w:r>
      <w:r>
        <w:rPr>
          <w:lang w:val="en-US"/>
        </w:rPr>
        <w:t xml:space="preserve">Further analysis is conducted in order to identify the type of households and regions which are winners and losers of market integration as: </w:t>
      </w:r>
    </w:p>
    <w:p w:rsidR="001724BE" w:rsidRPr="00747D48" w:rsidRDefault="001724BE" w:rsidP="00104719">
      <w:pPr>
        <w:spacing w:line="360" w:lineRule="auto"/>
        <w:jc w:val="both"/>
        <w:rPr>
          <w:lang w:val="en-US"/>
        </w:rPr>
      </w:pPr>
      <m:oMath>
        <m:r>
          <m:rPr>
            <m:sty m:val="p"/>
          </m:rPr>
          <w:rPr>
            <w:rFonts w:ascii="Cambria Math" w:hAnsi="Cambria Math"/>
            <w:lang w:val="en-US"/>
          </w:rPr>
          <m:t>∆</m:t>
        </m:r>
        <m:r>
          <m:rPr>
            <m:sty m:val="bi"/>
          </m:rPr>
          <w:rPr>
            <w:rFonts w:ascii="Cambria Math" w:hAnsi="Cambria Math"/>
            <w:lang w:val="en-US"/>
          </w:rPr>
          <m:t>C</m:t>
        </m:r>
        <m:r>
          <m:rPr>
            <m:sty m:val="p"/>
          </m:rPr>
          <w:rPr>
            <w:rFonts w:ascii="Cambria Math" w:hAnsi="Cambria Math"/>
            <w:lang w:val="en-US"/>
          </w:rPr>
          <m:t>=</m:t>
        </m:r>
        <m:r>
          <w:rPr>
            <w:rFonts w:ascii="Cambria Math" w:hAnsi="Cambria Math"/>
            <w:lang w:val="en-US"/>
          </w:rPr>
          <m:t>a</m:t>
        </m:r>
        <m:r>
          <m:rPr>
            <m:sty m:val="p"/>
          </m:rPr>
          <w:rPr>
            <w:rFonts w:ascii="Cambria Math" w:hAnsi="Cambria Math"/>
            <w:lang w:val="en-US"/>
          </w:rPr>
          <m:t>+</m:t>
        </m:r>
        <m:r>
          <w:rPr>
            <w:rFonts w:ascii="Cambria Math" w:hAnsi="Cambria Math"/>
            <w:lang w:val="en-US"/>
          </w:rPr>
          <m:t>b</m:t>
        </m:r>
        <m:r>
          <m:rPr>
            <m:sty m:val="bi"/>
          </m:rPr>
          <w:rPr>
            <w:rFonts w:ascii="Cambria Math" w:hAnsi="Cambria Math"/>
            <w:lang w:val="en-US"/>
          </w:rPr>
          <m:t>X</m:t>
        </m:r>
        <m:r>
          <m:rPr>
            <m:sty m:val="p"/>
          </m:rPr>
          <w:rPr>
            <w:rFonts w:ascii="Cambria Math" w:hAnsi="Cambria Math"/>
            <w:lang w:val="en-US"/>
          </w:rPr>
          <m:t>+</m:t>
        </m:r>
        <m:r>
          <w:rPr>
            <w:rFonts w:ascii="Cambria Math" w:hAnsi="Cambria Math"/>
            <w:lang w:val="en-US"/>
          </w:rPr>
          <m:t>c</m:t>
        </m:r>
        <m:r>
          <m:rPr>
            <m:sty m:val="bi"/>
          </m:rPr>
          <w:rPr>
            <w:rFonts w:ascii="Cambria Math" w:hAnsi="Cambria Math"/>
            <w:lang w:val="en-US"/>
          </w:rPr>
          <m:t>D</m:t>
        </m:r>
      </m:oMath>
      <w:r w:rsidRPr="00747D48">
        <w:rPr>
          <w:lang w:val="en-US"/>
        </w:rPr>
        <w:tab/>
      </w:r>
      <w:r w:rsidRPr="00747D48">
        <w:rPr>
          <w:lang w:val="en-US"/>
        </w:rPr>
        <w:tab/>
      </w:r>
      <w:r w:rsidRPr="00747D48">
        <w:rPr>
          <w:lang w:val="en-US"/>
        </w:rPr>
        <w:tab/>
      </w:r>
      <w:r w:rsidRPr="00747D48">
        <w:rPr>
          <w:lang w:val="en-US"/>
        </w:rPr>
        <w:tab/>
      </w:r>
      <w:r w:rsidRPr="00747D48">
        <w:rPr>
          <w:lang w:val="en-US"/>
        </w:rPr>
        <w:tab/>
      </w:r>
      <w:r w:rsidRPr="00747D48">
        <w:rPr>
          <w:lang w:val="en-US"/>
        </w:rPr>
        <w:tab/>
      </w:r>
      <w:r w:rsidRPr="00747D48">
        <w:rPr>
          <w:lang w:val="en-US"/>
        </w:rPr>
        <w:tab/>
      </w:r>
      <w:r w:rsidR="00DD3E46">
        <w:rPr>
          <w:lang w:val="en-US"/>
        </w:rPr>
        <w:t>(</w:t>
      </w:r>
      <w:r w:rsidRPr="00747D48">
        <w:rPr>
          <w:lang w:val="en-US"/>
        </w:rPr>
        <w:t>2</w:t>
      </w:r>
      <w:r w:rsidR="00DD3E46">
        <w:rPr>
          <w:lang w:val="en-US"/>
        </w:rPr>
        <w:t>)</w:t>
      </w:r>
    </w:p>
    <w:p w:rsidR="001724BE" w:rsidRPr="00D05F66" w:rsidRDefault="001724BE" w:rsidP="00104719">
      <w:pPr>
        <w:spacing w:line="360" w:lineRule="auto"/>
        <w:jc w:val="both"/>
        <w:rPr>
          <w:lang w:val="en-US"/>
        </w:rPr>
      </w:pPr>
      <w:proofErr w:type="gramStart"/>
      <w:r w:rsidRPr="00747D48">
        <w:rPr>
          <w:lang w:val="en-US"/>
        </w:rPr>
        <w:t>where</w:t>
      </w:r>
      <w:proofErr w:type="gramEnd"/>
      <m:oMath>
        <m:r>
          <w:rPr>
            <w:rFonts w:ascii="Cambria Math" w:hAnsi="Cambria Math"/>
            <w:lang w:val="en-US"/>
          </w:rPr>
          <m:t xml:space="preserve"> a</m:t>
        </m:r>
      </m:oMath>
      <w:r>
        <w:rPr>
          <w:rFonts w:eastAsiaTheme="minorEastAsia"/>
          <w:iCs/>
          <w:lang w:val="en-US"/>
        </w:rPr>
        <w:t xml:space="preserve"> is a constant,</w:t>
      </w:r>
      <w:r w:rsidRPr="00747D48">
        <w:rPr>
          <w:lang w:val="en-US"/>
        </w:rPr>
        <w:t xml:space="preserve"> </w:t>
      </w:r>
      <m:oMath>
        <m:r>
          <m:rPr>
            <m:sty m:val="bi"/>
          </m:rPr>
          <w:rPr>
            <w:rFonts w:ascii="Cambria Math" w:hAnsi="Cambria Math"/>
            <w:lang w:val="en-US"/>
          </w:rPr>
          <m:t>X</m:t>
        </m:r>
      </m:oMath>
      <w:r w:rsidRPr="00747D48">
        <w:rPr>
          <w:lang w:val="en-US"/>
        </w:rPr>
        <w:t xml:space="preserve"> is the matrix of variables describing the household characteristics (</w:t>
      </w:r>
      <w:r w:rsidR="008A7129">
        <w:rPr>
          <w:lang w:val="en-US"/>
        </w:rPr>
        <w:t>household size</w:t>
      </w:r>
      <w:r w:rsidRPr="00747D48">
        <w:rPr>
          <w:lang w:val="en-US"/>
        </w:rPr>
        <w:t xml:space="preserve">) and </w:t>
      </w:r>
      <m:oMath>
        <m:r>
          <m:rPr>
            <m:sty m:val="bi"/>
          </m:rPr>
          <w:rPr>
            <w:rFonts w:ascii="Cambria Math" w:hAnsi="Cambria Math"/>
            <w:lang w:val="en-US"/>
          </w:rPr>
          <m:t>D</m:t>
        </m:r>
      </m:oMath>
      <w:r w:rsidRPr="00747D48">
        <w:rPr>
          <w:lang w:val="en-US"/>
        </w:rPr>
        <w:t xml:space="preserve"> is the matrix of dummy variable</w:t>
      </w:r>
      <w:r w:rsidR="009F58D9">
        <w:rPr>
          <w:lang w:val="en-US"/>
        </w:rPr>
        <w:t>s</w:t>
      </w:r>
      <w:r w:rsidRPr="00747D48">
        <w:rPr>
          <w:lang w:val="en-US"/>
        </w:rPr>
        <w:t xml:space="preserve"> to identify the countri</w:t>
      </w:r>
      <w:r>
        <w:rPr>
          <w:rFonts w:eastAsiaTheme="minorEastAsia"/>
          <w:lang w:val="en-US"/>
        </w:rPr>
        <w:t xml:space="preserve">es. </w:t>
      </w:r>
    </w:p>
    <w:p w:rsidR="001724BE" w:rsidRPr="00B32B16" w:rsidRDefault="001724BE" w:rsidP="00104719">
      <w:pPr>
        <w:pStyle w:val="11"/>
        <w:spacing w:line="360" w:lineRule="auto"/>
        <w:jc w:val="both"/>
      </w:pPr>
      <w:r>
        <w:t>Integrated model</w:t>
      </w:r>
    </w:p>
    <w:p w:rsidR="001724BE" w:rsidRDefault="001724BE" w:rsidP="00104719">
      <w:pPr>
        <w:autoSpaceDE w:val="0"/>
        <w:autoSpaceDN w:val="0"/>
        <w:adjustRightInd w:val="0"/>
        <w:spacing w:line="360" w:lineRule="auto"/>
        <w:jc w:val="both"/>
        <w:rPr>
          <w:rFonts w:cstheme="minorHAnsi"/>
          <w:lang w:val="en-US"/>
        </w:rPr>
      </w:pPr>
      <w:r w:rsidRPr="005B7166">
        <w:rPr>
          <w:rFonts w:cstheme="minorHAnsi"/>
          <w:lang w:val="en-US"/>
        </w:rPr>
        <w:t xml:space="preserve">A bio-economic farm </w:t>
      </w:r>
      <w:r>
        <w:rPr>
          <w:rFonts w:cstheme="minorHAnsi"/>
          <w:lang w:val="en-US"/>
        </w:rPr>
        <w:t xml:space="preserve">model </w:t>
      </w:r>
      <w:r w:rsidRPr="005B7166">
        <w:rPr>
          <w:rFonts w:cstheme="minorHAnsi"/>
          <w:lang w:val="en-US"/>
        </w:rPr>
        <w:t>(BE</w:t>
      </w:r>
      <w:r>
        <w:rPr>
          <w:rFonts w:cstheme="minorHAnsi"/>
          <w:lang w:val="en-US"/>
        </w:rPr>
        <w:t>M</w:t>
      </w:r>
      <w:r w:rsidRPr="005B7166">
        <w:rPr>
          <w:rFonts w:cstheme="minorHAnsi"/>
          <w:lang w:val="en-US"/>
        </w:rPr>
        <w:t>F) is calibrated for 10 representative farm types in four Central Asian countries (Uzbekistan, Kazakhstan, Tajikistan, Kyrgyzstan) with different agro-ecological and socio-economic characteristics</w:t>
      </w:r>
      <w:r>
        <w:rPr>
          <w:rFonts w:cstheme="minorHAnsi"/>
          <w:lang w:val="en-US"/>
        </w:rPr>
        <w:t xml:space="preserve"> (Table 1)</w:t>
      </w:r>
      <w:r w:rsidRPr="005B7166">
        <w:rPr>
          <w:rFonts w:cstheme="minorHAnsi"/>
          <w:lang w:val="en-US"/>
        </w:rPr>
        <w:t xml:space="preserve">. We consider the impact of climate change on three main crops which have crucial importance for the rural economies and food security in Central Asia. Cotton is included in this study as it is the main export crop in Uzbekistan, Tajikistan and Kyrgyzstan </w:t>
      </w:r>
      <w:r w:rsidR="00E71FB7" w:rsidRPr="004E7800">
        <w:rPr>
          <w:rFonts w:cstheme="minorHAnsi"/>
        </w:rPr>
        <w:fldChar w:fldCharType="begin"/>
      </w:r>
      <w:r w:rsidRPr="005B7166">
        <w:rPr>
          <w:rFonts w:cstheme="minorHAnsi"/>
          <w:lang w:val="en-US"/>
        </w:rPr>
        <w:instrText xml:space="preserve"> ADDIN EN.CITE &lt;EndNote&gt;&lt;Cite&gt;&lt;Author&gt;Pomfret&lt;/Author&gt;&lt;Year&gt;2007&lt;/Year&gt;&lt;RecNum&gt;137&lt;/RecNum&gt;&lt;DisplayText&gt;(Pomfret, 2007)&lt;/DisplayText&gt;&lt;record&gt;&lt;rec-number&gt;137&lt;/rec-number&gt;&lt;foreign-keys&gt;&lt;key app="EN" db-id="0erxvrzsjv5szqefaesv09e4awxs2t5saw90"&gt;137&lt;/key&gt;&lt;/foreign-keys&gt;&lt;ref-type name="Report"&gt;27&lt;/ref-type&gt;&lt;contributors&gt;&lt;authors&gt;&lt;author&gt;Pomfret, R.&lt;/author&gt;&lt;/authors&gt;&lt;/contributors&gt;&lt;titles&gt;&lt;title&gt;Distortions to agricultural incentives in Tajikistan, Turkmenistan and Uzbekistan&lt;/title&gt;&lt;secondary-title&gt;Agricultural Distortions Working Paper&lt;/secondary-title&gt;&lt;/titles&gt;&lt;pages&gt;52&lt;/pages&gt;&lt;volume&gt;5&lt;/volume&gt;&lt;dates&gt;&lt;year&gt;2007&lt;/year&gt;&lt;/dates&gt;&lt;pub-location&gt;Washington DC&lt;/pub-location&gt;&lt;publisher&gt;World Bank&lt;/publisher&gt;&lt;urls&gt;&lt;/urls&gt;&lt;/record&gt;&lt;/Cite&gt;&lt;/EndNote&gt;</w:instrText>
      </w:r>
      <w:r w:rsidR="00E71FB7" w:rsidRPr="004E7800">
        <w:rPr>
          <w:rFonts w:cstheme="minorHAnsi"/>
        </w:rPr>
        <w:fldChar w:fldCharType="separate"/>
      </w:r>
      <w:r w:rsidRPr="005B7166">
        <w:rPr>
          <w:rFonts w:cstheme="minorHAnsi"/>
          <w:noProof/>
          <w:lang w:val="en-US"/>
        </w:rPr>
        <w:t>(</w:t>
      </w:r>
      <w:hyperlink w:anchor="_ENREF_30" w:tooltip="Pomfret, 2007 #137" w:history="1">
        <w:r w:rsidR="002C46A7" w:rsidRPr="005B7166">
          <w:rPr>
            <w:rFonts w:cstheme="minorHAnsi"/>
            <w:noProof/>
            <w:lang w:val="en-US"/>
          </w:rPr>
          <w:t>Pomfret, 2007</w:t>
        </w:r>
      </w:hyperlink>
      <w:r w:rsidRPr="005B7166">
        <w:rPr>
          <w:rFonts w:cstheme="minorHAnsi"/>
          <w:noProof/>
          <w:lang w:val="en-US"/>
        </w:rPr>
        <w:t>)</w:t>
      </w:r>
      <w:r w:rsidR="00E71FB7" w:rsidRPr="004E7800">
        <w:rPr>
          <w:rFonts w:cstheme="minorHAnsi"/>
        </w:rPr>
        <w:fldChar w:fldCharType="end"/>
      </w:r>
      <w:r w:rsidRPr="005B7166">
        <w:rPr>
          <w:rFonts w:cstheme="minorHAnsi"/>
          <w:lang w:val="en-US"/>
        </w:rPr>
        <w:t>. Average share of cotton in total crop area in some regions of Central Asia reaches up to 40-50 percent</w:t>
      </w:r>
      <w:r w:rsidR="00DD3E46">
        <w:rPr>
          <w:rFonts w:cstheme="minorHAnsi"/>
          <w:lang w:val="en-US"/>
        </w:rPr>
        <w:t xml:space="preserve"> </w:t>
      </w:r>
      <w:r w:rsidR="00DD3E46">
        <w:rPr>
          <w:rFonts w:cstheme="minorHAnsi"/>
          <w:lang w:val="en-US"/>
        </w:rPr>
        <w:fldChar w:fldCharType="begin"/>
      </w:r>
      <w:r w:rsidR="00DD3E46">
        <w:rPr>
          <w:rFonts w:cstheme="minorHAnsi"/>
          <w:lang w:val="en-US"/>
        </w:rPr>
        <w:instrText xml:space="preserve"> ADDIN EN.CITE &lt;EndNote&gt;&lt;Cite&gt;&lt;Author&gt;Bobojonov&lt;/Author&gt;&lt;Year&gt;2013&lt;/Year&gt;&lt;RecNum&gt;435&lt;/RecNum&gt;&lt;DisplayText&gt;(Bobojonov&lt;style face="italic"&gt; et al.&lt;/style&gt;, 2013)&lt;/DisplayText&gt;&lt;record&gt;&lt;rec-number&gt;435&lt;/rec-number&gt;&lt;foreign-keys&gt;&lt;key app="EN" db-id="0erxvrzsjv5szqefaesv09e4awxs2t5saw90"&gt;435&lt;/key&gt;&lt;/foreign-keys&gt;&lt;ref-type name="Journal Article"&gt;17&lt;/ref-type&gt;&lt;contributors&gt;&lt;authors&gt;&lt;author&gt;Bobojonov, I.&lt;/author&gt;&lt;author&gt;Lamers, J. P. A.&lt;/author&gt;&lt;author&gt;Bekchanov, M.&lt;/author&gt;&lt;author&gt;Djanibekov, N.&lt;/author&gt;&lt;author&gt;Franz-Vasdeki, J.&lt;/author&gt;&lt;author&gt;Ruzimov, J.&lt;/author&gt;&lt;author&gt;Martius, C.&lt;/author&gt;&lt;/authors&gt;&lt;/contributors&gt;&lt;titles&gt;&lt;title&gt;Options and Constraints for Crop Diversification: A Case Study in Sustainable Agriculture in Uzbekistan&lt;/title&gt;&lt;secondary-title&gt;Agroecology and Sustainable Food Systems&lt;/secondary-title&gt;&lt;/titles&gt;&lt;periodical&gt;&lt;full-title&gt;Agroecology and Sustainable Food Systems&lt;/full-title&gt;&lt;/periodical&gt;&lt;pages&gt;788-811&lt;/pages&gt;&lt;volume&gt;37&lt;/volume&gt;&lt;number&gt;7&lt;/number&gt;&lt;dates&gt;&lt;year&gt;2013&lt;/year&gt;&lt;pub-dates&gt;&lt;date&gt;2013/08/09&lt;/date&gt;&lt;/pub-dates&gt;&lt;/dates&gt;&lt;publisher&gt;Taylor &amp;amp; Francis&lt;/publisher&gt;&lt;isbn&gt;2168-3565&lt;/isbn&gt;&lt;urls&gt;&lt;related-urls&gt;&lt;url&gt;http://dx.doi.org/10.1080/21683565.2013.775539&lt;/url&gt;&lt;/related-urls&gt;&lt;/urls&gt;&lt;electronic-resource-num&gt;10.1080/21683565.2013.775539&lt;/electronic-resource-num&gt;&lt;access-date&gt;2013/07/23&lt;/access-date&gt;&lt;/record&gt;&lt;/Cite&gt;&lt;/EndNote&gt;</w:instrText>
      </w:r>
      <w:r w:rsidR="00DD3E46">
        <w:rPr>
          <w:rFonts w:cstheme="minorHAnsi"/>
          <w:lang w:val="en-US"/>
        </w:rPr>
        <w:fldChar w:fldCharType="separate"/>
      </w:r>
      <w:r w:rsidR="00DD3E46">
        <w:rPr>
          <w:rFonts w:cstheme="minorHAnsi"/>
          <w:noProof/>
          <w:lang w:val="en-US"/>
        </w:rPr>
        <w:t>(</w:t>
      </w:r>
      <w:hyperlink w:anchor="_ENREF_7" w:tooltip="Bobojonov, 2013 #435" w:history="1">
        <w:r w:rsidR="002C46A7">
          <w:rPr>
            <w:rFonts w:cstheme="minorHAnsi"/>
            <w:noProof/>
            <w:lang w:val="en-US"/>
          </w:rPr>
          <w:t>Bobojonov</w:t>
        </w:r>
        <w:r w:rsidR="002C46A7" w:rsidRPr="00DD3E46">
          <w:rPr>
            <w:rFonts w:cstheme="minorHAnsi"/>
            <w:i/>
            <w:noProof/>
            <w:lang w:val="en-US"/>
          </w:rPr>
          <w:t xml:space="preserve"> et al.</w:t>
        </w:r>
        <w:r w:rsidR="002C46A7">
          <w:rPr>
            <w:rFonts w:cstheme="minorHAnsi"/>
            <w:noProof/>
            <w:lang w:val="en-US"/>
          </w:rPr>
          <w:t>, 2013</w:t>
        </w:r>
      </w:hyperlink>
      <w:r w:rsidR="00DD3E46">
        <w:rPr>
          <w:rFonts w:cstheme="minorHAnsi"/>
          <w:noProof/>
          <w:lang w:val="en-US"/>
        </w:rPr>
        <w:t>)</w:t>
      </w:r>
      <w:r w:rsidR="00DD3E46">
        <w:rPr>
          <w:rFonts w:cstheme="minorHAnsi"/>
          <w:lang w:val="en-US"/>
        </w:rPr>
        <w:fldChar w:fldCharType="end"/>
      </w:r>
      <w:r w:rsidRPr="005B7166">
        <w:rPr>
          <w:rFonts w:cstheme="minorHAnsi"/>
          <w:lang w:val="en-US"/>
        </w:rPr>
        <w:t xml:space="preserve">. Potato and wheat are also included due to their importance in food security and farm income. Wheat is the main export crop in Kazakhstan, furthermore also for food security in the whole Central Asian region </w:t>
      </w:r>
      <w:r w:rsidR="00E71FB7" w:rsidRPr="004E7800">
        <w:rPr>
          <w:rFonts w:cstheme="minorHAnsi"/>
        </w:rPr>
        <w:fldChar w:fldCharType="begin"/>
      </w:r>
      <w:r w:rsidRPr="005B7166">
        <w:rPr>
          <w:rFonts w:cstheme="minorHAnsi"/>
          <w:lang w:val="en-US"/>
        </w:rPr>
        <w:instrText xml:space="preserve"> ADDIN EN.CITE &lt;EndNote&gt;&lt;Cite&gt;&lt;Author&gt;Ali&lt;/Author&gt;&lt;Year&gt;2005&lt;/Year&gt;&lt;RecNum&gt;116&lt;/RecNum&gt;&lt;DisplayText&gt;(Ali&lt;style face="italic"&gt; et al.&lt;/style&gt;, 2005)&lt;/DisplayText&gt;&lt;record&gt;&lt;rec-number&gt;116&lt;/rec-number&gt;&lt;foreign-keys&gt;&lt;key app="EN" db-id="0erxvrzsjv5szqefaesv09e4awxs2t5saw90"&gt;116&lt;/key&gt;&lt;/foreign-keys&gt;&lt;ref-type name="Conference Proceedings"&gt;10&lt;/ref-type&gt;&lt;contributors&gt;&lt;authors&gt;&lt;author&gt;Ali, M., &lt;/author&gt;&lt;author&gt;Lumpkin, T.A.  &lt;/author&gt;&lt;author&gt;Farooq, U.&lt;/author&gt;&lt;/authors&gt;&lt;secondary-authors&gt;&lt;author&gt;Kalb, T.J.  &lt;/author&gt;&lt;author&gt;Mavlyanova, R.F.  &lt;/author&gt;&lt;/secondary-authors&gt;&lt;/contributors&gt;&lt;titles&gt;&lt;title&gt;Vegetable Research and Development in Central Asia: A Guideline for Setting Priorities under Data Scarcity&lt;/title&gt;&lt;secondary-title&gt;Vegetable production in Central Asia: status and perspectives&lt;/secondary-title&gt;&lt;/titles&gt;&lt;pages&gt;1-26&lt;/pages&gt;&lt;volume&gt;05-618&lt;/volume&gt;&lt;dates&gt;&lt;year&gt;2005&lt;/year&gt;&lt;pub-dates&gt;&lt;date&gt;13–14 June 2003&lt;/date&gt;&lt;/pub-dates&gt;&lt;/dates&gt;&lt;pub-location&gt;Almaty, Kazakhstan&lt;/pub-location&gt;&lt;publisher&gt;AVRDC – The World Vegetable Center&lt;/publisher&gt;&lt;urls&gt;&lt;/urls&gt;&lt;custom1&gt;Shanhua, Taiwan&lt;/custom1&gt;&lt;/record&gt;&lt;/Cite&gt;&lt;/EndNote&gt;</w:instrText>
      </w:r>
      <w:r w:rsidR="00E71FB7" w:rsidRPr="004E7800">
        <w:rPr>
          <w:rFonts w:cstheme="minorHAnsi"/>
        </w:rPr>
        <w:fldChar w:fldCharType="separate"/>
      </w:r>
      <w:r w:rsidRPr="005B7166">
        <w:rPr>
          <w:rFonts w:cstheme="minorHAnsi"/>
          <w:noProof/>
          <w:lang w:val="en-US"/>
        </w:rPr>
        <w:t>(</w:t>
      </w:r>
      <w:hyperlink w:anchor="_ENREF_2" w:tooltip="Ali, 2005 #116" w:history="1">
        <w:r w:rsidR="002C46A7" w:rsidRPr="005B7166">
          <w:rPr>
            <w:rFonts w:cstheme="minorHAnsi"/>
            <w:noProof/>
            <w:lang w:val="en-US"/>
          </w:rPr>
          <w:t>Ali</w:t>
        </w:r>
        <w:r w:rsidR="002C46A7" w:rsidRPr="005B7166">
          <w:rPr>
            <w:rFonts w:cstheme="minorHAnsi"/>
            <w:i/>
            <w:noProof/>
            <w:lang w:val="en-US"/>
          </w:rPr>
          <w:t xml:space="preserve"> et al.</w:t>
        </w:r>
        <w:r w:rsidR="002C46A7" w:rsidRPr="005B7166">
          <w:rPr>
            <w:rFonts w:cstheme="minorHAnsi"/>
            <w:noProof/>
            <w:lang w:val="en-US"/>
          </w:rPr>
          <w:t>, 2005</w:t>
        </w:r>
      </w:hyperlink>
      <w:r w:rsidRPr="005B7166">
        <w:rPr>
          <w:rFonts w:cstheme="minorHAnsi"/>
          <w:noProof/>
          <w:lang w:val="en-US"/>
        </w:rPr>
        <w:t>)</w:t>
      </w:r>
      <w:r w:rsidR="00E71FB7" w:rsidRPr="004E7800">
        <w:rPr>
          <w:rFonts w:cstheme="minorHAnsi"/>
        </w:rPr>
        <w:fldChar w:fldCharType="end"/>
      </w:r>
      <w:r>
        <w:rPr>
          <w:rFonts w:cstheme="minorHAnsi"/>
          <w:lang w:val="en-US"/>
        </w:rPr>
        <w:t>.</w:t>
      </w:r>
    </w:p>
    <w:p w:rsidR="001724BE" w:rsidRPr="004E7800" w:rsidRDefault="001724BE" w:rsidP="00104719">
      <w:pPr>
        <w:pStyle w:val="Beschriftung"/>
        <w:spacing w:line="360" w:lineRule="auto"/>
        <w:jc w:val="both"/>
        <w:rPr>
          <w:b w:val="0"/>
          <w:szCs w:val="22"/>
          <w:lang w:val="en-US"/>
        </w:rPr>
      </w:pPr>
      <w:bookmarkStart w:id="1" w:name="_Ref353345334"/>
      <w:proofErr w:type="gramStart"/>
      <w:r w:rsidRPr="004E7800">
        <w:rPr>
          <w:szCs w:val="22"/>
          <w:lang w:val="en-US"/>
        </w:rPr>
        <w:t xml:space="preserve">Table </w:t>
      </w:r>
      <w:r w:rsidR="00E71FB7" w:rsidRPr="004E7800">
        <w:rPr>
          <w:szCs w:val="22"/>
          <w:lang w:val="en-US"/>
        </w:rPr>
        <w:fldChar w:fldCharType="begin"/>
      </w:r>
      <w:r w:rsidRPr="004E7800">
        <w:rPr>
          <w:szCs w:val="22"/>
          <w:lang w:val="en-US"/>
        </w:rPr>
        <w:instrText xml:space="preserve"> SEQ Table \* ARABIC </w:instrText>
      </w:r>
      <w:r w:rsidR="00E71FB7" w:rsidRPr="004E7800">
        <w:rPr>
          <w:szCs w:val="22"/>
          <w:lang w:val="en-US"/>
        </w:rPr>
        <w:fldChar w:fldCharType="separate"/>
      </w:r>
      <w:r w:rsidRPr="004E7800">
        <w:rPr>
          <w:noProof/>
          <w:szCs w:val="22"/>
          <w:lang w:val="en-US"/>
        </w:rPr>
        <w:t>1</w:t>
      </w:r>
      <w:r w:rsidR="00E71FB7" w:rsidRPr="004E7800">
        <w:rPr>
          <w:szCs w:val="22"/>
          <w:lang w:val="en-US"/>
        </w:rPr>
        <w:fldChar w:fldCharType="end"/>
      </w:r>
      <w:bookmarkEnd w:id="1"/>
      <w:r>
        <w:rPr>
          <w:szCs w:val="22"/>
          <w:lang w:val="en-US"/>
        </w:rPr>
        <w:t>.</w:t>
      </w:r>
      <w:proofErr w:type="gramEnd"/>
      <w:r w:rsidRPr="004E7800">
        <w:rPr>
          <w:b w:val="0"/>
          <w:szCs w:val="22"/>
          <w:lang w:val="en-US"/>
        </w:rPr>
        <w:t xml:space="preserve"> Repre</w:t>
      </w:r>
      <w:r>
        <w:rPr>
          <w:b w:val="0"/>
          <w:szCs w:val="22"/>
          <w:lang w:val="en-US"/>
        </w:rPr>
        <w:t>sentative farm characteristics</w:t>
      </w:r>
    </w:p>
    <w:tbl>
      <w:tblPr>
        <w:tblW w:w="9367" w:type="dxa"/>
        <w:tblInd w:w="59" w:type="dxa"/>
        <w:tblCellMar>
          <w:left w:w="70" w:type="dxa"/>
          <w:right w:w="70" w:type="dxa"/>
        </w:tblCellMar>
        <w:tblLook w:val="04A0" w:firstRow="1" w:lastRow="0" w:firstColumn="1" w:lastColumn="0" w:noHBand="0" w:noVBand="1"/>
      </w:tblPr>
      <w:tblGrid>
        <w:gridCol w:w="1920"/>
        <w:gridCol w:w="1400"/>
        <w:gridCol w:w="960"/>
        <w:gridCol w:w="960"/>
        <w:gridCol w:w="158"/>
        <w:gridCol w:w="1742"/>
        <w:gridCol w:w="2227"/>
      </w:tblGrid>
      <w:tr w:rsidR="001724BE" w:rsidRPr="00054792" w:rsidTr="00BB63FF">
        <w:trPr>
          <w:trHeight w:val="960"/>
        </w:trPr>
        <w:tc>
          <w:tcPr>
            <w:tcW w:w="1920" w:type="dxa"/>
            <w:tcBorders>
              <w:top w:val="single" w:sz="8" w:space="0" w:color="000000"/>
              <w:left w:val="nil"/>
              <w:bottom w:val="single" w:sz="8" w:space="0" w:color="000000"/>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 </w:t>
            </w:r>
          </w:p>
        </w:tc>
        <w:tc>
          <w:tcPr>
            <w:tcW w:w="1400" w:type="dxa"/>
            <w:tcBorders>
              <w:top w:val="single" w:sz="8" w:space="0" w:color="000000"/>
              <w:left w:val="nil"/>
              <w:bottom w:val="single" w:sz="8" w:space="0" w:color="000000"/>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AEZ</w:t>
            </w:r>
          </w:p>
        </w:tc>
        <w:tc>
          <w:tcPr>
            <w:tcW w:w="960" w:type="dxa"/>
            <w:tcBorders>
              <w:top w:val="single" w:sz="8" w:space="0" w:color="000000"/>
              <w:left w:val="nil"/>
              <w:bottom w:val="single" w:sz="8" w:space="0" w:color="000000"/>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Farm size, ha</w:t>
            </w:r>
          </w:p>
        </w:tc>
        <w:tc>
          <w:tcPr>
            <w:tcW w:w="1118" w:type="dxa"/>
            <w:gridSpan w:val="2"/>
            <w:tcBorders>
              <w:top w:val="single" w:sz="8" w:space="0" w:color="000000"/>
              <w:left w:val="nil"/>
              <w:bottom w:val="single" w:sz="8" w:space="0" w:color="000000"/>
              <w:right w:val="nil"/>
            </w:tcBorders>
            <w:shd w:val="clear" w:color="auto" w:fill="auto"/>
            <w:vAlign w:val="bottom"/>
            <w:hideMark/>
          </w:tcPr>
          <w:p w:rsidR="001724BE" w:rsidRPr="00054792" w:rsidRDefault="00254B7E" w:rsidP="00254B7E">
            <w:pPr>
              <w:spacing w:line="240" w:lineRule="auto"/>
              <w:jc w:val="both"/>
              <w:rPr>
                <w:color w:val="000000"/>
                <w:lang w:val="en-US" w:eastAsia="de-DE"/>
              </w:rPr>
            </w:pPr>
            <w:r>
              <w:rPr>
                <w:color w:val="000000"/>
                <w:lang w:val="en-US" w:eastAsia="de-DE"/>
              </w:rPr>
              <w:t>Family size</w:t>
            </w:r>
          </w:p>
        </w:tc>
        <w:tc>
          <w:tcPr>
            <w:tcW w:w="1742" w:type="dxa"/>
            <w:tcBorders>
              <w:top w:val="single" w:sz="8" w:space="0" w:color="000000"/>
              <w:left w:val="nil"/>
              <w:bottom w:val="single" w:sz="8" w:space="0" w:color="000000"/>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Fertilizer use per hectare</w:t>
            </w:r>
            <w:r w:rsidR="00254B7E">
              <w:rPr>
                <w:color w:val="000000"/>
                <w:lang w:val="en-US" w:eastAsia="de-DE"/>
              </w:rPr>
              <w:t>, kg</w:t>
            </w:r>
          </w:p>
        </w:tc>
        <w:tc>
          <w:tcPr>
            <w:tcW w:w="2227" w:type="dxa"/>
            <w:tcBorders>
              <w:top w:val="single" w:sz="8" w:space="0" w:color="000000"/>
              <w:left w:val="nil"/>
              <w:bottom w:val="single" w:sz="8" w:space="0" w:color="000000"/>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Land ownership</w:t>
            </w:r>
          </w:p>
        </w:tc>
      </w:tr>
      <w:tr w:rsidR="001724BE" w:rsidRPr="00054792" w:rsidTr="00BB63FF">
        <w:trPr>
          <w:trHeight w:val="330"/>
        </w:trPr>
        <w:tc>
          <w:tcPr>
            <w:tcW w:w="1920" w:type="dxa"/>
            <w:tcBorders>
              <w:top w:val="nil"/>
              <w:left w:val="nil"/>
              <w:bottom w:val="nil"/>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Uzbekistan</w:t>
            </w:r>
          </w:p>
        </w:tc>
        <w:tc>
          <w:tcPr>
            <w:tcW w:w="1400" w:type="dxa"/>
            <w:tcBorders>
              <w:top w:val="nil"/>
              <w:left w:val="nil"/>
              <w:bottom w:val="nil"/>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arid</w:t>
            </w:r>
          </w:p>
        </w:tc>
        <w:tc>
          <w:tcPr>
            <w:tcW w:w="960" w:type="dxa"/>
            <w:tcBorders>
              <w:top w:val="nil"/>
              <w:left w:val="nil"/>
              <w:bottom w:val="nil"/>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27,1</w:t>
            </w:r>
          </w:p>
        </w:tc>
        <w:tc>
          <w:tcPr>
            <w:tcW w:w="1118" w:type="dxa"/>
            <w:gridSpan w:val="2"/>
            <w:tcBorders>
              <w:top w:val="nil"/>
              <w:left w:val="nil"/>
              <w:bottom w:val="nil"/>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6,7</w:t>
            </w:r>
          </w:p>
        </w:tc>
        <w:tc>
          <w:tcPr>
            <w:tcW w:w="1742" w:type="dxa"/>
            <w:tcBorders>
              <w:top w:val="nil"/>
              <w:left w:val="nil"/>
              <w:bottom w:val="nil"/>
              <w:right w:val="nil"/>
            </w:tcBorders>
            <w:shd w:val="clear" w:color="auto" w:fill="auto"/>
            <w:noWrap/>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138,4</w:t>
            </w:r>
          </w:p>
        </w:tc>
        <w:tc>
          <w:tcPr>
            <w:tcW w:w="2227" w:type="dxa"/>
            <w:tcBorders>
              <w:top w:val="nil"/>
              <w:left w:val="nil"/>
              <w:bottom w:val="nil"/>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r w:rsidRPr="00054792">
              <w:rPr>
                <w:color w:val="000000"/>
                <w:lang w:val="en-US" w:eastAsia="de-DE"/>
              </w:rPr>
              <w:t>leased</w:t>
            </w:r>
          </w:p>
        </w:tc>
      </w:tr>
      <w:tr w:rsidR="001724BE" w:rsidRPr="004E7800" w:rsidTr="00BB63FF">
        <w:trPr>
          <w:trHeight w:val="330"/>
        </w:trPr>
        <w:tc>
          <w:tcPr>
            <w:tcW w:w="1920" w:type="dxa"/>
            <w:tcBorders>
              <w:top w:val="nil"/>
              <w:left w:val="nil"/>
              <w:bottom w:val="nil"/>
              <w:right w:val="nil"/>
            </w:tcBorders>
            <w:shd w:val="clear" w:color="auto" w:fill="auto"/>
            <w:vAlign w:val="bottom"/>
            <w:hideMark/>
          </w:tcPr>
          <w:p w:rsidR="001724BE" w:rsidRPr="00054792" w:rsidRDefault="001724BE" w:rsidP="00104719">
            <w:pPr>
              <w:spacing w:line="240" w:lineRule="auto"/>
              <w:jc w:val="both"/>
              <w:rPr>
                <w:color w:val="000000"/>
                <w:lang w:val="en-US" w:eastAsia="de-DE"/>
              </w:rPr>
            </w:pPr>
          </w:p>
        </w:tc>
        <w:tc>
          <w:tcPr>
            <w:tcW w:w="140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054792">
              <w:rPr>
                <w:color w:val="000000"/>
                <w:lang w:val="en-US" w:eastAsia="de-DE"/>
              </w:rPr>
              <w:t>semia</w:t>
            </w:r>
            <w:r w:rsidRPr="004E7800">
              <w:rPr>
                <w:color w:val="000000"/>
                <w:lang w:eastAsia="de-DE"/>
              </w:rPr>
              <w:t>rid</w:t>
            </w:r>
            <w:proofErr w:type="spellEnd"/>
          </w:p>
        </w:tc>
        <w:tc>
          <w:tcPr>
            <w:tcW w:w="96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34,1</w:t>
            </w:r>
          </w:p>
        </w:tc>
        <w:tc>
          <w:tcPr>
            <w:tcW w:w="1118" w:type="dxa"/>
            <w:gridSpan w:val="2"/>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5,9</w:t>
            </w:r>
          </w:p>
        </w:tc>
        <w:tc>
          <w:tcPr>
            <w:tcW w:w="1742" w:type="dxa"/>
            <w:tcBorders>
              <w:top w:val="nil"/>
              <w:left w:val="nil"/>
              <w:bottom w:val="nil"/>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120,2</w:t>
            </w:r>
          </w:p>
        </w:tc>
        <w:tc>
          <w:tcPr>
            <w:tcW w:w="2227"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leased</w:t>
            </w:r>
            <w:proofErr w:type="spellEnd"/>
          </w:p>
        </w:tc>
      </w:tr>
      <w:tr w:rsidR="001724BE" w:rsidRPr="004E7800" w:rsidTr="00BB63FF">
        <w:trPr>
          <w:trHeight w:val="330"/>
        </w:trPr>
        <w:tc>
          <w:tcPr>
            <w:tcW w:w="192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Kazakhstan</w:t>
            </w:r>
            <w:proofErr w:type="spellEnd"/>
          </w:p>
        </w:tc>
        <w:tc>
          <w:tcPr>
            <w:tcW w:w="140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arid</w:t>
            </w:r>
          </w:p>
        </w:tc>
        <w:tc>
          <w:tcPr>
            <w:tcW w:w="96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28</w:t>
            </w:r>
          </w:p>
        </w:tc>
        <w:tc>
          <w:tcPr>
            <w:tcW w:w="1118" w:type="dxa"/>
            <w:gridSpan w:val="2"/>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4,1</w:t>
            </w:r>
          </w:p>
        </w:tc>
        <w:tc>
          <w:tcPr>
            <w:tcW w:w="1742" w:type="dxa"/>
            <w:tcBorders>
              <w:top w:val="nil"/>
              <w:left w:val="nil"/>
              <w:bottom w:val="nil"/>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134,4</w:t>
            </w:r>
          </w:p>
        </w:tc>
        <w:tc>
          <w:tcPr>
            <w:tcW w:w="2227"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private</w:t>
            </w:r>
          </w:p>
        </w:tc>
      </w:tr>
      <w:tr w:rsidR="001724BE" w:rsidRPr="004E7800" w:rsidTr="00BB63FF">
        <w:trPr>
          <w:trHeight w:val="330"/>
        </w:trPr>
        <w:tc>
          <w:tcPr>
            <w:tcW w:w="192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
        </w:tc>
        <w:tc>
          <w:tcPr>
            <w:tcW w:w="140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semiarid</w:t>
            </w:r>
          </w:p>
        </w:tc>
        <w:tc>
          <w:tcPr>
            <w:tcW w:w="96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77</w:t>
            </w:r>
          </w:p>
        </w:tc>
        <w:tc>
          <w:tcPr>
            <w:tcW w:w="1118" w:type="dxa"/>
            <w:gridSpan w:val="2"/>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5,7</w:t>
            </w:r>
          </w:p>
        </w:tc>
        <w:tc>
          <w:tcPr>
            <w:tcW w:w="1742" w:type="dxa"/>
            <w:tcBorders>
              <w:top w:val="nil"/>
              <w:left w:val="nil"/>
              <w:bottom w:val="nil"/>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52,3</w:t>
            </w:r>
          </w:p>
        </w:tc>
        <w:tc>
          <w:tcPr>
            <w:tcW w:w="2227"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 xml:space="preserve">private, </w:t>
            </w:r>
            <w:proofErr w:type="spellStart"/>
            <w:r w:rsidRPr="004E7800">
              <w:rPr>
                <w:color w:val="000000"/>
                <w:lang w:eastAsia="de-DE"/>
              </w:rPr>
              <w:t>cooperative</w:t>
            </w:r>
            <w:proofErr w:type="spellEnd"/>
          </w:p>
        </w:tc>
      </w:tr>
      <w:tr w:rsidR="001724BE" w:rsidRPr="004E7800" w:rsidTr="00BB63FF">
        <w:trPr>
          <w:trHeight w:val="330"/>
        </w:trPr>
        <w:tc>
          <w:tcPr>
            <w:tcW w:w="192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
        </w:tc>
        <w:tc>
          <w:tcPr>
            <w:tcW w:w="140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subhumid</w:t>
            </w:r>
            <w:proofErr w:type="spellEnd"/>
          </w:p>
        </w:tc>
        <w:tc>
          <w:tcPr>
            <w:tcW w:w="96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773</w:t>
            </w:r>
          </w:p>
        </w:tc>
        <w:tc>
          <w:tcPr>
            <w:tcW w:w="1118" w:type="dxa"/>
            <w:gridSpan w:val="2"/>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6,2</w:t>
            </w:r>
          </w:p>
        </w:tc>
        <w:tc>
          <w:tcPr>
            <w:tcW w:w="1742" w:type="dxa"/>
            <w:tcBorders>
              <w:top w:val="nil"/>
              <w:left w:val="nil"/>
              <w:bottom w:val="nil"/>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11,3</w:t>
            </w:r>
          </w:p>
        </w:tc>
        <w:tc>
          <w:tcPr>
            <w:tcW w:w="2227"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 xml:space="preserve">private, </w:t>
            </w:r>
            <w:proofErr w:type="spellStart"/>
            <w:r w:rsidRPr="004E7800">
              <w:rPr>
                <w:color w:val="000000"/>
                <w:lang w:eastAsia="de-DE"/>
              </w:rPr>
              <w:t>cooperative</w:t>
            </w:r>
            <w:proofErr w:type="spellEnd"/>
          </w:p>
        </w:tc>
      </w:tr>
      <w:tr w:rsidR="001724BE" w:rsidRPr="004E7800" w:rsidTr="00BB63FF">
        <w:trPr>
          <w:trHeight w:val="330"/>
        </w:trPr>
        <w:tc>
          <w:tcPr>
            <w:tcW w:w="192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Tajikistan</w:t>
            </w:r>
            <w:proofErr w:type="spellEnd"/>
          </w:p>
        </w:tc>
        <w:tc>
          <w:tcPr>
            <w:tcW w:w="140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arid</w:t>
            </w:r>
          </w:p>
        </w:tc>
        <w:tc>
          <w:tcPr>
            <w:tcW w:w="96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4,1</w:t>
            </w:r>
          </w:p>
        </w:tc>
        <w:tc>
          <w:tcPr>
            <w:tcW w:w="1118" w:type="dxa"/>
            <w:gridSpan w:val="2"/>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7,3</w:t>
            </w:r>
          </w:p>
        </w:tc>
        <w:tc>
          <w:tcPr>
            <w:tcW w:w="1742" w:type="dxa"/>
            <w:tcBorders>
              <w:top w:val="nil"/>
              <w:left w:val="nil"/>
              <w:bottom w:val="nil"/>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119,5</w:t>
            </w:r>
          </w:p>
        </w:tc>
        <w:tc>
          <w:tcPr>
            <w:tcW w:w="2227"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state</w:t>
            </w:r>
            <w:proofErr w:type="spellEnd"/>
            <w:r w:rsidRPr="004E7800">
              <w:rPr>
                <w:color w:val="000000"/>
                <w:lang w:eastAsia="de-DE"/>
              </w:rPr>
              <w:t>, private</w:t>
            </w:r>
          </w:p>
        </w:tc>
      </w:tr>
      <w:tr w:rsidR="001724BE" w:rsidRPr="004E7800" w:rsidTr="00BB63FF">
        <w:trPr>
          <w:trHeight w:val="330"/>
        </w:trPr>
        <w:tc>
          <w:tcPr>
            <w:tcW w:w="192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
        </w:tc>
        <w:tc>
          <w:tcPr>
            <w:tcW w:w="140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semiarid</w:t>
            </w:r>
          </w:p>
        </w:tc>
        <w:tc>
          <w:tcPr>
            <w:tcW w:w="96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4,6</w:t>
            </w:r>
          </w:p>
        </w:tc>
        <w:tc>
          <w:tcPr>
            <w:tcW w:w="1118" w:type="dxa"/>
            <w:gridSpan w:val="2"/>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7,8</w:t>
            </w:r>
          </w:p>
        </w:tc>
        <w:tc>
          <w:tcPr>
            <w:tcW w:w="1742" w:type="dxa"/>
            <w:tcBorders>
              <w:top w:val="nil"/>
              <w:left w:val="nil"/>
              <w:bottom w:val="nil"/>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43,5</w:t>
            </w:r>
          </w:p>
        </w:tc>
        <w:tc>
          <w:tcPr>
            <w:tcW w:w="2227"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state</w:t>
            </w:r>
            <w:proofErr w:type="spellEnd"/>
            <w:r w:rsidRPr="004E7800">
              <w:rPr>
                <w:color w:val="000000"/>
                <w:lang w:eastAsia="de-DE"/>
              </w:rPr>
              <w:t>, private</w:t>
            </w:r>
          </w:p>
        </w:tc>
      </w:tr>
      <w:tr w:rsidR="001724BE" w:rsidRPr="004E7800" w:rsidTr="00BB63FF">
        <w:trPr>
          <w:trHeight w:val="330"/>
        </w:trPr>
        <w:tc>
          <w:tcPr>
            <w:tcW w:w="192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
        </w:tc>
        <w:tc>
          <w:tcPr>
            <w:tcW w:w="140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humid</w:t>
            </w:r>
          </w:p>
        </w:tc>
        <w:tc>
          <w:tcPr>
            <w:tcW w:w="96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2,1</w:t>
            </w:r>
          </w:p>
        </w:tc>
        <w:tc>
          <w:tcPr>
            <w:tcW w:w="1118" w:type="dxa"/>
            <w:gridSpan w:val="2"/>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8,2</w:t>
            </w:r>
          </w:p>
        </w:tc>
        <w:tc>
          <w:tcPr>
            <w:tcW w:w="1742" w:type="dxa"/>
            <w:tcBorders>
              <w:top w:val="nil"/>
              <w:left w:val="nil"/>
              <w:bottom w:val="nil"/>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166,7</w:t>
            </w:r>
          </w:p>
        </w:tc>
        <w:tc>
          <w:tcPr>
            <w:tcW w:w="2227"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state</w:t>
            </w:r>
            <w:proofErr w:type="spellEnd"/>
            <w:r w:rsidRPr="004E7800">
              <w:rPr>
                <w:color w:val="000000"/>
                <w:lang w:eastAsia="de-DE"/>
              </w:rPr>
              <w:t>, private</w:t>
            </w:r>
          </w:p>
        </w:tc>
      </w:tr>
      <w:tr w:rsidR="001724BE" w:rsidRPr="004E7800" w:rsidTr="00BB63FF">
        <w:trPr>
          <w:trHeight w:val="330"/>
        </w:trPr>
        <w:tc>
          <w:tcPr>
            <w:tcW w:w="192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Kyrgyzstan</w:t>
            </w:r>
            <w:proofErr w:type="spellEnd"/>
          </w:p>
        </w:tc>
        <w:tc>
          <w:tcPr>
            <w:tcW w:w="140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semiarid</w:t>
            </w:r>
          </w:p>
        </w:tc>
        <w:tc>
          <w:tcPr>
            <w:tcW w:w="960"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5,1</w:t>
            </w:r>
          </w:p>
        </w:tc>
        <w:tc>
          <w:tcPr>
            <w:tcW w:w="1118" w:type="dxa"/>
            <w:gridSpan w:val="2"/>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5,6</w:t>
            </w:r>
          </w:p>
        </w:tc>
        <w:tc>
          <w:tcPr>
            <w:tcW w:w="1742" w:type="dxa"/>
            <w:tcBorders>
              <w:top w:val="nil"/>
              <w:left w:val="nil"/>
              <w:bottom w:val="nil"/>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136,3</w:t>
            </w:r>
          </w:p>
        </w:tc>
        <w:tc>
          <w:tcPr>
            <w:tcW w:w="2227" w:type="dxa"/>
            <w:tcBorders>
              <w:top w:val="nil"/>
              <w:left w:val="nil"/>
              <w:bottom w:val="nil"/>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private</w:t>
            </w:r>
          </w:p>
        </w:tc>
      </w:tr>
      <w:tr w:rsidR="001724BE" w:rsidRPr="004E7800" w:rsidTr="00BB63FF">
        <w:trPr>
          <w:trHeight w:val="330"/>
        </w:trPr>
        <w:tc>
          <w:tcPr>
            <w:tcW w:w="1920" w:type="dxa"/>
            <w:tcBorders>
              <w:top w:val="nil"/>
              <w:left w:val="nil"/>
              <w:bottom w:val="single" w:sz="4" w:space="0" w:color="auto"/>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 </w:t>
            </w:r>
          </w:p>
        </w:tc>
        <w:tc>
          <w:tcPr>
            <w:tcW w:w="1400" w:type="dxa"/>
            <w:tcBorders>
              <w:top w:val="nil"/>
              <w:left w:val="nil"/>
              <w:bottom w:val="single" w:sz="4" w:space="0" w:color="auto"/>
              <w:right w:val="nil"/>
            </w:tcBorders>
            <w:shd w:val="clear" w:color="auto" w:fill="auto"/>
            <w:vAlign w:val="bottom"/>
            <w:hideMark/>
          </w:tcPr>
          <w:p w:rsidR="001724BE" w:rsidRPr="004E7800" w:rsidRDefault="001724BE" w:rsidP="00104719">
            <w:pPr>
              <w:spacing w:line="240" w:lineRule="auto"/>
              <w:jc w:val="both"/>
              <w:rPr>
                <w:color w:val="000000"/>
                <w:lang w:eastAsia="de-DE"/>
              </w:rPr>
            </w:pPr>
            <w:proofErr w:type="spellStart"/>
            <w:r w:rsidRPr="004E7800">
              <w:rPr>
                <w:color w:val="000000"/>
                <w:lang w:eastAsia="de-DE"/>
              </w:rPr>
              <w:t>subhumid</w:t>
            </w:r>
            <w:proofErr w:type="spellEnd"/>
          </w:p>
        </w:tc>
        <w:tc>
          <w:tcPr>
            <w:tcW w:w="960" w:type="dxa"/>
            <w:tcBorders>
              <w:top w:val="nil"/>
              <w:left w:val="nil"/>
              <w:bottom w:val="single" w:sz="4" w:space="0" w:color="auto"/>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5,1</w:t>
            </w:r>
          </w:p>
        </w:tc>
        <w:tc>
          <w:tcPr>
            <w:tcW w:w="960" w:type="dxa"/>
            <w:tcBorders>
              <w:top w:val="nil"/>
              <w:left w:val="nil"/>
              <w:bottom w:val="single" w:sz="4" w:space="0" w:color="auto"/>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5,1</w:t>
            </w:r>
          </w:p>
        </w:tc>
        <w:tc>
          <w:tcPr>
            <w:tcW w:w="1900" w:type="dxa"/>
            <w:gridSpan w:val="2"/>
            <w:tcBorders>
              <w:top w:val="nil"/>
              <w:left w:val="nil"/>
              <w:bottom w:val="single" w:sz="4" w:space="0" w:color="auto"/>
              <w:right w:val="nil"/>
            </w:tcBorders>
            <w:shd w:val="clear" w:color="auto" w:fill="auto"/>
            <w:noWrap/>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22,9</w:t>
            </w:r>
          </w:p>
        </w:tc>
        <w:tc>
          <w:tcPr>
            <w:tcW w:w="2227" w:type="dxa"/>
            <w:tcBorders>
              <w:top w:val="nil"/>
              <w:left w:val="nil"/>
              <w:bottom w:val="single" w:sz="4" w:space="0" w:color="auto"/>
              <w:right w:val="nil"/>
            </w:tcBorders>
            <w:shd w:val="clear" w:color="auto" w:fill="auto"/>
            <w:vAlign w:val="bottom"/>
            <w:hideMark/>
          </w:tcPr>
          <w:p w:rsidR="001724BE" w:rsidRPr="004E7800" w:rsidRDefault="001724BE" w:rsidP="00104719">
            <w:pPr>
              <w:spacing w:line="240" w:lineRule="auto"/>
              <w:jc w:val="both"/>
              <w:rPr>
                <w:color w:val="000000"/>
                <w:lang w:eastAsia="de-DE"/>
              </w:rPr>
            </w:pPr>
            <w:r w:rsidRPr="004E7800">
              <w:rPr>
                <w:color w:val="000000"/>
                <w:lang w:eastAsia="de-DE"/>
              </w:rPr>
              <w:t>private</w:t>
            </w:r>
          </w:p>
        </w:tc>
      </w:tr>
    </w:tbl>
    <w:p w:rsidR="001724BE" w:rsidRPr="005004AD" w:rsidRDefault="001724BE" w:rsidP="00104719">
      <w:pPr>
        <w:spacing w:line="360" w:lineRule="auto"/>
        <w:jc w:val="both"/>
        <w:rPr>
          <w:i/>
          <w:lang w:val="en-US"/>
        </w:rPr>
      </w:pPr>
      <w:r w:rsidRPr="005004AD">
        <w:rPr>
          <w:i/>
          <w:lang w:val="en-US"/>
        </w:rPr>
        <w:t>Source: Household surveys</w:t>
      </w:r>
    </w:p>
    <w:p w:rsidR="001724BE" w:rsidRDefault="001724BE" w:rsidP="00104719">
      <w:pPr>
        <w:spacing w:line="360" w:lineRule="auto"/>
        <w:jc w:val="both"/>
        <w:rPr>
          <w:rFonts w:cstheme="minorHAnsi"/>
          <w:lang w:val="en-US"/>
        </w:rPr>
      </w:pPr>
      <w:r w:rsidRPr="00DB2E04">
        <w:rPr>
          <w:rFonts w:cstheme="minorHAnsi"/>
          <w:lang w:val="en-US"/>
        </w:rPr>
        <w:t xml:space="preserve">The study considers two representative medium size farms in Uzbekistan, three farm types in Kazakhstan, two farm types in Kyrgyzstan and three farms types in arid, semiarid and humid zones in Tajikistan. Farm sizes are very large in northern Kazakhstan while Uzbekistan has mainly medium size </w:t>
      </w:r>
      <w:r>
        <w:rPr>
          <w:rFonts w:cstheme="minorHAnsi"/>
          <w:lang w:val="en-US"/>
        </w:rPr>
        <w:t xml:space="preserve">farms </w:t>
      </w:r>
      <w:r w:rsidRPr="00DB2E04">
        <w:rPr>
          <w:rFonts w:cstheme="minorHAnsi"/>
          <w:lang w:val="en-US"/>
        </w:rPr>
        <w:t>and farms in Tajikistan and Kyrgyzstan are small when compared to Uzbekistan and Kazakhstan.</w:t>
      </w:r>
    </w:p>
    <w:p w:rsidR="001724BE" w:rsidRPr="005004AD" w:rsidRDefault="00F1016B" w:rsidP="00104719">
      <w:pPr>
        <w:spacing w:line="360" w:lineRule="auto"/>
        <w:jc w:val="both"/>
        <w:rPr>
          <w:rFonts w:cstheme="minorHAnsi"/>
          <w:lang w:val="en-US"/>
        </w:rPr>
      </w:pPr>
      <w:r>
        <w:rPr>
          <w:rFonts w:cstheme="minorHAnsi"/>
          <w:lang w:val="en-US"/>
        </w:rPr>
        <w:t xml:space="preserve">The </w:t>
      </w:r>
      <w:r w:rsidR="001724BE">
        <w:rPr>
          <w:rFonts w:cstheme="minorHAnsi"/>
          <w:lang w:val="en-US"/>
        </w:rPr>
        <w:t>BEMF model combines climate module, crop simulation and economic models</w:t>
      </w:r>
      <w:r w:rsidR="00AF4DA3">
        <w:rPr>
          <w:rFonts w:cstheme="minorHAnsi"/>
          <w:lang w:val="en-US"/>
        </w:rPr>
        <w:t xml:space="preserve"> </w:t>
      </w:r>
      <w:r w:rsidR="00AF4DA3">
        <w:rPr>
          <w:rFonts w:cstheme="minorHAnsi"/>
          <w:lang w:val="en-US"/>
        </w:rPr>
        <w:fldChar w:fldCharType="begin"/>
      </w:r>
      <w:r w:rsidR="002C46A7">
        <w:rPr>
          <w:rFonts w:cstheme="minorHAnsi"/>
          <w:lang w:val="en-US"/>
        </w:rPr>
        <w:instrText xml:space="preserve"> ADDIN EN.CITE &lt;EndNote&gt;&lt;Cite&gt;&lt;Author&gt;Bobojonov&lt;/Author&gt;&lt;Year&gt;2013&lt;/Year&gt;&lt;RecNum&gt;436&lt;/RecNum&gt;&lt;Prefix&gt;see &lt;/Prefix&gt;&lt;Suffix&gt; for more details&lt;/Suffix&gt;&lt;DisplayText&gt;(see Bobojonov and Aw-Hassan, 2013 for more details)&lt;/DisplayText&gt;&lt;record&gt;&lt;rec-number&gt;436&lt;/rec-number&gt;&lt;foreign-keys&gt;&lt;key app="EN" db-id="0erxvrzsjv5szqefaesv09e4awxs2t5saw90"&gt;436&lt;/key&gt;&lt;/foreign-keys&gt;&lt;ref-type name="Conference Proceedings"&gt;10&lt;/ref-type&gt;&lt;contributors&gt;&lt;authors&gt;&lt;author&gt;Ihtiyor Bobojonov&lt;/author&gt;&lt;author&gt;Aden Aw-Hassan&lt;/author&gt;&lt;/authors&gt;&lt;/contributors&gt;&lt;titles&gt;&lt;title&gt;Stochastic bio-economic modeling approach to assess climate change impacts in Central Asia&lt;/title&gt;&lt;secondary-title&gt;Poster presented at the Global Science Conference on Climate Smart Agriculture, University of California&lt;/secondary-title&gt;&lt;/titles&gt;&lt;dates&gt;&lt;year&gt;2013&lt;/year&gt;&lt;/dates&gt;&lt;pub-location&gt;Davis. 20-22 March 2013&lt;/pub-location&gt;&lt;urls&gt;&lt;/urls&gt;&lt;/record&gt;&lt;/Cite&gt;&lt;/EndNote&gt;</w:instrText>
      </w:r>
      <w:r w:rsidR="00AF4DA3">
        <w:rPr>
          <w:rFonts w:cstheme="minorHAnsi"/>
          <w:lang w:val="en-US"/>
        </w:rPr>
        <w:fldChar w:fldCharType="separate"/>
      </w:r>
      <w:r w:rsidR="002C46A7">
        <w:rPr>
          <w:rFonts w:cstheme="minorHAnsi"/>
          <w:noProof/>
          <w:lang w:val="en-US"/>
        </w:rPr>
        <w:t>(</w:t>
      </w:r>
      <w:hyperlink w:anchor="_ENREF_4" w:tooltip="Bobojonov, 2013 #436" w:history="1">
        <w:r w:rsidR="002C46A7">
          <w:rPr>
            <w:rFonts w:cstheme="minorHAnsi"/>
            <w:noProof/>
            <w:lang w:val="en-US"/>
          </w:rPr>
          <w:t>see Bobojonov and Aw-Hassan, 2013 for more details</w:t>
        </w:r>
      </w:hyperlink>
      <w:r w:rsidR="002C46A7">
        <w:rPr>
          <w:rFonts w:cstheme="minorHAnsi"/>
          <w:noProof/>
          <w:lang w:val="en-US"/>
        </w:rPr>
        <w:t>)</w:t>
      </w:r>
      <w:r w:rsidR="00AF4DA3">
        <w:rPr>
          <w:rFonts w:cstheme="minorHAnsi"/>
          <w:lang w:val="en-US"/>
        </w:rPr>
        <w:fldChar w:fldCharType="end"/>
      </w:r>
      <w:r w:rsidR="001724BE">
        <w:rPr>
          <w:rFonts w:cstheme="minorHAnsi"/>
          <w:lang w:val="en-US"/>
        </w:rPr>
        <w:t xml:space="preserve">. </w:t>
      </w:r>
      <w:r w:rsidR="001724BE" w:rsidRPr="005F56FE">
        <w:rPr>
          <w:rFonts w:cstheme="minorHAnsi"/>
          <w:lang w:val="en-US"/>
        </w:rPr>
        <w:t xml:space="preserve">IPCC (2007) climate change predictions are spatially downscaled to the local levels </w:t>
      </w:r>
      <w:r w:rsidR="00E71FB7" w:rsidRPr="005F56FE">
        <w:rPr>
          <w:rFonts w:cstheme="minorHAnsi"/>
          <w:lang w:val="en-US"/>
        </w:rPr>
        <w:fldChar w:fldCharType="begin"/>
      </w:r>
      <w:r w:rsidR="001724BE" w:rsidRPr="005F56FE">
        <w:rPr>
          <w:rFonts w:cstheme="minorHAnsi"/>
          <w:lang w:val="en-US"/>
        </w:rPr>
        <w:instrText xml:space="preserve"> ADDIN EN.CITE &lt;EndNote&gt;&lt;Cite&gt;&lt;Author&gt;De-Pauw&lt;/Author&gt;&lt;Year&gt;2012&lt;/Year&gt;&lt;RecNum&gt;126&lt;/RecNum&gt;&lt;DisplayText&gt;(De-Pauw, 2012)&lt;/DisplayText&gt;&lt;record&gt;&lt;rec-number&gt;126&lt;/rec-number&gt;&lt;foreign-keys&gt;&lt;key app="EN" db-id="0erxvrzsjv5szqefaesv09e4awxs2t5saw90"&gt;126&lt;/key&gt;&lt;/foreign-keys&gt;&lt;ref-type name="Unpublished Work"&gt;34&lt;/ref-type&gt;&lt;contributors&gt;&lt;authors&gt;&lt;author&gt;De-Pauw, E. &lt;/author&gt;&lt;/authors&gt;&lt;/contributors&gt;&lt;titles&gt;&lt;title&gt;Downscaling basic climatic variables for Central Asia&lt;/title&gt;&lt;secondary-title&gt;Adaptation to Climate Change in Central Asia and People’s Republic of China&lt;/secondary-title&gt;&lt;/titles&gt;&lt;dates&gt;&lt;year&gt;2012&lt;/year&gt;&lt;/dates&gt;&lt;pub-location&gt;Aleppo&lt;/pub-location&gt;&lt;publisher&gt;ICARDA&lt;/publisher&gt;&lt;urls&gt;&lt;/urls&gt;&lt;/record&gt;&lt;/Cite&gt;&lt;/EndNote&gt;</w:instrText>
      </w:r>
      <w:r w:rsidR="00E71FB7" w:rsidRPr="005F56FE">
        <w:rPr>
          <w:rFonts w:cstheme="minorHAnsi"/>
          <w:lang w:val="en-US"/>
        </w:rPr>
        <w:fldChar w:fldCharType="separate"/>
      </w:r>
      <w:r w:rsidR="001724BE" w:rsidRPr="005F56FE">
        <w:rPr>
          <w:rFonts w:cstheme="minorHAnsi"/>
          <w:lang w:val="en-US"/>
        </w:rPr>
        <w:t>(</w:t>
      </w:r>
      <w:hyperlink w:anchor="_ENREF_15" w:tooltip="De-Pauw, 2012 #126" w:history="1">
        <w:r w:rsidR="002C46A7" w:rsidRPr="005F56FE">
          <w:rPr>
            <w:rFonts w:cstheme="minorHAnsi"/>
            <w:lang w:val="en-US"/>
          </w:rPr>
          <w:t>De-Pauw, 2012</w:t>
        </w:r>
      </w:hyperlink>
      <w:r w:rsidR="001724BE" w:rsidRPr="005F56FE">
        <w:rPr>
          <w:rFonts w:cstheme="minorHAnsi"/>
          <w:lang w:val="en-US"/>
        </w:rPr>
        <w:t>)</w:t>
      </w:r>
      <w:r w:rsidR="00E71FB7" w:rsidRPr="005F56FE">
        <w:rPr>
          <w:rFonts w:cstheme="minorHAnsi"/>
          <w:lang w:val="en-US"/>
        </w:rPr>
        <w:fldChar w:fldCharType="end"/>
      </w:r>
      <w:r w:rsidR="001724BE" w:rsidRPr="005F56FE">
        <w:rPr>
          <w:rFonts w:cstheme="minorHAnsi"/>
          <w:lang w:val="en-US"/>
        </w:rPr>
        <w:t>. The crop simulation models use these downscaled scenarios. This combination allows consideration of impacts of climate change on the productivity of different crops. These crop simulation models are calibrated with the crop experiment data as well as actual farm management practices collected from farm surveys</w:t>
      </w:r>
      <w:r w:rsidR="001724BE">
        <w:rPr>
          <w:rFonts w:cstheme="minorHAnsi"/>
          <w:lang w:val="en-US"/>
        </w:rPr>
        <w:t xml:space="preserve"> </w:t>
      </w:r>
      <w:r w:rsidR="00E71FB7">
        <w:rPr>
          <w:rFonts w:cstheme="minorHAnsi"/>
          <w:lang w:val="en-US"/>
        </w:rPr>
        <w:fldChar w:fldCharType="begin"/>
      </w:r>
      <w:r w:rsidR="001724BE">
        <w:rPr>
          <w:rFonts w:cstheme="minorHAnsi"/>
          <w:lang w:val="en-US"/>
        </w:rPr>
        <w:instrText xml:space="preserve"> ADDIN EN.CITE &lt;EndNote&gt;&lt;Cite&gt;&lt;Author&gt;Kato&lt;/Author&gt;&lt;Year&gt;2012&lt;/Year&gt;&lt;RecNum&gt;131&lt;/RecNum&gt;&lt;DisplayText&gt;(Kato and Nkonya, 2012; Sommer&lt;style face="italic"&gt; et al.&lt;/style&gt;, 2012)&lt;/DisplayText&gt;&lt;record&gt;&lt;rec-number&gt;131&lt;/rec-number&gt;&lt;foreign-keys&gt;&lt;key app="EN" db-id="0erxvrzsjv5szqefaesv09e4awxs2t5saw90"&gt;131&lt;/key&gt;&lt;/foreign-keys&gt;&lt;ref-type name="Unpublished Work"&gt;34&lt;/ref-type&gt;&lt;contributors&gt;&lt;authors&gt;&lt;author&gt;Kato, E.&lt;/author&gt;&lt;author&gt;Nkonya, E.&lt;/author&gt;&lt;/authors&gt;&lt;/contributors&gt;&lt;titles&gt;&lt;title&gt;DSSAT model for cotton and potato &lt;/title&gt;&lt;/titles&gt;&lt;dates&gt;&lt;year&gt;2012&lt;/year&gt;&lt;/dates&gt;&lt;pub-location&gt;Aleppo&lt;/pub-location&gt;&lt;publisher&gt;ICARDA&lt;/publisher&gt;&lt;urls&gt;&lt;/urls&gt;&lt;/record&gt;&lt;/Cite&gt;&lt;Cite&gt;&lt;Author&gt;Sommer&lt;/Author&gt;&lt;Year&gt;2012&lt;/Year&gt;&lt;RecNum&gt;141&lt;/RecNum&gt;&lt;record&gt;&lt;rec-number&gt;141&lt;/rec-number&gt;&lt;foreign-keys&gt;&lt;key app="EN" db-id="0erxvrzsjv5szqefaesv09e4awxs2t5saw90"&gt;141&lt;/key&gt;&lt;/foreign-keys&gt;&lt;ref-type name="Unpublished Work"&gt;34&lt;/ref-type&gt;&lt;contributors&gt;&lt;authors&gt;&lt;author&gt;Sommer, R.&lt;/author&gt;&lt;author&gt;Glazirina, M.&lt;/author&gt;&lt;author&gt;Yuldashev, T.&lt;/author&gt;&lt;/authors&gt;&lt;/contributors&gt;&lt;titles&gt;&lt;title&gt;Impact of Climate Change on rural livelihood in Central Asia –  Component 1: “Assessing the vulnerability of selected agro-ecosystems in Central Asia to threats resulting from climate change – production and productivity of wheat. &lt;/title&gt;&lt;secondary-title&gt;Adaptation to Climate Change in Central Asia and People’s Republic of China&lt;/secondary-title&gt;&lt;/titles&gt;&lt;dates&gt;&lt;year&gt;2012&lt;/year&gt;&lt;/dates&gt;&lt;pub-location&gt;Aleppo&lt;/pub-location&gt;&lt;publisher&gt;ICARDA&lt;/publisher&gt;&lt;urls&gt;&lt;/urls&gt;&lt;/record&gt;&lt;/Cite&gt;&lt;/EndNote&gt;</w:instrText>
      </w:r>
      <w:r w:rsidR="00E71FB7">
        <w:rPr>
          <w:rFonts w:cstheme="minorHAnsi"/>
          <w:lang w:val="en-US"/>
        </w:rPr>
        <w:fldChar w:fldCharType="separate"/>
      </w:r>
      <w:r w:rsidR="001724BE">
        <w:rPr>
          <w:rFonts w:cstheme="minorHAnsi"/>
          <w:noProof/>
          <w:lang w:val="en-US"/>
        </w:rPr>
        <w:t>(</w:t>
      </w:r>
      <w:hyperlink w:anchor="_ENREF_24" w:tooltip="Kato, 2012 #131" w:history="1">
        <w:r w:rsidR="002C46A7">
          <w:rPr>
            <w:rFonts w:cstheme="minorHAnsi"/>
            <w:noProof/>
            <w:lang w:val="en-US"/>
          </w:rPr>
          <w:t>Kato and Nkonya, 2012</w:t>
        </w:r>
      </w:hyperlink>
      <w:r w:rsidR="001724BE">
        <w:rPr>
          <w:rFonts w:cstheme="minorHAnsi"/>
          <w:noProof/>
          <w:lang w:val="en-US"/>
        </w:rPr>
        <w:t xml:space="preserve">; </w:t>
      </w:r>
      <w:hyperlink w:anchor="_ENREF_33" w:tooltip="Sommer, 2012 #141" w:history="1">
        <w:r w:rsidR="002C46A7">
          <w:rPr>
            <w:rFonts w:cstheme="minorHAnsi"/>
            <w:noProof/>
            <w:lang w:val="en-US"/>
          </w:rPr>
          <w:t>Sommer</w:t>
        </w:r>
        <w:r w:rsidR="002C46A7" w:rsidRPr="005F56FE">
          <w:rPr>
            <w:rFonts w:cstheme="minorHAnsi"/>
            <w:i/>
            <w:noProof/>
            <w:lang w:val="en-US"/>
          </w:rPr>
          <w:t xml:space="preserve"> et al.</w:t>
        </w:r>
        <w:r w:rsidR="002C46A7">
          <w:rPr>
            <w:rFonts w:cstheme="minorHAnsi"/>
            <w:noProof/>
            <w:lang w:val="en-US"/>
          </w:rPr>
          <w:t>, 2012</w:t>
        </w:r>
      </w:hyperlink>
      <w:r w:rsidR="001724BE">
        <w:rPr>
          <w:rFonts w:cstheme="minorHAnsi"/>
          <w:noProof/>
          <w:lang w:val="en-US"/>
        </w:rPr>
        <w:t>)</w:t>
      </w:r>
      <w:r w:rsidR="00E71FB7">
        <w:rPr>
          <w:rFonts w:cstheme="minorHAnsi"/>
          <w:lang w:val="en-US"/>
        </w:rPr>
        <w:fldChar w:fldCharType="end"/>
      </w:r>
      <w:r w:rsidR="001724BE" w:rsidRPr="005F56FE">
        <w:rPr>
          <w:rFonts w:cstheme="minorHAnsi"/>
          <w:lang w:val="en-US"/>
        </w:rPr>
        <w:t>. The crop simulation model results were then used in a farm-level stochastic-optimization model in order to identify the climate change impact of farm income volatility and potential of different management options to improve farm income and adaptive capacity of farmers</w:t>
      </w:r>
      <w:r w:rsidR="001724BE">
        <w:rPr>
          <w:rFonts w:cstheme="minorHAnsi"/>
          <w:lang w:val="en-US"/>
        </w:rPr>
        <w:t>.</w:t>
      </w:r>
    </w:p>
    <w:p w:rsidR="001724BE" w:rsidRDefault="001724BE" w:rsidP="00104719">
      <w:pPr>
        <w:pStyle w:val="berschrift1"/>
        <w:numPr>
          <w:ilvl w:val="0"/>
          <w:numId w:val="1"/>
        </w:numPr>
        <w:spacing w:line="360" w:lineRule="auto"/>
        <w:jc w:val="both"/>
        <w:rPr>
          <w:rFonts w:asciiTheme="minorHAnsi" w:hAnsiTheme="minorHAnsi"/>
          <w:szCs w:val="22"/>
          <w:lang w:val="en-US"/>
        </w:rPr>
      </w:pPr>
      <w:r w:rsidRPr="00B5286A">
        <w:rPr>
          <w:rFonts w:asciiTheme="minorHAnsi" w:hAnsiTheme="minorHAnsi"/>
          <w:szCs w:val="22"/>
          <w:lang w:val="en-US"/>
        </w:rPr>
        <w:t xml:space="preserve">Results </w:t>
      </w:r>
    </w:p>
    <w:p w:rsidR="001724BE" w:rsidRDefault="001724BE" w:rsidP="00104719">
      <w:pPr>
        <w:pStyle w:val="11"/>
        <w:spacing w:line="360" w:lineRule="auto"/>
        <w:jc w:val="both"/>
      </w:pPr>
      <w:r>
        <w:t>Household food expenditure changes</w:t>
      </w:r>
    </w:p>
    <w:p w:rsidR="001724BE" w:rsidRDefault="001724BE" w:rsidP="00104719">
      <w:pPr>
        <w:spacing w:line="360" w:lineRule="auto"/>
        <w:jc w:val="both"/>
        <w:rPr>
          <w:lang w:val="en-US"/>
        </w:rPr>
      </w:pPr>
      <w:r>
        <w:rPr>
          <w:lang w:val="en-US"/>
        </w:rPr>
        <w:t xml:space="preserve">Significant differences in food prices are found between the countries. Uzbekistan has </w:t>
      </w:r>
      <w:r w:rsidR="00D23C93">
        <w:rPr>
          <w:lang w:val="en-US"/>
        </w:rPr>
        <w:t xml:space="preserve">a </w:t>
      </w:r>
      <w:r>
        <w:rPr>
          <w:lang w:val="en-US"/>
        </w:rPr>
        <w:t xml:space="preserve">state procurement system for cotton and wheat and those crops cover more than 70 percent of the arable land which leaves less area for fodder crop. This may </w:t>
      </w:r>
      <w:r w:rsidR="00D23C93">
        <w:rPr>
          <w:lang w:val="en-US"/>
        </w:rPr>
        <w:t>be the primary</w:t>
      </w:r>
      <w:r>
        <w:rPr>
          <w:lang w:val="en-US"/>
        </w:rPr>
        <w:t xml:space="preserve"> explan</w:t>
      </w:r>
      <w:r w:rsidR="00D23C93">
        <w:rPr>
          <w:lang w:val="en-US"/>
        </w:rPr>
        <w:t>ation for</w:t>
      </w:r>
      <w:r>
        <w:rPr>
          <w:lang w:val="en-US"/>
        </w:rPr>
        <w:t xml:space="preserve"> the higher prices of meat in Uzbekistan (Table 2). In contrast, </w:t>
      </w:r>
      <w:r w:rsidR="0007524E">
        <w:rPr>
          <w:lang w:val="en-US"/>
        </w:rPr>
        <w:t xml:space="preserve">the price of </w:t>
      </w:r>
      <w:r>
        <w:rPr>
          <w:lang w:val="en-US"/>
        </w:rPr>
        <w:t>vegetable</w:t>
      </w:r>
      <w:r w:rsidR="0007524E">
        <w:rPr>
          <w:lang w:val="en-US"/>
        </w:rPr>
        <w:t>s</w:t>
      </w:r>
      <w:r>
        <w:rPr>
          <w:lang w:val="en-US"/>
        </w:rPr>
        <w:t xml:space="preserve"> is significantly low in the country when compared to other CA countries. Most of the vegetables are usually planted as a secondary crop after winter wheat and therefore does not compete for land with state procurement crops. </w:t>
      </w:r>
      <w:r w:rsidR="0007524E">
        <w:rPr>
          <w:lang w:val="en-US"/>
        </w:rPr>
        <w:t xml:space="preserve">Particularly </w:t>
      </w:r>
      <w:r>
        <w:rPr>
          <w:lang w:val="en-US"/>
        </w:rPr>
        <w:t>low vegetable</w:t>
      </w:r>
      <w:r w:rsidR="0007524E">
        <w:rPr>
          <w:lang w:val="en-US"/>
        </w:rPr>
        <w:t xml:space="preserve"> prices</w:t>
      </w:r>
      <w:r>
        <w:rPr>
          <w:lang w:val="en-US"/>
        </w:rPr>
        <w:t xml:space="preserve"> are found during the harvest period due to underdeveloped processing, storage and export infrastructure in Uzbekistan </w:t>
      </w:r>
      <w:r w:rsidR="00E71FB7">
        <w:rPr>
          <w:lang w:val="en-US"/>
        </w:rPr>
        <w:fldChar w:fldCharType="begin"/>
      </w:r>
      <w:r>
        <w:rPr>
          <w:lang w:val="en-US"/>
        </w:rPr>
        <w:instrText xml:space="preserve"> ADDIN EN.CITE &lt;EndNote&gt;&lt;Cite&gt;&lt;Author&gt;Bobojonov&lt;/Author&gt;&lt;Year&gt;2008&lt;/Year&gt;&lt;RecNum&gt;113&lt;/RecNum&gt;&lt;DisplayText&gt;(Bobojonov and Lamers, 2008)&lt;/DisplayText&gt;&lt;record&gt;&lt;rec-number&gt;113&lt;/rec-number&gt;&lt;foreign-keys&gt;&lt;key app="EN" db-id="0erxvrzsjv5szqefaesv09e4awxs2t5saw90"&gt;113&lt;/key&gt;&lt;/foreign-keys&gt;&lt;ref-type name="Book Section"&gt;5&lt;/ref-type&gt;&lt;contributors&gt;&lt;authors&gt;&lt;author&gt;Bobojonov, I. &lt;/author&gt;&lt;author&gt;Lamers, J.P.A. &lt;/author&gt;&lt;/authors&gt;&lt;secondary-authors&gt;&lt;author&gt;Wehrheim, P.&lt;/author&gt;&lt;author&gt;Schoeller-Schletter, A.&lt;/author&gt;&lt;author&gt;Martius, C.&lt;/author&gt;&lt;/secondary-authors&gt;&lt;/contributors&gt;&lt;titles&gt;&lt;title&gt;Analysis of Agricultural Markets in Khorezm, Uzbekistan&lt;/title&gt;&lt;secondary-title&gt;Land and Water Use Reforms in Rural Uzbekistan. Socio-economic and Legal Analyses for the Region Khorezm&lt;/secondary-title&gt;&lt;/titles&gt;&lt;pages&gt;63-86&lt;/pages&gt;&lt;dates&gt;&lt;year&gt;2008&lt;/year&gt;&lt;/dates&gt;&lt;pub-location&gt;Halle/Saale&lt;/pub-location&gt;&lt;publisher&gt;IAMO&lt;/publisher&gt;&lt;urls&gt;&lt;/urls&gt;&lt;/record&gt;&lt;/Cite&gt;&lt;/EndNote&gt;</w:instrText>
      </w:r>
      <w:r w:rsidR="00E71FB7">
        <w:rPr>
          <w:lang w:val="en-US"/>
        </w:rPr>
        <w:fldChar w:fldCharType="separate"/>
      </w:r>
      <w:r>
        <w:rPr>
          <w:noProof/>
          <w:lang w:val="en-US"/>
        </w:rPr>
        <w:t>(</w:t>
      </w:r>
      <w:hyperlink w:anchor="_ENREF_6" w:tooltip="Bobojonov, 2008 #113" w:history="1">
        <w:r w:rsidR="002C46A7">
          <w:rPr>
            <w:noProof/>
            <w:lang w:val="en-US"/>
          </w:rPr>
          <w:t>Bobojonov and Lamers, 2008</w:t>
        </w:r>
      </w:hyperlink>
      <w:r>
        <w:rPr>
          <w:noProof/>
          <w:lang w:val="en-US"/>
        </w:rPr>
        <w:t>)</w:t>
      </w:r>
      <w:r w:rsidR="00E71FB7">
        <w:rPr>
          <w:lang w:val="en-US"/>
        </w:rPr>
        <w:fldChar w:fldCharType="end"/>
      </w:r>
      <w:r>
        <w:rPr>
          <w:lang w:val="en-US"/>
        </w:rPr>
        <w:t>.</w:t>
      </w:r>
    </w:p>
    <w:p w:rsidR="001724BE" w:rsidRPr="00E53024" w:rsidRDefault="001724BE" w:rsidP="00104719">
      <w:pPr>
        <w:spacing w:line="360" w:lineRule="auto"/>
        <w:jc w:val="both"/>
        <w:rPr>
          <w:lang w:val="en-US"/>
        </w:rPr>
      </w:pPr>
      <w:proofErr w:type="gramStart"/>
      <w:r w:rsidRPr="009F6124">
        <w:rPr>
          <w:b/>
          <w:lang w:val="en-US"/>
        </w:rPr>
        <w:t>Table</w:t>
      </w:r>
      <w:r>
        <w:rPr>
          <w:b/>
          <w:lang w:val="en-US"/>
        </w:rPr>
        <w:t xml:space="preserve"> 2.</w:t>
      </w:r>
      <w:proofErr w:type="gramEnd"/>
      <w:r w:rsidRPr="009F6124">
        <w:rPr>
          <w:b/>
          <w:lang w:val="en-US"/>
        </w:rPr>
        <w:t xml:space="preserve"> </w:t>
      </w:r>
      <w:r w:rsidRPr="00E53024">
        <w:rPr>
          <w:lang w:val="en-US"/>
        </w:rPr>
        <w:t>Price difference of main foodstuff</w:t>
      </w:r>
      <w:r>
        <w:rPr>
          <w:lang w:val="en-US"/>
        </w:rPr>
        <w:t>, USD kg</w:t>
      </w:r>
      <w:r w:rsidRPr="00F500B9">
        <w:rPr>
          <w:vertAlign w:val="superscript"/>
          <w:lang w:val="en-US"/>
        </w:rPr>
        <w:t>-1</w:t>
      </w:r>
    </w:p>
    <w:tbl>
      <w:tblPr>
        <w:tblW w:w="9000" w:type="dxa"/>
        <w:tblInd w:w="55" w:type="dxa"/>
        <w:tblCellMar>
          <w:left w:w="70" w:type="dxa"/>
          <w:right w:w="70" w:type="dxa"/>
        </w:tblCellMar>
        <w:tblLook w:val="04A0" w:firstRow="1" w:lastRow="0" w:firstColumn="1" w:lastColumn="0" w:noHBand="0" w:noVBand="1"/>
      </w:tblPr>
      <w:tblGrid>
        <w:gridCol w:w="1200"/>
        <w:gridCol w:w="780"/>
        <w:gridCol w:w="780"/>
        <w:gridCol w:w="780"/>
        <w:gridCol w:w="780"/>
        <w:gridCol w:w="780"/>
        <w:gridCol w:w="780"/>
        <w:gridCol w:w="780"/>
        <w:gridCol w:w="780"/>
        <w:gridCol w:w="780"/>
        <w:gridCol w:w="780"/>
      </w:tblGrid>
      <w:tr w:rsidR="001724BE" w:rsidRPr="00054792" w:rsidTr="00BB63FF">
        <w:trPr>
          <w:trHeight w:val="300"/>
        </w:trPr>
        <w:tc>
          <w:tcPr>
            <w:tcW w:w="1200" w:type="dxa"/>
            <w:tcBorders>
              <w:top w:val="single" w:sz="4" w:space="0" w:color="auto"/>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val="en-US" w:eastAsia="de-DE"/>
              </w:rPr>
            </w:pP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meat</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rice</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veg</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wheat</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bread</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flour</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oil</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egg</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sugar</w:t>
            </w:r>
          </w:p>
        </w:tc>
        <w:tc>
          <w:tcPr>
            <w:tcW w:w="780" w:type="dxa"/>
            <w:tcBorders>
              <w:top w:val="single" w:sz="4" w:space="0" w:color="auto"/>
              <w:left w:val="nil"/>
              <w:bottom w:val="single" w:sz="4" w:space="0" w:color="auto"/>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butter</w:t>
            </w:r>
          </w:p>
        </w:tc>
      </w:tr>
      <w:tr w:rsidR="001724BE" w:rsidRPr="00054792" w:rsidTr="00BB63FF">
        <w:trPr>
          <w:trHeight w:val="300"/>
        </w:trPr>
        <w:tc>
          <w:tcPr>
            <w:tcW w:w="1200" w:type="dxa"/>
            <w:tcBorders>
              <w:top w:val="single" w:sz="4" w:space="0" w:color="auto"/>
              <w:left w:val="nil"/>
              <w:bottom w:val="nil"/>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Kazakhstan</w:t>
            </w:r>
          </w:p>
        </w:tc>
        <w:tc>
          <w:tcPr>
            <w:tcW w:w="780" w:type="dxa"/>
            <w:tcBorders>
              <w:top w:val="single" w:sz="4" w:space="0" w:color="auto"/>
              <w:left w:val="nil"/>
              <w:bottom w:val="nil"/>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4,59</w:t>
            </w:r>
          </w:p>
        </w:tc>
        <w:tc>
          <w:tcPr>
            <w:tcW w:w="780" w:type="dxa"/>
            <w:tcBorders>
              <w:top w:val="single" w:sz="4" w:space="0" w:color="auto"/>
              <w:left w:val="nil"/>
              <w:bottom w:val="nil"/>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1,09</w:t>
            </w:r>
          </w:p>
        </w:tc>
        <w:tc>
          <w:tcPr>
            <w:tcW w:w="780" w:type="dxa"/>
            <w:tcBorders>
              <w:top w:val="single" w:sz="4" w:space="0" w:color="auto"/>
              <w:left w:val="nil"/>
              <w:bottom w:val="nil"/>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1,36</w:t>
            </w:r>
          </w:p>
        </w:tc>
        <w:tc>
          <w:tcPr>
            <w:tcW w:w="780" w:type="dxa"/>
            <w:tcBorders>
              <w:top w:val="single" w:sz="4" w:space="0" w:color="auto"/>
              <w:left w:val="nil"/>
              <w:bottom w:val="nil"/>
              <w:right w:val="nil"/>
            </w:tcBorders>
            <w:shd w:val="clear" w:color="auto" w:fill="auto"/>
            <w:noWrap/>
            <w:vAlign w:val="bottom"/>
            <w:hideMark/>
          </w:tcPr>
          <w:p w:rsidR="001724BE" w:rsidRPr="007E19BA" w:rsidRDefault="001724BE" w:rsidP="00104719">
            <w:pPr>
              <w:spacing w:after="0" w:line="360" w:lineRule="auto"/>
              <w:jc w:val="both"/>
              <w:rPr>
                <w:rFonts w:ascii="Calibri" w:eastAsia="Times New Roman" w:hAnsi="Calibri" w:cs="Times New Roman"/>
                <w:color w:val="000000"/>
                <w:lang w:val="en-US" w:eastAsia="de-DE"/>
              </w:rPr>
            </w:pPr>
            <w:r w:rsidRPr="007E19BA">
              <w:rPr>
                <w:rFonts w:ascii="Calibri" w:eastAsia="Times New Roman" w:hAnsi="Calibri" w:cs="Times New Roman"/>
                <w:color w:val="000000"/>
                <w:lang w:val="en-US" w:eastAsia="de-DE"/>
              </w:rPr>
              <w:t>0,62</w:t>
            </w:r>
          </w:p>
        </w:tc>
        <w:tc>
          <w:tcPr>
            <w:tcW w:w="780" w:type="dxa"/>
            <w:tcBorders>
              <w:top w:val="single" w:sz="4" w:space="0" w:color="auto"/>
              <w:left w:val="nil"/>
              <w:bottom w:val="nil"/>
              <w:right w:val="nil"/>
            </w:tcBorders>
            <w:shd w:val="clear" w:color="auto" w:fill="auto"/>
            <w:noWrap/>
            <w:vAlign w:val="bottom"/>
            <w:hideMark/>
          </w:tcPr>
          <w:p w:rsidR="001724BE" w:rsidRPr="00054792" w:rsidRDefault="001724BE" w:rsidP="00104719">
            <w:pPr>
              <w:spacing w:after="0" w:line="360" w:lineRule="auto"/>
              <w:jc w:val="both"/>
              <w:rPr>
                <w:rFonts w:ascii="Calibri" w:eastAsia="Times New Roman" w:hAnsi="Calibri" w:cs="Times New Roman"/>
                <w:color w:val="000000"/>
                <w:lang w:val="en-US" w:eastAsia="de-DE"/>
              </w:rPr>
            </w:pPr>
            <w:r w:rsidRPr="00054792">
              <w:rPr>
                <w:rFonts w:ascii="Calibri" w:eastAsia="Times New Roman" w:hAnsi="Calibri" w:cs="Times New Roman"/>
                <w:color w:val="000000"/>
                <w:lang w:val="en-US" w:eastAsia="de-DE"/>
              </w:rPr>
              <w:t>0,31</w:t>
            </w:r>
          </w:p>
        </w:tc>
        <w:tc>
          <w:tcPr>
            <w:tcW w:w="780" w:type="dxa"/>
            <w:tcBorders>
              <w:top w:val="single" w:sz="4" w:space="0" w:color="auto"/>
              <w:left w:val="nil"/>
              <w:bottom w:val="nil"/>
              <w:right w:val="nil"/>
            </w:tcBorders>
            <w:shd w:val="clear" w:color="auto" w:fill="auto"/>
            <w:noWrap/>
            <w:vAlign w:val="bottom"/>
            <w:hideMark/>
          </w:tcPr>
          <w:p w:rsidR="001724BE" w:rsidRPr="00054792" w:rsidRDefault="001724BE" w:rsidP="00104719">
            <w:pPr>
              <w:spacing w:after="0" w:line="360" w:lineRule="auto"/>
              <w:jc w:val="both"/>
              <w:rPr>
                <w:rFonts w:ascii="Calibri" w:eastAsia="Times New Roman" w:hAnsi="Calibri" w:cs="Times New Roman"/>
                <w:color w:val="000000"/>
                <w:lang w:val="en-US" w:eastAsia="de-DE"/>
              </w:rPr>
            </w:pPr>
            <w:r w:rsidRPr="00054792">
              <w:rPr>
                <w:rFonts w:ascii="Calibri" w:eastAsia="Times New Roman" w:hAnsi="Calibri" w:cs="Times New Roman"/>
                <w:color w:val="000000"/>
                <w:lang w:val="en-US" w:eastAsia="de-DE"/>
              </w:rPr>
              <w:t>0,56</w:t>
            </w:r>
          </w:p>
        </w:tc>
        <w:tc>
          <w:tcPr>
            <w:tcW w:w="780" w:type="dxa"/>
            <w:tcBorders>
              <w:top w:val="single" w:sz="4" w:space="0" w:color="auto"/>
              <w:left w:val="nil"/>
              <w:bottom w:val="nil"/>
              <w:right w:val="nil"/>
            </w:tcBorders>
            <w:shd w:val="clear" w:color="auto" w:fill="auto"/>
            <w:noWrap/>
            <w:vAlign w:val="bottom"/>
            <w:hideMark/>
          </w:tcPr>
          <w:p w:rsidR="001724BE" w:rsidRPr="00054792" w:rsidRDefault="001724BE" w:rsidP="00104719">
            <w:pPr>
              <w:spacing w:after="0" w:line="360" w:lineRule="auto"/>
              <w:jc w:val="both"/>
              <w:rPr>
                <w:rFonts w:ascii="Calibri" w:eastAsia="Times New Roman" w:hAnsi="Calibri" w:cs="Times New Roman"/>
                <w:color w:val="000000"/>
                <w:lang w:val="en-US" w:eastAsia="de-DE"/>
              </w:rPr>
            </w:pPr>
            <w:r w:rsidRPr="00054792">
              <w:rPr>
                <w:rFonts w:ascii="Calibri" w:eastAsia="Times New Roman" w:hAnsi="Calibri" w:cs="Times New Roman"/>
                <w:color w:val="000000"/>
                <w:lang w:val="en-US" w:eastAsia="de-DE"/>
              </w:rPr>
              <w:t>2,06</w:t>
            </w:r>
          </w:p>
        </w:tc>
        <w:tc>
          <w:tcPr>
            <w:tcW w:w="780" w:type="dxa"/>
            <w:tcBorders>
              <w:top w:val="single" w:sz="4" w:space="0" w:color="auto"/>
              <w:left w:val="nil"/>
              <w:bottom w:val="nil"/>
              <w:right w:val="nil"/>
            </w:tcBorders>
            <w:shd w:val="clear" w:color="auto" w:fill="auto"/>
            <w:noWrap/>
            <w:vAlign w:val="bottom"/>
            <w:hideMark/>
          </w:tcPr>
          <w:p w:rsidR="001724BE" w:rsidRPr="00054792" w:rsidRDefault="001724BE" w:rsidP="00104719">
            <w:pPr>
              <w:spacing w:after="0" w:line="360" w:lineRule="auto"/>
              <w:jc w:val="both"/>
              <w:rPr>
                <w:rFonts w:ascii="Calibri" w:eastAsia="Times New Roman" w:hAnsi="Calibri" w:cs="Times New Roman"/>
                <w:color w:val="000000"/>
                <w:lang w:val="en-US" w:eastAsia="de-DE"/>
              </w:rPr>
            </w:pPr>
            <w:r w:rsidRPr="00054792">
              <w:rPr>
                <w:rFonts w:ascii="Calibri" w:eastAsia="Times New Roman" w:hAnsi="Calibri" w:cs="Times New Roman"/>
                <w:color w:val="000000"/>
                <w:lang w:val="en-US" w:eastAsia="de-DE"/>
              </w:rPr>
              <w:t>0,11</w:t>
            </w:r>
          </w:p>
        </w:tc>
        <w:tc>
          <w:tcPr>
            <w:tcW w:w="780" w:type="dxa"/>
            <w:tcBorders>
              <w:top w:val="single" w:sz="4" w:space="0" w:color="auto"/>
              <w:left w:val="nil"/>
              <w:bottom w:val="nil"/>
              <w:right w:val="nil"/>
            </w:tcBorders>
            <w:shd w:val="clear" w:color="auto" w:fill="auto"/>
            <w:noWrap/>
            <w:vAlign w:val="bottom"/>
            <w:hideMark/>
          </w:tcPr>
          <w:p w:rsidR="001724BE" w:rsidRPr="00054792" w:rsidRDefault="001724BE" w:rsidP="00104719">
            <w:pPr>
              <w:spacing w:after="0" w:line="360" w:lineRule="auto"/>
              <w:jc w:val="both"/>
              <w:rPr>
                <w:rFonts w:ascii="Calibri" w:eastAsia="Times New Roman" w:hAnsi="Calibri" w:cs="Times New Roman"/>
                <w:color w:val="000000"/>
                <w:lang w:val="en-US" w:eastAsia="de-DE"/>
              </w:rPr>
            </w:pPr>
            <w:r w:rsidRPr="00054792">
              <w:rPr>
                <w:rFonts w:ascii="Calibri" w:eastAsia="Times New Roman" w:hAnsi="Calibri" w:cs="Times New Roman"/>
                <w:color w:val="000000"/>
                <w:lang w:val="en-US" w:eastAsia="de-DE"/>
              </w:rPr>
              <w:t>1,30</w:t>
            </w:r>
          </w:p>
        </w:tc>
        <w:tc>
          <w:tcPr>
            <w:tcW w:w="780" w:type="dxa"/>
            <w:tcBorders>
              <w:top w:val="single" w:sz="4" w:space="0" w:color="auto"/>
              <w:left w:val="nil"/>
              <w:bottom w:val="nil"/>
              <w:right w:val="nil"/>
            </w:tcBorders>
            <w:shd w:val="clear" w:color="auto" w:fill="auto"/>
            <w:noWrap/>
            <w:vAlign w:val="bottom"/>
            <w:hideMark/>
          </w:tcPr>
          <w:p w:rsidR="001724BE" w:rsidRPr="00054792" w:rsidRDefault="001724BE" w:rsidP="00104719">
            <w:pPr>
              <w:spacing w:after="0" w:line="360" w:lineRule="auto"/>
              <w:jc w:val="both"/>
              <w:rPr>
                <w:rFonts w:ascii="Calibri" w:eastAsia="Times New Roman" w:hAnsi="Calibri" w:cs="Times New Roman"/>
                <w:color w:val="000000"/>
                <w:lang w:val="en-US" w:eastAsia="de-DE"/>
              </w:rPr>
            </w:pPr>
            <w:r w:rsidRPr="00054792">
              <w:rPr>
                <w:rFonts w:ascii="Calibri" w:eastAsia="Times New Roman" w:hAnsi="Calibri" w:cs="Times New Roman"/>
                <w:color w:val="000000"/>
                <w:lang w:val="en-US" w:eastAsia="de-DE"/>
              </w:rPr>
              <w:t>3,98</w:t>
            </w:r>
          </w:p>
        </w:tc>
      </w:tr>
      <w:tr w:rsidR="001724BE" w:rsidRPr="00B97055" w:rsidTr="00BB63FF">
        <w:trPr>
          <w:trHeight w:val="300"/>
        </w:trPr>
        <w:tc>
          <w:tcPr>
            <w:tcW w:w="1200" w:type="dxa"/>
            <w:tcBorders>
              <w:top w:val="nil"/>
              <w:left w:val="nil"/>
              <w:bottom w:val="nil"/>
              <w:right w:val="nil"/>
            </w:tcBorders>
            <w:shd w:val="clear" w:color="auto" w:fill="auto"/>
            <w:noWrap/>
            <w:vAlign w:val="bottom"/>
            <w:hideMark/>
          </w:tcPr>
          <w:p w:rsidR="001724BE" w:rsidRPr="00054792" w:rsidRDefault="001724BE" w:rsidP="00104719">
            <w:pPr>
              <w:spacing w:after="0" w:line="360" w:lineRule="auto"/>
              <w:jc w:val="both"/>
              <w:rPr>
                <w:rFonts w:ascii="Calibri" w:eastAsia="Times New Roman" w:hAnsi="Calibri" w:cs="Times New Roman"/>
                <w:color w:val="000000"/>
                <w:lang w:val="en-US" w:eastAsia="de-DE"/>
              </w:rPr>
            </w:pPr>
            <w:r w:rsidRPr="00054792">
              <w:rPr>
                <w:rFonts w:ascii="Calibri" w:eastAsia="Times New Roman" w:hAnsi="Calibri" w:cs="Times New Roman"/>
                <w:color w:val="000000"/>
                <w:lang w:val="en-US" w:eastAsia="de-DE"/>
              </w:rPr>
              <w:t>Kyrgyzstan</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4,53</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1,20</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0,88</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0,29</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0,29</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0,45</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1,78</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0,16</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1,16</w:t>
            </w:r>
          </w:p>
        </w:tc>
        <w:tc>
          <w:tcPr>
            <w:tcW w:w="780" w:type="dxa"/>
            <w:tcBorders>
              <w:top w:val="nil"/>
              <w:left w:val="nil"/>
              <w:bottom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3,81</w:t>
            </w:r>
          </w:p>
        </w:tc>
      </w:tr>
      <w:tr w:rsidR="001724BE" w:rsidRPr="00B97055" w:rsidTr="00BB63FF">
        <w:trPr>
          <w:trHeight w:val="300"/>
        </w:trPr>
        <w:tc>
          <w:tcPr>
            <w:tcW w:w="120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proofErr w:type="spellStart"/>
            <w:r w:rsidRPr="00B97055">
              <w:rPr>
                <w:rFonts w:ascii="Calibri" w:eastAsia="Times New Roman" w:hAnsi="Calibri" w:cs="Times New Roman"/>
                <w:color w:val="000000"/>
                <w:lang w:eastAsia="de-DE"/>
              </w:rPr>
              <w:t>Tajikistan</w:t>
            </w:r>
            <w:proofErr w:type="spellEnd"/>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4,69</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1,31</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0,82</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0,43</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0,27</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0,54</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1,72</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0,14</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1,25</w:t>
            </w:r>
          </w:p>
        </w:tc>
        <w:tc>
          <w:tcPr>
            <w:tcW w:w="780" w:type="dxa"/>
            <w:tcBorders>
              <w:top w:val="nil"/>
              <w:left w:val="nil"/>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3,14</w:t>
            </w:r>
          </w:p>
        </w:tc>
      </w:tr>
      <w:tr w:rsidR="001724BE" w:rsidRPr="00B97055" w:rsidTr="00BB63FF">
        <w:trPr>
          <w:trHeight w:val="300"/>
        </w:trPr>
        <w:tc>
          <w:tcPr>
            <w:tcW w:w="120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proofErr w:type="spellStart"/>
            <w:r w:rsidRPr="00B97055">
              <w:rPr>
                <w:rFonts w:ascii="Calibri" w:eastAsia="Times New Roman" w:hAnsi="Calibri" w:cs="Times New Roman"/>
                <w:color w:val="000000"/>
                <w:lang w:eastAsia="de-DE"/>
              </w:rPr>
              <w:t>Uzbekistan</w:t>
            </w:r>
            <w:proofErr w:type="spellEnd"/>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5,79</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1,09</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0,33</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0,26</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0,27</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0,64</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2,05</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0,14</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1,83</w:t>
            </w:r>
          </w:p>
        </w:tc>
        <w:tc>
          <w:tcPr>
            <w:tcW w:w="780" w:type="dxa"/>
            <w:tcBorders>
              <w:top w:val="nil"/>
              <w:left w:val="nil"/>
              <w:bottom w:val="single" w:sz="4" w:space="0" w:color="auto"/>
              <w:right w:val="nil"/>
            </w:tcBorders>
            <w:shd w:val="clear" w:color="auto" w:fill="auto"/>
            <w:noWrap/>
            <w:vAlign w:val="bottom"/>
            <w:hideMark/>
          </w:tcPr>
          <w:p w:rsidR="001724BE" w:rsidRPr="00B97055" w:rsidRDefault="001724BE" w:rsidP="00104719">
            <w:pPr>
              <w:spacing w:after="0" w:line="360" w:lineRule="auto"/>
              <w:jc w:val="both"/>
              <w:rPr>
                <w:rFonts w:ascii="Calibri" w:eastAsia="Times New Roman" w:hAnsi="Calibri" w:cs="Times New Roman"/>
                <w:color w:val="000000"/>
                <w:lang w:eastAsia="de-DE"/>
              </w:rPr>
            </w:pPr>
            <w:r w:rsidRPr="00B97055">
              <w:rPr>
                <w:rFonts w:ascii="Calibri" w:eastAsia="Times New Roman" w:hAnsi="Calibri" w:cs="Times New Roman"/>
                <w:color w:val="000000"/>
                <w:lang w:eastAsia="de-DE"/>
              </w:rPr>
              <w:t>3,50</w:t>
            </w:r>
          </w:p>
        </w:tc>
      </w:tr>
    </w:tbl>
    <w:p w:rsidR="001724BE" w:rsidRDefault="001724BE" w:rsidP="00104719">
      <w:pPr>
        <w:spacing w:line="360" w:lineRule="auto"/>
        <w:jc w:val="both"/>
        <w:rPr>
          <w:lang w:val="en-US"/>
        </w:rPr>
      </w:pPr>
      <w:r>
        <w:rPr>
          <w:lang w:val="en-US"/>
        </w:rPr>
        <w:t>Note: price of bread is in USD loaf</w:t>
      </w:r>
      <w:r w:rsidRPr="00F500B9">
        <w:rPr>
          <w:vertAlign w:val="superscript"/>
          <w:lang w:val="en-US"/>
        </w:rPr>
        <w:t>-1</w:t>
      </w:r>
      <w:r>
        <w:rPr>
          <w:lang w:val="en-US"/>
        </w:rPr>
        <w:t>, oil price is in USD liter</w:t>
      </w:r>
      <w:r w:rsidRPr="00F500B9">
        <w:rPr>
          <w:vertAlign w:val="superscript"/>
          <w:lang w:val="en-US"/>
        </w:rPr>
        <w:t>-1</w:t>
      </w:r>
      <w:r>
        <w:rPr>
          <w:lang w:val="en-US"/>
        </w:rPr>
        <w:t xml:space="preserve"> and egg price is in USD piece</w:t>
      </w:r>
      <w:r w:rsidRPr="00F500B9">
        <w:rPr>
          <w:vertAlign w:val="superscript"/>
          <w:lang w:val="en-US"/>
        </w:rPr>
        <w:t>-1</w:t>
      </w:r>
    </w:p>
    <w:p w:rsidR="001724BE" w:rsidRDefault="0007524E" w:rsidP="00104719">
      <w:pPr>
        <w:spacing w:line="360" w:lineRule="auto"/>
        <w:jc w:val="both"/>
        <w:rPr>
          <w:lang w:val="en-US"/>
        </w:rPr>
      </w:pPr>
      <w:r>
        <w:rPr>
          <w:lang w:val="en-US"/>
        </w:rPr>
        <w:t>The h</w:t>
      </w:r>
      <w:r w:rsidR="001724BE">
        <w:rPr>
          <w:lang w:val="en-US"/>
        </w:rPr>
        <w:t xml:space="preserve">ighest prices of vegetables are found in Kazakhstan. Kazakhstan mainly imports fruits and vegetables from different countries </w:t>
      </w:r>
      <w:r>
        <w:rPr>
          <w:lang w:val="en-US"/>
        </w:rPr>
        <w:t>around</w:t>
      </w:r>
      <w:r w:rsidR="001724BE">
        <w:rPr>
          <w:lang w:val="en-US"/>
        </w:rPr>
        <w:t xml:space="preserve"> the world which may explain higher prices in the country. </w:t>
      </w:r>
      <w:r>
        <w:rPr>
          <w:lang w:val="en-US"/>
        </w:rPr>
        <w:t>The m</w:t>
      </w:r>
      <w:r w:rsidR="001724BE">
        <w:rPr>
          <w:lang w:val="en-US"/>
        </w:rPr>
        <w:t>ost expensive rice price</w:t>
      </w:r>
      <w:r>
        <w:rPr>
          <w:lang w:val="en-US"/>
        </w:rPr>
        <w:t>s are</w:t>
      </w:r>
      <w:r w:rsidR="001724BE">
        <w:rPr>
          <w:lang w:val="en-US"/>
        </w:rPr>
        <w:t xml:space="preserve"> found in Tajikistan. Meat price</w:t>
      </w:r>
      <w:r>
        <w:rPr>
          <w:lang w:val="en-US"/>
        </w:rPr>
        <w:t>s</w:t>
      </w:r>
      <w:r w:rsidR="001724BE">
        <w:rPr>
          <w:lang w:val="en-US"/>
        </w:rPr>
        <w:t xml:space="preserve"> </w:t>
      </w:r>
      <w:r>
        <w:rPr>
          <w:lang w:val="en-US"/>
        </w:rPr>
        <w:t>are</w:t>
      </w:r>
      <w:r w:rsidR="001724BE">
        <w:rPr>
          <w:lang w:val="en-US"/>
        </w:rPr>
        <w:t xml:space="preserve"> also the second highest in Tajikistan after Uzbekistan.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724BE" w:rsidTr="00BB63FF">
        <w:tc>
          <w:tcPr>
            <w:tcW w:w="4606" w:type="dxa"/>
          </w:tcPr>
          <w:p w:rsidR="001724BE" w:rsidRDefault="001724BE" w:rsidP="00104719">
            <w:pPr>
              <w:spacing w:line="360" w:lineRule="auto"/>
              <w:jc w:val="both"/>
              <w:rPr>
                <w:lang w:val="en-US"/>
              </w:rPr>
            </w:pPr>
            <w:r>
              <w:rPr>
                <w:noProof/>
                <w:lang w:eastAsia="de-DE"/>
              </w:rPr>
              <w:drawing>
                <wp:inline distT="0" distB="0" distL="0" distR="0">
                  <wp:extent cx="2964029" cy="2160000"/>
                  <wp:effectExtent l="19050" t="0" r="7771" b="0"/>
                  <wp:docPr id="2" name="Picture 1" descr="baseline_c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_cons.tif"/>
                          <pic:cNvPicPr/>
                        </pic:nvPicPr>
                        <pic:blipFill>
                          <a:blip r:embed="rId9" cstate="print"/>
                          <a:stretch>
                            <a:fillRect/>
                          </a:stretch>
                        </pic:blipFill>
                        <pic:spPr>
                          <a:xfrm>
                            <a:off x="0" y="0"/>
                            <a:ext cx="2964029" cy="2160000"/>
                          </a:xfrm>
                          <a:prstGeom prst="rect">
                            <a:avLst/>
                          </a:prstGeom>
                        </pic:spPr>
                      </pic:pic>
                    </a:graphicData>
                  </a:graphic>
                </wp:inline>
              </w:drawing>
            </w:r>
          </w:p>
        </w:tc>
        <w:tc>
          <w:tcPr>
            <w:tcW w:w="4606" w:type="dxa"/>
          </w:tcPr>
          <w:p w:rsidR="001724BE" w:rsidRDefault="001724BE" w:rsidP="00104719">
            <w:pPr>
              <w:spacing w:line="360" w:lineRule="auto"/>
              <w:jc w:val="both"/>
              <w:rPr>
                <w:lang w:val="en-US"/>
              </w:rPr>
            </w:pPr>
            <w:r>
              <w:rPr>
                <w:noProof/>
                <w:lang w:eastAsia="de-DE"/>
              </w:rPr>
              <w:drawing>
                <wp:inline distT="0" distB="0" distL="0" distR="0">
                  <wp:extent cx="2964530" cy="2160000"/>
                  <wp:effectExtent l="19050" t="0" r="7270" b="0"/>
                  <wp:docPr id="3" name="Picture 2" descr="market intergartion_c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intergartion_cons.tif"/>
                          <pic:cNvPicPr/>
                        </pic:nvPicPr>
                        <pic:blipFill>
                          <a:blip r:embed="rId10" cstate="print"/>
                          <a:stretch>
                            <a:fillRect/>
                          </a:stretch>
                        </pic:blipFill>
                        <pic:spPr>
                          <a:xfrm>
                            <a:off x="0" y="0"/>
                            <a:ext cx="2964530" cy="2160000"/>
                          </a:xfrm>
                          <a:prstGeom prst="rect">
                            <a:avLst/>
                          </a:prstGeom>
                        </pic:spPr>
                      </pic:pic>
                    </a:graphicData>
                  </a:graphic>
                </wp:inline>
              </w:drawing>
            </w:r>
          </w:p>
        </w:tc>
      </w:tr>
    </w:tbl>
    <w:p w:rsidR="001724BE" w:rsidRDefault="001724BE" w:rsidP="00104719">
      <w:pPr>
        <w:spacing w:line="360" w:lineRule="auto"/>
        <w:jc w:val="both"/>
        <w:rPr>
          <w:lang w:val="en-US"/>
        </w:rPr>
      </w:pPr>
      <w:proofErr w:type="gramStart"/>
      <w:r w:rsidRPr="00054792">
        <w:rPr>
          <w:b/>
          <w:lang w:val="en-US"/>
        </w:rPr>
        <w:t>Figure 1</w:t>
      </w:r>
      <w:r>
        <w:rPr>
          <w:lang w:val="en-US"/>
        </w:rPr>
        <w:t>.</w:t>
      </w:r>
      <w:proofErr w:type="gramEnd"/>
      <w:r>
        <w:rPr>
          <w:lang w:val="en-US"/>
        </w:rPr>
        <w:t xml:space="preserve"> Distribution of monthly food expenses per capita </w:t>
      </w:r>
    </w:p>
    <w:p w:rsidR="001724BE" w:rsidRDefault="001724BE" w:rsidP="00104719">
      <w:pPr>
        <w:spacing w:line="360" w:lineRule="auto"/>
        <w:jc w:val="both"/>
        <w:rPr>
          <w:lang w:val="en-US"/>
        </w:rPr>
      </w:pPr>
      <w:r>
        <w:rPr>
          <w:lang w:val="en-US"/>
        </w:rPr>
        <w:t xml:space="preserve">Estimated monthly spending per capita from the survey data was equal to 29.6 USD </w:t>
      </w:r>
      <w:r w:rsidR="00184D87">
        <w:rPr>
          <w:lang w:val="en-US"/>
        </w:rPr>
        <w:t>throughout the</w:t>
      </w:r>
      <w:r>
        <w:rPr>
          <w:lang w:val="en-US"/>
        </w:rPr>
        <w:t xml:space="preserve"> sample</w:t>
      </w:r>
      <w:r w:rsidR="00184D87">
        <w:rPr>
          <w:lang w:val="en-US"/>
        </w:rPr>
        <w:t>-</w:t>
      </w:r>
      <w:r>
        <w:rPr>
          <w:lang w:val="en-US"/>
        </w:rPr>
        <w:t xml:space="preserve"> including all CA countries. This mainly include</w:t>
      </w:r>
      <w:r w:rsidR="00184D87">
        <w:rPr>
          <w:lang w:val="en-US"/>
        </w:rPr>
        <w:t>s</w:t>
      </w:r>
      <w:r>
        <w:rPr>
          <w:lang w:val="en-US"/>
        </w:rPr>
        <w:t xml:space="preserve"> main foodstuff consumed in the household and eating outs are not included. Some change in the mean value is obtained when assuming the integration of markets in CA. Mean per capita consumption expenses increased slightly and became equal to 30.1 USD per month. Some slight changes could be also detected in distribution of expenses in Figure 1.</w:t>
      </w:r>
    </w:p>
    <w:p w:rsidR="001724BE" w:rsidRDefault="001724BE" w:rsidP="00104719">
      <w:pPr>
        <w:spacing w:line="360" w:lineRule="auto"/>
        <w:jc w:val="both"/>
        <w:rPr>
          <w:lang w:val="en-US"/>
        </w:rPr>
      </w:pPr>
      <w:r>
        <w:rPr>
          <w:lang w:val="en-US"/>
        </w:rPr>
        <w:t>It might be interesting to look into more details in order to find out households in which countr</w:t>
      </w:r>
      <w:r w:rsidR="00184D87">
        <w:rPr>
          <w:lang w:val="en-US"/>
        </w:rPr>
        <w:t>ies</w:t>
      </w:r>
      <w:r>
        <w:rPr>
          <w:lang w:val="en-US"/>
        </w:rPr>
        <w:t xml:space="preserve"> will be better-off under such market integration conditions. </w:t>
      </w:r>
      <w:proofErr w:type="gramStart"/>
      <w:r>
        <w:rPr>
          <w:lang w:val="en-US"/>
        </w:rPr>
        <w:t>Analysis according to Eq. 2.</w:t>
      </w:r>
      <w:proofErr w:type="gramEnd"/>
      <w:r>
        <w:rPr>
          <w:lang w:val="en-US"/>
        </w:rPr>
        <w:t xml:space="preserve"> </w:t>
      </w:r>
      <w:proofErr w:type="gramStart"/>
      <w:r>
        <w:rPr>
          <w:lang w:val="en-US"/>
        </w:rPr>
        <w:t>shows</w:t>
      </w:r>
      <w:proofErr w:type="gramEnd"/>
      <w:r>
        <w:rPr>
          <w:lang w:val="en-US"/>
        </w:rPr>
        <w:t xml:space="preserve"> that rural households in Tajikistan and Kazakhstan may benefit from such market integration.</w:t>
      </w:r>
    </w:p>
    <w:p w:rsidR="001724BE" w:rsidRPr="009F6124" w:rsidRDefault="001724BE" w:rsidP="00104719">
      <w:pPr>
        <w:spacing w:line="360" w:lineRule="auto"/>
        <w:jc w:val="both"/>
        <w:rPr>
          <w:b/>
          <w:lang w:val="en-US"/>
        </w:rPr>
      </w:pPr>
      <w:proofErr w:type="gramStart"/>
      <w:r w:rsidRPr="009F6124">
        <w:rPr>
          <w:b/>
          <w:lang w:val="en-US"/>
        </w:rPr>
        <w:t>Table</w:t>
      </w:r>
      <w:r>
        <w:rPr>
          <w:b/>
          <w:lang w:val="en-US"/>
        </w:rPr>
        <w:t xml:space="preserve"> 3.</w:t>
      </w:r>
      <w:proofErr w:type="gramEnd"/>
      <w:r w:rsidRPr="009F6124">
        <w:rPr>
          <w:b/>
          <w:lang w:val="en-US"/>
        </w:rPr>
        <w:t xml:space="preserve"> </w:t>
      </w:r>
      <w:r w:rsidRPr="009C3E8B">
        <w:rPr>
          <w:lang w:val="en-US"/>
        </w:rPr>
        <w:t>Regression results</w:t>
      </w:r>
      <w:r w:rsidRPr="009F6124">
        <w:rPr>
          <w:b/>
          <w:lang w:val="en-US"/>
        </w:rPr>
        <w:t xml:space="preserve"> </w:t>
      </w:r>
    </w:p>
    <w:tbl>
      <w:tblPr>
        <w:tblW w:w="4800" w:type="dxa"/>
        <w:tblInd w:w="59" w:type="dxa"/>
        <w:tblCellMar>
          <w:left w:w="70" w:type="dxa"/>
          <w:right w:w="70" w:type="dxa"/>
        </w:tblCellMar>
        <w:tblLook w:val="04A0" w:firstRow="1" w:lastRow="0" w:firstColumn="1" w:lastColumn="0" w:noHBand="0" w:noVBand="1"/>
      </w:tblPr>
      <w:tblGrid>
        <w:gridCol w:w="1200"/>
        <w:gridCol w:w="1200"/>
        <w:gridCol w:w="1200"/>
        <w:gridCol w:w="1200"/>
      </w:tblGrid>
      <w:tr w:rsidR="001724BE" w:rsidRPr="009C3E8B" w:rsidTr="00BB63FF">
        <w:trPr>
          <w:trHeight w:val="300"/>
        </w:trPr>
        <w:tc>
          <w:tcPr>
            <w:tcW w:w="1200" w:type="dxa"/>
            <w:tcBorders>
              <w:top w:val="single" w:sz="4" w:space="0" w:color="auto"/>
              <w:left w:val="nil"/>
              <w:bottom w:val="single" w:sz="4" w:space="0" w:color="auto"/>
              <w:right w:val="nil"/>
            </w:tcBorders>
            <w:shd w:val="clear" w:color="auto" w:fill="auto"/>
            <w:noWrap/>
            <w:vAlign w:val="bottom"/>
            <w:hideMark/>
          </w:tcPr>
          <w:p w:rsidR="001724BE" w:rsidRPr="00DF6AC1" w:rsidRDefault="001724BE" w:rsidP="00104719">
            <w:pPr>
              <w:spacing w:after="0" w:line="240" w:lineRule="auto"/>
              <w:jc w:val="both"/>
              <w:rPr>
                <w:rFonts w:ascii="Calibri" w:eastAsia="Times New Roman" w:hAnsi="Calibri" w:cs="Times New Roman"/>
                <w:color w:val="000000"/>
                <w:lang w:val="en-US" w:eastAsia="de-DE"/>
              </w:rPr>
            </w:pPr>
          </w:p>
        </w:tc>
        <w:tc>
          <w:tcPr>
            <w:tcW w:w="1200" w:type="dxa"/>
            <w:tcBorders>
              <w:top w:val="single" w:sz="4" w:space="0" w:color="auto"/>
              <w:left w:val="nil"/>
              <w:bottom w:val="single" w:sz="4" w:space="0" w:color="auto"/>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proofErr w:type="spellStart"/>
            <w:r w:rsidRPr="009C3E8B">
              <w:rPr>
                <w:rFonts w:ascii="Calibri" w:eastAsia="Times New Roman" w:hAnsi="Calibri" w:cs="Times New Roman"/>
                <w:color w:val="000000"/>
                <w:lang w:val="en-US" w:eastAsia="de-DE"/>
              </w:rPr>
              <w:t>Coef</w:t>
            </w:r>
            <w:proofErr w:type="spellEnd"/>
            <w:r w:rsidRPr="009C3E8B">
              <w:rPr>
                <w:rFonts w:ascii="Calibri" w:eastAsia="Times New Roman" w:hAnsi="Calibri" w:cs="Times New Roman"/>
                <w:color w:val="000000"/>
                <w:lang w:val="en-US" w:eastAsia="de-DE"/>
              </w:rPr>
              <w:t>,</w:t>
            </w:r>
          </w:p>
        </w:tc>
        <w:tc>
          <w:tcPr>
            <w:tcW w:w="1200" w:type="dxa"/>
            <w:tcBorders>
              <w:top w:val="single" w:sz="4" w:space="0" w:color="auto"/>
              <w:left w:val="nil"/>
              <w:bottom w:val="single" w:sz="4" w:space="0" w:color="auto"/>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t</w:t>
            </w:r>
          </w:p>
        </w:tc>
        <w:tc>
          <w:tcPr>
            <w:tcW w:w="1200" w:type="dxa"/>
            <w:tcBorders>
              <w:top w:val="single" w:sz="4" w:space="0" w:color="auto"/>
              <w:left w:val="nil"/>
              <w:bottom w:val="single" w:sz="4" w:space="0" w:color="auto"/>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P&gt;|t|</w:t>
            </w:r>
          </w:p>
        </w:tc>
      </w:tr>
      <w:tr w:rsidR="001724BE" w:rsidRPr="009C3E8B" w:rsidTr="00BB63FF">
        <w:trPr>
          <w:trHeight w:val="300"/>
        </w:trPr>
        <w:tc>
          <w:tcPr>
            <w:tcW w:w="1200" w:type="dxa"/>
            <w:tcBorders>
              <w:top w:val="single" w:sz="4" w:space="0" w:color="auto"/>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HH size</w:t>
            </w:r>
          </w:p>
        </w:tc>
        <w:tc>
          <w:tcPr>
            <w:tcW w:w="1200" w:type="dxa"/>
            <w:tcBorders>
              <w:top w:val="single" w:sz="4" w:space="0" w:color="auto"/>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-0,016</w:t>
            </w:r>
          </w:p>
        </w:tc>
        <w:tc>
          <w:tcPr>
            <w:tcW w:w="1200" w:type="dxa"/>
            <w:tcBorders>
              <w:top w:val="single" w:sz="4" w:space="0" w:color="auto"/>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-0,64</w:t>
            </w:r>
          </w:p>
        </w:tc>
        <w:tc>
          <w:tcPr>
            <w:tcW w:w="1200" w:type="dxa"/>
            <w:tcBorders>
              <w:top w:val="single" w:sz="4" w:space="0" w:color="auto"/>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0,521</w:t>
            </w:r>
          </w:p>
        </w:tc>
      </w:tr>
      <w:tr w:rsidR="001724BE" w:rsidRPr="009C3E8B" w:rsidTr="00BB63FF">
        <w:trPr>
          <w:trHeight w:val="300"/>
        </w:trPr>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proofErr w:type="spellStart"/>
            <w:r w:rsidRPr="009C3E8B">
              <w:rPr>
                <w:rFonts w:ascii="Calibri" w:eastAsia="Times New Roman" w:hAnsi="Calibri" w:cs="Times New Roman"/>
                <w:color w:val="000000"/>
                <w:lang w:val="en-US" w:eastAsia="de-DE"/>
              </w:rPr>
              <w:t>D</w:t>
            </w:r>
            <w:r w:rsidRPr="009C3E8B">
              <w:rPr>
                <w:rFonts w:ascii="Calibri" w:eastAsia="Times New Roman" w:hAnsi="Calibri" w:cs="Times New Roman"/>
                <w:color w:val="000000"/>
                <w:vertAlign w:val="subscript"/>
                <w:lang w:val="en-US" w:eastAsia="de-DE"/>
              </w:rPr>
              <w:t>household</w:t>
            </w:r>
            <w:proofErr w:type="spellEnd"/>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0,519</w:t>
            </w:r>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3,16</w:t>
            </w:r>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0,002</w:t>
            </w:r>
          </w:p>
        </w:tc>
      </w:tr>
      <w:tr w:rsidR="001724BE" w:rsidRPr="009C3E8B" w:rsidTr="00BB63FF">
        <w:trPr>
          <w:trHeight w:val="300"/>
        </w:trPr>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proofErr w:type="spellStart"/>
            <w:r w:rsidRPr="009C3E8B">
              <w:rPr>
                <w:rFonts w:ascii="Calibri" w:eastAsia="Times New Roman" w:hAnsi="Calibri" w:cs="Times New Roman"/>
                <w:color w:val="000000"/>
                <w:lang w:val="en-US" w:eastAsia="de-DE"/>
              </w:rPr>
              <w:t>D</w:t>
            </w:r>
            <w:r w:rsidRPr="009C3E8B">
              <w:rPr>
                <w:rFonts w:ascii="Calibri" w:eastAsia="Times New Roman" w:hAnsi="Calibri" w:cs="Times New Roman"/>
                <w:color w:val="000000"/>
                <w:vertAlign w:val="subscript"/>
                <w:lang w:val="en-US" w:eastAsia="de-DE"/>
              </w:rPr>
              <w:t>kaz</w:t>
            </w:r>
            <w:proofErr w:type="spellEnd"/>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1,206</w:t>
            </w:r>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5,66</w:t>
            </w:r>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0</w:t>
            </w:r>
          </w:p>
        </w:tc>
      </w:tr>
      <w:tr w:rsidR="001724BE" w:rsidRPr="009C3E8B" w:rsidTr="00BB63FF">
        <w:trPr>
          <w:trHeight w:val="300"/>
        </w:trPr>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proofErr w:type="spellStart"/>
            <w:r w:rsidRPr="009C3E8B">
              <w:rPr>
                <w:rFonts w:ascii="Calibri" w:eastAsia="Times New Roman" w:hAnsi="Calibri" w:cs="Times New Roman"/>
                <w:color w:val="000000"/>
                <w:lang w:val="en-US" w:eastAsia="de-DE"/>
              </w:rPr>
              <w:t>D</w:t>
            </w:r>
            <w:r w:rsidRPr="009C3E8B">
              <w:rPr>
                <w:rFonts w:ascii="Calibri" w:eastAsia="Times New Roman" w:hAnsi="Calibri" w:cs="Times New Roman"/>
                <w:color w:val="000000"/>
                <w:vertAlign w:val="subscript"/>
                <w:lang w:val="en-US" w:eastAsia="de-DE"/>
              </w:rPr>
              <w:t>kyr</w:t>
            </w:r>
            <w:proofErr w:type="spellEnd"/>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-2,033</w:t>
            </w:r>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-9,38</w:t>
            </w:r>
          </w:p>
        </w:tc>
        <w:tc>
          <w:tcPr>
            <w:tcW w:w="1200" w:type="dxa"/>
            <w:tcBorders>
              <w:top w:val="nil"/>
              <w:left w:val="nil"/>
              <w:bottom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0</w:t>
            </w:r>
          </w:p>
        </w:tc>
      </w:tr>
      <w:tr w:rsidR="001724BE" w:rsidRPr="00DF6AC1" w:rsidTr="00BB63FF">
        <w:trPr>
          <w:trHeight w:val="300"/>
        </w:trPr>
        <w:tc>
          <w:tcPr>
            <w:tcW w:w="1200" w:type="dxa"/>
            <w:tcBorders>
              <w:top w:val="nil"/>
              <w:left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proofErr w:type="spellStart"/>
            <w:r w:rsidRPr="009C3E8B">
              <w:rPr>
                <w:rFonts w:ascii="Calibri" w:eastAsia="Times New Roman" w:hAnsi="Calibri" w:cs="Times New Roman"/>
                <w:color w:val="000000"/>
                <w:lang w:val="en-US" w:eastAsia="de-DE"/>
              </w:rPr>
              <w:t>D</w:t>
            </w:r>
            <w:r w:rsidRPr="009C3E8B">
              <w:rPr>
                <w:rFonts w:ascii="Calibri" w:eastAsia="Times New Roman" w:hAnsi="Calibri" w:cs="Times New Roman"/>
                <w:color w:val="000000"/>
                <w:vertAlign w:val="subscript"/>
                <w:lang w:val="en-US" w:eastAsia="de-DE"/>
              </w:rPr>
              <w:t>uzb</w:t>
            </w:r>
            <w:proofErr w:type="spellEnd"/>
          </w:p>
        </w:tc>
        <w:tc>
          <w:tcPr>
            <w:tcW w:w="1200" w:type="dxa"/>
            <w:tcBorders>
              <w:top w:val="nil"/>
              <w:left w:val="nil"/>
              <w:right w:val="nil"/>
            </w:tcBorders>
            <w:shd w:val="clear" w:color="auto" w:fill="auto"/>
            <w:noWrap/>
            <w:vAlign w:val="bottom"/>
            <w:hideMark/>
          </w:tcPr>
          <w:p w:rsidR="001724BE" w:rsidRPr="009C3E8B" w:rsidRDefault="001724BE" w:rsidP="00104719">
            <w:pPr>
              <w:spacing w:after="0" w:line="240" w:lineRule="auto"/>
              <w:jc w:val="both"/>
              <w:rPr>
                <w:rFonts w:ascii="Calibri" w:eastAsia="Times New Roman" w:hAnsi="Calibri" w:cs="Times New Roman"/>
                <w:color w:val="000000"/>
                <w:lang w:val="en-US" w:eastAsia="de-DE"/>
              </w:rPr>
            </w:pPr>
            <w:r w:rsidRPr="009C3E8B">
              <w:rPr>
                <w:rFonts w:ascii="Calibri" w:eastAsia="Times New Roman" w:hAnsi="Calibri" w:cs="Times New Roman"/>
                <w:color w:val="000000"/>
                <w:lang w:val="en-US" w:eastAsia="de-DE"/>
              </w:rPr>
              <w:t>-3,366</w:t>
            </w:r>
          </w:p>
        </w:tc>
        <w:tc>
          <w:tcPr>
            <w:tcW w:w="1200" w:type="dxa"/>
            <w:tcBorders>
              <w:top w:val="nil"/>
              <w:left w:val="nil"/>
              <w:right w:val="nil"/>
            </w:tcBorders>
            <w:shd w:val="clear" w:color="auto" w:fill="auto"/>
            <w:noWrap/>
            <w:vAlign w:val="bottom"/>
            <w:hideMark/>
          </w:tcPr>
          <w:p w:rsidR="001724BE" w:rsidRPr="00DF6AC1" w:rsidRDefault="001724BE" w:rsidP="00104719">
            <w:pPr>
              <w:spacing w:after="0" w:line="240" w:lineRule="auto"/>
              <w:jc w:val="both"/>
              <w:rPr>
                <w:rFonts w:ascii="Calibri" w:eastAsia="Times New Roman" w:hAnsi="Calibri" w:cs="Times New Roman"/>
                <w:color w:val="000000"/>
                <w:lang w:eastAsia="de-DE"/>
              </w:rPr>
            </w:pPr>
            <w:r w:rsidRPr="00DF6AC1">
              <w:rPr>
                <w:rFonts w:ascii="Calibri" w:eastAsia="Times New Roman" w:hAnsi="Calibri" w:cs="Times New Roman"/>
                <w:color w:val="000000"/>
                <w:lang w:eastAsia="de-DE"/>
              </w:rPr>
              <w:t>-15,9</w:t>
            </w:r>
          </w:p>
        </w:tc>
        <w:tc>
          <w:tcPr>
            <w:tcW w:w="1200" w:type="dxa"/>
            <w:tcBorders>
              <w:top w:val="nil"/>
              <w:left w:val="nil"/>
              <w:right w:val="nil"/>
            </w:tcBorders>
            <w:shd w:val="clear" w:color="auto" w:fill="auto"/>
            <w:noWrap/>
            <w:vAlign w:val="bottom"/>
            <w:hideMark/>
          </w:tcPr>
          <w:p w:rsidR="001724BE" w:rsidRPr="00DF6AC1" w:rsidRDefault="001724BE" w:rsidP="00104719">
            <w:pPr>
              <w:spacing w:after="0" w:line="240" w:lineRule="auto"/>
              <w:jc w:val="both"/>
              <w:rPr>
                <w:rFonts w:ascii="Calibri" w:eastAsia="Times New Roman" w:hAnsi="Calibri" w:cs="Times New Roman"/>
                <w:color w:val="000000"/>
                <w:lang w:eastAsia="de-DE"/>
              </w:rPr>
            </w:pPr>
            <w:r w:rsidRPr="00DF6AC1">
              <w:rPr>
                <w:rFonts w:ascii="Calibri" w:eastAsia="Times New Roman" w:hAnsi="Calibri" w:cs="Times New Roman"/>
                <w:color w:val="000000"/>
                <w:lang w:eastAsia="de-DE"/>
              </w:rPr>
              <w:t>0</w:t>
            </w:r>
          </w:p>
        </w:tc>
      </w:tr>
      <w:tr w:rsidR="001724BE" w:rsidRPr="00DF6AC1" w:rsidTr="00BB63FF">
        <w:trPr>
          <w:trHeight w:val="300"/>
        </w:trPr>
        <w:tc>
          <w:tcPr>
            <w:tcW w:w="1200" w:type="dxa"/>
            <w:tcBorders>
              <w:top w:val="nil"/>
              <w:left w:val="nil"/>
              <w:bottom w:val="single" w:sz="4" w:space="0" w:color="auto"/>
              <w:right w:val="nil"/>
            </w:tcBorders>
            <w:shd w:val="clear" w:color="auto" w:fill="auto"/>
            <w:noWrap/>
            <w:vAlign w:val="bottom"/>
            <w:hideMark/>
          </w:tcPr>
          <w:p w:rsidR="001724BE" w:rsidRPr="00DF6AC1" w:rsidRDefault="001724BE" w:rsidP="00104719">
            <w:pPr>
              <w:spacing w:after="0" w:line="240" w:lineRule="auto"/>
              <w:jc w:val="both"/>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D</w:t>
            </w:r>
            <w:r w:rsidRPr="009F6124">
              <w:rPr>
                <w:rFonts w:ascii="Calibri" w:eastAsia="Times New Roman" w:hAnsi="Calibri" w:cs="Times New Roman"/>
                <w:color w:val="000000"/>
                <w:vertAlign w:val="subscript"/>
                <w:lang w:eastAsia="de-DE"/>
              </w:rPr>
              <w:t>cons</w:t>
            </w:r>
            <w:proofErr w:type="spellEnd"/>
          </w:p>
        </w:tc>
        <w:tc>
          <w:tcPr>
            <w:tcW w:w="1200" w:type="dxa"/>
            <w:tcBorders>
              <w:top w:val="nil"/>
              <w:left w:val="nil"/>
              <w:bottom w:val="single" w:sz="4" w:space="0" w:color="auto"/>
              <w:right w:val="nil"/>
            </w:tcBorders>
            <w:shd w:val="clear" w:color="auto" w:fill="auto"/>
            <w:noWrap/>
            <w:vAlign w:val="bottom"/>
            <w:hideMark/>
          </w:tcPr>
          <w:p w:rsidR="001724BE" w:rsidRPr="00DF6AC1" w:rsidRDefault="001724BE" w:rsidP="00104719">
            <w:pPr>
              <w:spacing w:after="0" w:line="240" w:lineRule="auto"/>
              <w:jc w:val="both"/>
              <w:rPr>
                <w:rFonts w:ascii="Calibri" w:eastAsia="Times New Roman" w:hAnsi="Calibri" w:cs="Times New Roman"/>
                <w:color w:val="000000"/>
                <w:lang w:eastAsia="de-DE"/>
              </w:rPr>
            </w:pPr>
            <w:r w:rsidRPr="00DF6AC1">
              <w:rPr>
                <w:rFonts w:ascii="Calibri" w:eastAsia="Times New Roman" w:hAnsi="Calibri" w:cs="Times New Roman"/>
                <w:color w:val="000000"/>
                <w:lang w:eastAsia="de-DE"/>
              </w:rPr>
              <w:t>0,328</w:t>
            </w:r>
          </w:p>
        </w:tc>
        <w:tc>
          <w:tcPr>
            <w:tcW w:w="1200" w:type="dxa"/>
            <w:tcBorders>
              <w:top w:val="nil"/>
              <w:left w:val="nil"/>
              <w:bottom w:val="single" w:sz="4" w:space="0" w:color="auto"/>
              <w:right w:val="nil"/>
            </w:tcBorders>
            <w:shd w:val="clear" w:color="auto" w:fill="auto"/>
            <w:noWrap/>
            <w:vAlign w:val="bottom"/>
            <w:hideMark/>
          </w:tcPr>
          <w:p w:rsidR="001724BE" w:rsidRPr="00DF6AC1" w:rsidRDefault="001724BE" w:rsidP="00104719">
            <w:pPr>
              <w:spacing w:after="0" w:line="240" w:lineRule="auto"/>
              <w:jc w:val="both"/>
              <w:rPr>
                <w:rFonts w:ascii="Calibri" w:eastAsia="Times New Roman" w:hAnsi="Calibri" w:cs="Times New Roman"/>
                <w:color w:val="000000"/>
                <w:lang w:eastAsia="de-DE"/>
              </w:rPr>
            </w:pPr>
            <w:r w:rsidRPr="00DF6AC1">
              <w:rPr>
                <w:rFonts w:ascii="Calibri" w:eastAsia="Times New Roman" w:hAnsi="Calibri" w:cs="Times New Roman"/>
                <w:color w:val="000000"/>
                <w:lang w:eastAsia="de-DE"/>
              </w:rPr>
              <w:t>1,2</w:t>
            </w:r>
          </w:p>
        </w:tc>
        <w:tc>
          <w:tcPr>
            <w:tcW w:w="1200" w:type="dxa"/>
            <w:tcBorders>
              <w:top w:val="nil"/>
              <w:left w:val="nil"/>
              <w:bottom w:val="single" w:sz="4" w:space="0" w:color="auto"/>
              <w:right w:val="nil"/>
            </w:tcBorders>
            <w:shd w:val="clear" w:color="auto" w:fill="auto"/>
            <w:noWrap/>
            <w:vAlign w:val="bottom"/>
            <w:hideMark/>
          </w:tcPr>
          <w:p w:rsidR="001724BE" w:rsidRPr="00DF6AC1" w:rsidRDefault="001724BE" w:rsidP="00104719">
            <w:pPr>
              <w:spacing w:after="0" w:line="240" w:lineRule="auto"/>
              <w:jc w:val="both"/>
              <w:rPr>
                <w:rFonts w:ascii="Calibri" w:eastAsia="Times New Roman" w:hAnsi="Calibri" w:cs="Times New Roman"/>
                <w:color w:val="000000"/>
                <w:lang w:eastAsia="de-DE"/>
              </w:rPr>
            </w:pPr>
            <w:r w:rsidRPr="00DF6AC1">
              <w:rPr>
                <w:rFonts w:ascii="Calibri" w:eastAsia="Times New Roman" w:hAnsi="Calibri" w:cs="Times New Roman"/>
                <w:color w:val="000000"/>
                <w:lang w:eastAsia="de-DE"/>
              </w:rPr>
              <w:t>0,231</w:t>
            </w:r>
          </w:p>
        </w:tc>
      </w:tr>
    </w:tbl>
    <w:p w:rsidR="001724BE" w:rsidRDefault="001724BE" w:rsidP="00104719">
      <w:pPr>
        <w:spacing w:line="360" w:lineRule="auto"/>
        <w:jc w:val="both"/>
        <w:rPr>
          <w:lang w:val="en-US"/>
        </w:rPr>
      </w:pPr>
    </w:p>
    <w:p w:rsidR="001724BE" w:rsidRPr="00B97055" w:rsidRDefault="001724BE" w:rsidP="00104719">
      <w:pPr>
        <w:spacing w:line="360" w:lineRule="auto"/>
        <w:jc w:val="both"/>
        <w:rPr>
          <w:lang w:val="en-US"/>
        </w:rPr>
      </w:pPr>
      <w:r>
        <w:rPr>
          <w:lang w:val="en-US"/>
        </w:rPr>
        <w:t xml:space="preserve">Furthermore, rural households with limited land may benefit from such policy reform as it can be seen by the significance of </w:t>
      </w:r>
      <w:r w:rsidR="007D56DC">
        <w:rPr>
          <w:lang w:val="en-US"/>
        </w:rPr>
        <w:t xml:space="preserve">the </w:t>
      </w:r>
      <w:r>
        <w:rPr>
          <w:lang w:val="en-US"/>
        </w:rPr>
        <w:t>dummy variable for household type of producers</w:t>
      </w:r>
      <w:r w:rsidR="007D56DC">
        <w:rPr>
          <w:lang w:val="en-US"/>
        </w:rPr>
        <w:t xml:space="preserve"> (</w:t>
      </w:r>
      <w:proofErr w:type="spellStart"/>
      <w:r w:rsidR="007D56DC" w:rsidRPr="009C3E8B">
        <w:rPr>
          <w:rFonts w:ascii="Calibri" w:eastAsia="Times New Roman" w:hAnsi="Calibri" w:cs="Times New Roman"/>
          <w:color w:val="000000"/>
          <w:lang w:val="en-US" w:eastAsia="de-DE"/>
        </w:rPr>
        <w:t>D</w:t>
      </w:r>
      <w:r w:rsidR="007D56DC" w:rsidRPr="009C3E8B">
        <w:rPr>
          <w:rFonts w:ascii="Calibri" w:eastAsia="Times New Roman" w:hAnsi="Calibri" w:cs="Times New Roman"/>
          <w:color w:val="000000"/>
          <w:vertAlign w:val="subscript"/>
          <w:lang w:val="en-US" w:eastAsia="de-DE"/>
        </w:rPr>
        <w:t>household</w:t>
      </w:r>
      <w:proofErr w:type="spellEnd"/>
      <w:r w:rsidR="007D56DC">
        <w:rPr>
          <w:lang w:val="en-US"/>
        </w:rPr>
        <w:t>).</w:t>
      </w:r>
      <w:r>
        <w:rPr>
          <w:lang w:val="en-US"/>
        </w:rPr>
        <w:t xml:space="preserve"> In contrast, rural households in Uzbekistan and Kyrgyzstan may have 2 and 3.4 USD more expenses per capita under such market integration conditions.</w:t>
      </w:r>
    </w:p>
    <w:p w:rsidR="001724BE" w:rsidRPr="00F339DF" w:rsidRDefault="001724BE" w:rsidP="00104719">
      <w:pPr>
        <w:pStyle w:val="11"/>
        <w:spacing w:line="360" w:lineRule="auto"/>
        <w:jc w:val="both"/>
      </w:pPr>
      <w:r w:rsidRPr="00F339DF">
        <w:t xml:space="preserve">Farm gate input output price differences </w:t>
      </w:r>
    </w:p>
    <w:p w:rsidR="001724BE" w:rsidRDefault="001724BE" w:rsidP="00104719">
      <w:pPr>
        <w:spacing w:line="360" w:lineRule="auto"/>
        <w:jc w:val="both"/>
        <w:rPr>
          <w:lang w:val="en-US"/>
        </w:rPr>
      </w:pPr>
      <w:r>
        <w:rPr>
          <w:lang w:val="en-US"/>
        </w:rPr>
        <w:t>The</w:t>
      </w:r>
      <w:r w:rsidRPr="00F339DF">
        <w:rPr>
          <w:lang w:val="en-US"/>
        </w:rPr>
        <w:t xml:space="preserve"> difference in input and output prices</w:t>
      </w:r>
      <w:r>
        <w:rPr>
          <w:lang w:val="en-US"/>
        </w:rPr>
        <w:t xml:space="preserve"> in</w:t>
      </w:r>
      <w:r w:rsidRPr="00F339DF">
        <w:rPr>
          <w:lang w:val="en-US"/>
        </w:rPr>
        <w:t xml:space="preserve"> CA countries</w:t>
      </w:r>
      <w:r>
        <w:rPr>
          <w:lang w:val="en-US"/>
        </w:rPr>
        <w:t xml:space="preserve"> c</w:t>
      </w:r>
      <w:r w:rsidR="00184D87">
        <w:rPr>
          <w:lang w:val="en-US"/>
        </w:rPr>
        <w:t>an</w:t>
      </w:r>
      <w:r>
        <w:rPr>
          <w:lang w:val="en-US"/>
        </w:rPr>
        <w:t xml:space="preserve"> mainly be explained by differences in trade policies and infrastructure of the countries as well as agricultural policies. For example</w:t>
      </w:r>
      <w:r w:rsidR="00184D87">
        <w:rPr>
          <w:lang w:val="en-US"/>
        </w:rPr>
        <w:t>,</w:t>
      </w:r>
      <w:r>
        <w:rPr>
          <w:lang w:val="en-US"/>
        </w:rPr>
        <w:t xml:space="preserve"> farmers in Uzbekistan grow cotton under the state procurement mechanism where farmers are obliged to sell cotton to the government ginneries at fixed prices. Similarly, farmers in Tajikistan also operate under state organized vertical farming and also sell cotton to investors at fixed prices. Therefore, farm gate cotton prices in Uzbekistan and Tajikistan </w:t>
      </w:r>
      <w:r w:rsidR="00184D87">
        <w:rPr>
          <w:lang w:val="en-US"/>
        </w:rPr>
        <w:t>are</w:t>
      </w:r>
      <w:r>
        <w:rPr>
          <w:lang w:val="en-US"/>
        </w:rPr>
        <w:t xml:space="preserve"> lower (Figure 2) than in Kazakhstan where there is a competitive market for selling cotton </w:t>
      </w:r>
      <w:r w:rsidR="00E71FB7">
        <w:rPr>
          <w:lang w:val="en-US"/>
        </w:rPr>
        <w:fldChar w:fldCharType="begin"/>
      </w:r>
      <w:r>
        <w:rPr>
          <w:lang w:val="en-US"/>
        </w:rPr>
        <w:instrText xml:space="preserve"> ADDIN EN.CITE &lt;EndNote&gt;&lt;Cite&gt;&lt;Author&gt;Swinnen&lt;/Author&gt;&lt;Year&gt;2005&lt;/Year&gt;&lt;RecNum&gt;421&lt;/RecNum&gt;&lt;DisplayText&gt;(Swinnen, 2005)&lt;/DisplayText&gt;&lt;record&gt;&lt;rec-number&gt;421&lt;/rec-number&gt;&lt;foreign-keys&gt;&lt;key app="EN" db-id="0erxvrzsjv5szqefaesv09e4awxs2t5saw90"&gt;421&lt;/key&gt;&lt;/foreign-keys&gt;&lt;ref-type name="Book"&gt;6&lt;/ref-type&gt;&lt;contributors&gt;&lt;authors&gt;&lt;author&gt;Johan F. M. Swinnen&lt;/author&gt;&lt;/authors&gt;&lt;/contributors&gt;&lt;titles&gt;&lt;title&gt;The Dynamics of Vertical Coordination in Agrifood Chains in Eastern Europe and Central Asia&lt;/title&gt;&lt;/titles&gt;&lt;dates&gt;&lt;year&gt;2005&lt;/year&gt;&lt;/dates&gt;&lt;urls&gt;&lt;/urls&gt;&lt;/record&gt;&lt;/Cite&gt;&lt;/EndNote&gt;</w:instrText>
      </w:r>
      <w:r w:rsidR="00E71FB7">
        <w:rPr>
          <w:lang w:val="en-US"/>
        </w:rPr>
        <w:fldChar w:fldCharType="separate"/>
      </w:r>
      <w:r>
        <w:rPr>
          <w:noProof/>
          <w:lang w:val="en-US"/>
        </w:rPr>
        <w:t>(</w:t>
      </w:r>
      <w:hyperlink w:anchor="_ENREF_35" w:tooltip="Swinnen, 2005 #421" w:history="1">
        <w:r w:rsidR="002C46A7">
          <w:rPr>
            <w:noProof/>
            <w:lang w:val="en-US"/>
          </w:rPr>
          <w:t>Swinnen, 2005</w:t>
        </w:r>
      </w:hyperlink>
      <w:r>
        <w:rPr>
          <w:noProof/>
          <w:lang w:val="en-US"/>
        </w:rPr>
        <w:t>)</w:t>
      </w:r>
      <w:r w:rsidR="00E71FB7">
        <w:rPr>
          <w:lang w:val="en-US"/>
        </w:rPr>
        <w:fldChar w:fldCharType="end"/>
      </w:r>
      <w:r>
        <w:rPr>
          <w:lang w:val="en-US"/>
        </w:rPr>
        <w:t xml:space="preserve">. </w:t>
      </w:r>
      <w:r w:rsidR="00184D87">
        <w:rPr>
          <w:lang w:val="en-US"/>
        </w:rPr>
        <w:t xml:space="preserve">The </w:t>
      </w:r>
      <w:r>
        <w:rPr>
          <w:lang w:val="en-US"/>
        </w:rPr>
        <w:t>case of wheat price in Uzbekistan</w:t>
      </w:r>
      <w:r w:rsidR="00184D87">
        <w:rPr>
          <w:lang w:val="en-US"/>
        </w:rPr>
        <w:t xml:space="preserve"> is quite similar</w:t>
      </w:r>
      <w:r>
        <w:rPr>
          <w:lang w:val="en-US"/>
        </w:rPr>
        <w:t>, which is the lowest in CA. Thus state procurement mechanism</w:t>
      </w:r>
      <w:r w:rsidR="00184D87">
        <w:rPr>
          <w:lang w:val="en-US"/>
        </w:rPr>
        <w:t>s</w:t>
      </w:r>
      <w:r>
        <w:rPr>
          <w:lang w:val="en-US"/>
        </w:rPr>
        <w:t xml:space="preserve"> in Uzbekistan kept not only farm gate prices low but also consumer prices for wheat and wheat products when compared to other CA countries (Table 2).</w:t>
      </w:r>
    </w:p>
    <w:p w:rsidR="001724BE" w:rsidRDefault="001724BE" w:rsidP="00104719">
      <w:pPr>
        <w:spacing w:line="360" w:lineRule="auto"/>
        <w:jc w:val="both"/>
        <w:rPr>
          <w:lang w:val="en-US"/>
        </w:rPr>
      </w:pPr>
      <w:r w:rsidRPr="00A84341">
        <w:rPr>
          <w:noProof/>
          <w:lang w:eastAsia="de-DE"/>
        </w:rPr>
        <w:drawing>
          <wp:inline distT="0" distB="0" distL="0" distR="0">
            <wp:extent cx="5760720" cy="3122891"/>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24BE" w:rsidRPr="00EE0AD4" w:rsidRDefault="001724BE" w:rsidP="00104719">
      <w:pPr>
        <w:spacing w:line="360" w:lineRule="auto"/>
        <w:jc w:val="both"/>
        <w:rPr>
          <w:b/>
          <w:lang w:val="en-US"/>
        </w:rPr>
      </w:pPr>
      <w:proofErr w:type="gramStart"/>
      <w:r w:rsidRPr="00EE0AD4">
        <w:rPr>
          <w:b/>
          <w:lang w:val="en-US"/>
        </w:rPr>
        <w:t>Figure</w:t>
      </w:r>
      <w:r>
        <w:rPr>
          <w:b/>
          <w:lang w:val="en-US"/>
        </w:rPr>
        <w:t xml:space="preserve"> 2</w:t>
      </w:r>
      <w:r w:rsidRPr="00EE0AD4">
        <w:rPr>
          <w:b/>
          <w:lang w:val="en-US"/>
        </w:rPr>
        <w:t>.</w:t>
      </w:r>
      <w:proofErr w:type="gramEnd"/>
      <w:r w:rsidRPr="00EE0AD4">
        <w:rPr>
          <w:b/>
          <w:lang w:val="en-US"/>
        </w:rPr>
        <w:t xml:space="preserve"> </w:t>
      </w:r>
      <w:r w:rsidRPr="00763022">
        <w:rPr>
          <w:lang w:val="en-US"/>
        </w:rPr>
        <w:t>Farm gate output price differences between the countries</w:t>
      </w:r>
    </w:p>
    <w:p w:rsidR="001724BE" w:rsidRPr="00F339DF" w:rsidRDefault="00184D87" w:rsidP="00104719">
      <w:pPr>
        <w:spacing w:line="360" w:lineRule="auto"/>
        <w:jc w:val="both"/>
        <w:rPr>
          <w:lang w:val="en-US"/>
        </w:rPr>
      </w:pPr>
      <w:r>
        <w:rPr>
          <w:lang w:val="en-US"/>
        </w:rPr>
        <w:t>The h</w:t>
      </w:r>
      <w:r w:rsidR="001724BE">
        <w:rPr>
          <w:lang w:val="en-US"/>
        </w:rPr>
        <w:t xml:space="preserve">ighest price for fodder crops and rice is received by farmers in Tajikistan. Output price of vegetables and potatoes were in the same range for all countries. However, it is very important to mention the difference between farm gate prices (Figure 2) and consumer prices (Table 2). There is a very narrow gap between those prices in </w:t>
      </w:r>
      <w:r>
        <w:rPr>
          <w:lang w:val="en-US"/>
        </w:rPr>
        <w:t xml:space="preserve">the </w:t>
      </w:r>
      <w:r w:rsidR="001724BE">
        <w:rPr>
          <w:lang w:val="en-US"/>
        </w:rPr>
        <w:t xml:space="preserve">case of Uzbekistan and Tajikistan but large differences are found in </w:t>
      </w:r>
      <w:r>
        <w:rPr>
          <w:lang w:val="en-US"/>
        </w:rPr>
        <w:t xml:space="preserve">the </w:t>
      </w:r>
      <w:r w:rsidR="001724BE">
        <w:rPr>
          <w:lang w:val="en-US"/>
        </w:rPr>
        <w:t>case of Kazakhstan and Kyrgyzstan. Although, farmers in Kazakhstan receive</w:t>
      </w:r>
      <w:r>
        <w:rPr>
          <w:lang w:val="en-US"/>
        </w:rPr>
        <w:t xml:space="preserve"> the</w:t>
      </w:r>
      <w:r w:rsidR="001724BE">
        <w:rPr>
          <w:lang w:val="en-US"/>
        </w:rPr>
        <w:t xml:space="preserve"> lowest price for their wheat, consumers need to pay </w:t>
      </w:r>
      <w:r>
        <w:rPr>
          <w:lang w:val="en-US"/>
        </w:rPr>
        <w:t xml:space="preserve">the </w:t>
      </w:r>
      <w:r w:rsidR="001724BE">
        <w:rPr>
          <w:lang w:val="en-US"/>
        </w:rPr>
        <w:t xml:space="preserve">highest prices for wheat and wheat products. This might be explained by high purchasing power of consumers in Kazakhstan </w:t>
      </w:r>
      <w:r w:rsidR="00E71FB7">
        <w:rPr>
          <w:lang w:val="en-US"/>
        </w:rPr>
        <w:fldChar w:fldCharType="begin"/>
      </w:r>
      <w:r w:rsidR="001724BE">
        <w:rPr>
          <w:lang w:val="en-US"/>
        </w:rPr>
        <w:instrText xml:space="preserve"> ADDIN EN.CITE &lt;EndNote&gt;&lt;Cite&gt;&lt;Author&gt;Galiakpar&lt;/Author&gt;&lt;Year&gt;2011&lt;/Year&gt;&lt;RecNum&gt;8&lt;/RecNum&gt;&lt;DisplayText&gt;(Galiakpar, 2011)&lt;/DisplayText&gt;&lt;record&gt;&lt;rec-number&gt;8&lt;/rec-number&gt;&lt;foreign-keys&gt;&lt;key app="EN" db-id="0erxvrzsjv5szqefaesv09e4awxs2t5saw90"&gt;8&lt;/key&gt;&lt;/foreign-keys&gt;&lt;ref-type name="Thesis"&gt;32&lt;/ref-type&gt;&lt;contributors&gt;&lt;authors&gt;&lt;author&gt;Zhuldyz Galiakpar&lt;/author&gt;&lt;/authors&gt;&lt;/contributors&gt;&lt;titles&gt;&lt;title&gt;Grain contention or Wheat production in Kazakhstan&lt;/title&gt;&lt;secondary-title&gt;Economics of Development&lt;/secondary-title&gt;&lt;/titles&gt;&lt;pages&gt;62&lt;/pages&gt;&lt;volume&gt;Masters of Arts in Development Studies&lt;/volume&gt;&lt;dates&gt;&lt;year&gt;2011&lt;/year&gt;&lt;pub-dates&gt;&lt;date&gt;November 2011&lt;/date&gt;&lt;/pub-dates&gt;&lt;/dates&gt;&lt;pub-location&gt;The Hague, The Netherlands&lt;/pub-location&gt;&lt;publisher&gt;Institute of Social Studies&lt;/publisher&gt;&lt;urls&gt;&lt;/urls&gt;&lt;/record&gt;&lt;/Cite&gt;&lt;/EndNote&gt;</w:instrText>
      </w:r>
      <w:r w:rsidR="00E71FB7">
        <w:rPr>
          <w:lang w:val="en-US"/>
        </w:rPr>
        <w:fldChar w:fldCharType="separate"/>
      </w:r>
      <w:r w:rsidR="001724BE">
        <w:rPr>
          <w:noProof/>
          <w:lang w:val="en-US"/>
        </w:rPr>
        <w:t>(</w:t>
      </w:r>
      <w:hyperlink w:anchor="_ENREF_19" w:tooltip="Galiakpar, 2011 #8" w:history="1">
        <w:r w:rsidR="002C46A7">
          <w:rPr>
            <w:noProof/>
            <w:lang w:val="en-US"/>
          </w:rPr>
          <w:t>Galiakpar, 2011</w:t>
        </w:r>
      </w:hyperlink>
      <w:r w:rsidR="001724BE">
        <w:rPr>
          <w:noProof/>
          <w:lang w:val="en-US"/>
        </w:rPr>
        <w:t>)</w:t>
      </w:r>
      <w:r w:rsidR="00E71FB7">
        <w:rPr>
          <w:lang w:val="en-US"/>
        </w:rPr>
        <w:fldChar w:fldCharType="end"/>
      </w:r>
      <w:r w:rsidR="001724BE">
        <w:rPr>
          <w:lang w:val="en-US"/>
        </w:rPr>
        <w:t xml:space="preserve"> as well as the market power of processing industries in the country. In case of Kyrgyzstan, </w:t>
      </w:r>
      <w:r w:rsidR="00C537DE">
        <w:rPr>
          <w:lang w:val="en-US"/>
        </w:rPr>
        <w:t xml:space="preserve">large </w:t>
      </w:r>
      <w:r w:rsidR="001724BE">
        <w:rPr>
          <w:lang w:val="en-US"/>
        </w:rPr>
        <w:t>differences can be mainly explained</w:t>
      </w:r>
      <w:r w:rsidR="00C537DE">
        <w:rPr>
          <w:lang w:val="en-US"/>
        </w:rPr>
        <w:t xml:space="preserve"> by</w:t>
      </w:r>
      <w:r w:rsidR="001724BE">
        <w:rPr>
          <w:lang w:val="en-US"/>
        </w:rPr>
        <w:t xml:space="preserve"> underdeveloped market infrastructure and</w:t>
      </w:r>
      <w:r w:rsidR="00C537DE">
        <w:rPr>
          <w:lang w:val="en-US"/>
        </w:rPr>
        <w:t xml:space="preserve"> the</w:t>
      </w:r>
      <w:r w:rsidR="001724BE">
        <w:rPr>
          <w:lang w:val="en-US"/>
        </w:rPr>
        <w:t xml:space="preserve"> impact of ethnic disputes in the country observed in 2010. Those constraints limit trade even between the regions of Kyrgyzstan.  </w:t>
      </w:r>
    </w:p>
    <w:p w:rsidR="001724BE" w:rsidRDefault="001724BE" w:rsidP="00104719">
      <w:pPr>
        <w:spacing w:line="360" w:lineRule="auto"/>
        <w:jc w:val="both"/>
        <w:rPr>
          <w:lang w:val="en-US"/>
        </w:rPr>
      </w:pPr>
      <w:r w:rsidRPr="0071239F">
        <w:rPr>
          <w:noProof/>
          <w:lang w:eastAsia="de-DE"/>
        </w:rPr>
        <w:drawing>
          <wp:inline distT="0" distB="0" distL="0" distR="0">
            <wp:extent cx="5076825" cy="3167063"/>
            <wp:effectExtent l="0" t="0" r="0" b="0"/>
            <wp:docPr id="1"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24BE" w:rsidRPr="00EE0AD4" w:rsidRDefault="001724BE" w:rsidP="00104719">
      <w:pPr>
        <w:spacing w:line="360" w:lineRule="auto"/>
        <w:jc w:val="both"/>
        <w:rPr>
          <w:b/>
          <w:lang w:val="en-US"/>
        </w:rPr>
      </w:pPr>
      <w:r w:rsidRPr="00EE0AD4">
        <w:rPr>
          <w:b/>
          <w:lang w:val="en-US"/>
        </w:rPr>
        <w:t xml:space="preserve">Figure </w:t>
      </w:r>
      <w:r w:rsidR="005C0F66">
        <w:rPr>
          <w:b/>
          <w:lang w:val="en-US"/>
        </w:rPr>
        <w:t>3</w:t>
      </w:r>
      <w:r w:rsidRPr="00EE0AD4">
        <w:rPr>
          <w:b/>
          <w:lang w:val="en-US"/>
        </w:rPr>
        <w:t xml:space="preserve">: Input price differences between the countries </w:t>
      </w:r>
    </w:p>
    <w:p w:rsidR="001724BE" w:rsidRDefault="00C537DE" w:rsidP="00104719">
      <w:pPr>
        <w:spacing w:line="360" w:lineRule="auto"/>
        <w:jc w:val="both"/>
        <w:rPr>
          <w:lang w:val="en-US"/>
        </w:rPr>
      </w:pPr>
      <w:r>
        <w:rPr>
          <w:lang w:val="en-US"/>
        </w:rPr>
        <w:t>The h</w:t>
      </w:r>
      <w:r w:rsidR="001724BE">
        <w:rPr>
          <w:lang w:val="en-US"/>
        </w:rPr>
        <w:t>ighest input prices in CA are observed in Tajikistan. Especially farmers need to pay very high price</w:t>
      </w:r>
      <w:r>
        <w:rPr>
          <w:lang w:val="en-US"/>
        </w:rPr>
        <w:t>s</w:t>
      </w:r>
      <w:r w:rsidR="001724BE">
        <w:rPr>
          <w:lang w:val="en-US"/>
        </w:rPr>
        <w:t xml:space="preserve"> for fuel and fertilizers. High seed prices in Uzbekistan can be mainly explained by the quality differences. Private and governmental seed distribution is well organized and high seed quality may cause </w:t>
      </w:r>
      <w:r>
        <w:rPr>
          <w:lang w:val="en-US"/>
        </w:rPr>
        <w:t>equally</w:t>
      </w:r>
      <w:r w:rsidR="001724BE">
        <w:rPr>
          <w:lang w:val="en-US"/>
        </w:rPr>
        <w:t xml:space="preserve"> higher prices in Uzbekistan when compared to other countries.</w:t>
      </w:r>
    </w:p>
    <w:p w:rsidR="001724BE" w:rsidRDefault="001724BE" w:rsidP="00104719">
      <w:pPr>
        <w:pStyle w:val="11"/>
        <w:spacing w:line="360" w:lineRule="auto"/>
        <w:jc w:val="both"/>
      </w:pPr>
      <w:r>
        <w:t xml:space="preserve">Climate change impact </w:t>
      </w:r>
    </w:p>
    <w:p w:rsidR="001724BE" w:rsidRPr="003B3A90" w:rsidRDefault="001724BE" w:rsidP="00104719">
      <w:pPr>
        <w:spacing w:after="240" w:line="360" w:lineRule="auto"/>
        <w:jc w:val="both"/>
        <w:rPr>
          <w:rFonts w:cstheme="minorHAnsi"/>
          <w:lang w:val="en-US"/>
        </w:rPr>
      </w:pPr>
      <w:r w:rsidRPr="003B3A90">
        <w:rPr>
          <w:rFonts w:cstheme="minorHAnsi"/>
          <w:lang w:val="en-US"/>
        </w:rPr>
        <w:t xml:space="preserve">Changes in farm income under climate change </w:t>
      </w:r>
      <w:r>
        <w:rPr>
          <w:rFonts w:cstheme="minorHAnsi"/>
          <w:lang w:val="en-US"/>
        </w:rPr>
        <w:t xml:space="preserve">scenarios are </w:t>
      </w:r>
      <w:r w:rsidRPr="003B3A90">
        <w:rPr>
          <w:rFonts w:cstheme="minorHAnsi"/>
          <w:lang w:val="en-US"/>
        </w:rPr>
        <w:t xml:space="preserve">simulated while considering </w:t>
      </w:r>
      <w:proofErr w:type="gramStart"/>
      <w:r w:rsidRPr="003B3A90">
        <w:rPr>
          <w:rFonts w:cstheme="minorHAnsi"/>
          <w:lang w:val="en-US"/>
        </w:rPr>
        <w:t xml:space="preserve">two </w:t>
      </w:r>
      <w:r w:rsidRPr="00AF17BF">
        <w:rPr>
          <w:lang w:val="en-US"/>
        </w:rPr>
        <w:t>Special Report on Emissions Scenarios</w:t>
      </w:r>
      <w:r w:rsidRPr="003B3A90">
        <w:rPr>
          <w:rFonts w:cstheme="minorHAnsi"/>
          <w:lang w:val="en-US"/>
        </w:rPr>
        <w:t xml:space="preserve"> </w:t>
      </w:r>
      <w:r>
        <w:rPr>
          <w:rFonts w:cstheme="minorHAnsi"/>
          <w:lang w:val="en-US"/>
        </w:rPr>
        <w:t>(</w:t>
      </w:r>
      <w:r w:rsidRPr="003B3A90">
        <w:rPr>
          <w:rFonts w:cstheme="minorHAnsi"/>
          <w:lang w:val="en-US"/>
        </w:rPr>
        <w:t>SRES</w:t>
      </w:r>
      <w:r>
        <w:rPr>
          <w:rFonts w:cstheme="minorHAnsi"/>
          <w:lang w:val="en-US"/>
        </w:rPr>
        <w:t>)</w:t>
      </w:r>
      <w:r w:rsidRPr="003B3A90">
        <w:rPr>
          <w:rFonts w:cstheme="minorHAnsi"/>
          <w:lang w:val="en-US"/>
        </w:rPr>
        <w:t xml:space="preserve"> (A1b and A2)</w:t>
      </w:r>
      <w:proofErr w:type="gramEnd"/>
      <w:r w:rsidRPr="003B3A90">
        <w:rPr>
          <w:rFonts w:cstheme="minorHAnsi"/>
          <w:lang w:val="en-US"/>
        </w:rPr>
        <w:t xml:space="preserve"> for two time horizons (2010-2040, 2070-2100). Since, irrigation play</w:t>
      </w:r>
      <w:r w:rsidR="00C537DE">
        <w:rPr>
          <w:rFonts w:cstheme="minorHAnsi"/>
          <w:lang w:val="en-US"/>
        </w:rPr>
        <w:t>s</w:t>
      </w:r>
      <w:r w:rsidRPr="003B3A90">
        <w:rPr>
          <w:rFonts w:cstheme="minorHAnsi"/>
          <w:lang w:val="en-US"/>
        </w:rPr>
        <w:t xml:space="preserve"> an important role in </w:t>
      </w:r>
      <w:proofErr w:type="gramStart"/>
      <w:r w:rsidRPr="003B3A90">
        <w:rPr>
          <w:rFonts w:cstheme="minorHAnsi"/>
          <w:lang w:val="en-US"/>
        </w:rPr>
        <w:t>CA,</w:t>
      </w:r>
      <w:proofErr w:type="gramEnd"/>
      <w:r w:rsidRPr="003B3A90">
        <w:rPr>
          <w:rFonts w:cstheme="minorHAnsi"/>
          <w:lang w:val="en-US"/>
        </w:rPr>
        <w:t xml:space="preserve"> we also consider changes in irrigation water availability in the future. Several studies have investigated the water availability under climate change scenarios and magnitude of the changes usually in a range of 5-30% decline in Amu Darya and </w:t>
      </w:r>
      <w:proofErr w:type="spellStart"/>
      <w:r w:rsidRPr="003B3A90">
        <w:rPr>
          <w:rFonts w:cstheme="minorHAnsi"/>
          <w:lang w:val="en-US"/>
        </w:rPr>
        <w:t>Syr</w:t>
      </w:r>
      <w:proofErr w:type="spellEnd"/>
      <w:r w:rsidRPr="003B3A90">
        <w:rPr>
          <w:rFonts w:cstheme="minorHAnsi"/>
          <w:lang w:val="en-US"/>
        </w:rPr>
        <w:t xml:space="preserve"> Darya rivers, the most important irrigation water sources in Central Asia </w:t>
      </w:r>
      <w:r w:rsidR="00E71FB7" w:rsidRPr="003B3A90">
        <w:rPr>
          <w:rFonts w:cstheme="minorHAnsi"/>
        </w:rPr>
        <w:fldChar w:fldCharType="begin">
          <w:fldData xml:space="preserve">PEVuZE5vdGU+PENpdGU+PEF1dGhvcj5Td2lubmVuPC9BdXRob3I+PFllYXI+MjAxMTwvWWVhcj48
UmVjTnVtPjM0ODwvUmVjTnVtPjxEaXNwbGF5VGV4dD4oT3Nvc2tvdmE8c3R5bGUgZmFjZT0iaXRh
bGljIj4gZXQgYWwuPC9zdHlsZT4sIDIwMDA7IFNhdm9za3VsPHN0eWxlIGZhY2U9Iml0YWxpYyI+
IGV0IGFsLjwvc3R5bGU+LCAyMDA0OyBDaHViLCAyMDA3OyBDQVJFQywgMjAxMTsgU3dpbm5lbiBh
bmQgSGVyY2ssIDIwMTE7IFNpZWdmcmllZDxzdHlsZSBmYWNlPSJpdGFsaWMiPiBldCBhbC48L3N0
eWxlPiwgMjAxMik8L0Rpc3BsYXlUZXh0PjxyZWNvcmQ+PHJlYy1udW1iZXI+MzQ4PC9yZWMtbnVt
YmVyPjxmb3JlaWduLWtleXM+PGtleSBhcHA9IkVOIiBkYi1pZD0iMGVyeHZyenNqdjVzenFlZmFl
c3YwOWU0YXd4czJ0NXNhdzkwIj4zNDg8L2tleT48L2ZvcmVpZ24ta2V5cz48cmVmLXR5cGUgbmFt
ZT0iUmVwb3J0Ij4yNzwvcmVmLXR5cGU+PGNvbnRyaWJ1dG9ycz48YXV0aG9ycz48YXV0aG9yPkpv
aGFuIFN3aW5uZW48L2F1dGhvcj48YXV0aG9yPktyaXN0aW5lIFZhbiBIZXJjazwvYXV0aG9yPjwv
YXV0aG9ycz48L2NvbnRyaWJ1dG9ycz48dGl0bGVzPjx0aXRsZT5Gb29kIHNlY3VyaXR5IGFuZCB0
aGUgdHJhbnNpdGlvbiByZWdpb248L3RpdGxlPjxzZWNvbmRhcnktdGl0bGU+V29ya2luZyBQYXBl
cjwvc2Vjb25kYXJ5LXRpdGxlPjwvdGl0bGVzPjxkYXRlcz48eWVhcj4yMDExPC95ZWFyPjwvZGF0
ZXM+PHB1Yi1sb2NhdGlvbj5Mb25kb248L3B1Yi1sb2NhdGlvbj48cHVibGlzaGVyPkZBTzwvcHVi
bGlzaGVyPjx1cmxzPjwvdXJscz48L3JlY29yZD48L0NpdGU+PENpdGU+PEF1dGhvcj5DaHViPC9B
dXRob3I+PFllYXI+MjAwNzwvWWVhcj48UmVjTnVtPjEyMzwvUmVjTnVtPjxyZWNvcmQ+PHJlYy1u
dW1iZXI+MTIzPC9yZWMtbnVtYmVyPjxmb3JlaWduLWtleXM+PGtleSBhcHA9IkVOIiBkYi1pZD0i
MGVyeHZyenNqdjVzenFlZmFlc3YwOWU0YXd4czJ0NXNhdzkwIj4xMjM8L2tleT48L2ZvcmVpZ24t
a2V5cz48cmVmLXR5cGUgbmFtZT0iQm9vayI+NjwvcmVmLXR5cGU+PGNvbnRyaWJ1dG9ycz48YXV0
aG9ycz48YXV0aG9yPkNodWIsIFYuRS48L2F1dGhvcj48L2F1dGhvcnM+PC9jb250cmlidXRvcnM+
PHRpdGxlcz48dGl0bGU+Q2xpbWF0ZSBjaGFuZ2UgYW5kIGl0cyBpbXBhY3Qgb24gaHlkcm8tbWV0
cm9sb2dpY2FsIHByb2Nlc3MsIGFncm8tY2xpbWF0aWMgYW5kIHdhdGVyIHJlc291cmNlcyBvZiB0
aGUgcmVwdWJsaWMgb2YgVXpiZWtpc3RhbjwvdGl0bGU+PC90aXRsZXM+PGRhdGVzPjx5ZWFyPjIw
MDc8L3llYXI+PC9kYXRlcz48cHViLWxvY2F0aW9uPlRhc2hrZW50PC9wdWItbG9jYXRpb24+PHB1
Ymxpc2hlcj5Wb3Jpcy1OYXNocnlvdDwvcHVibGlzaGVyPjx1cmxzPjwvdXJscz48L3JlY29yZD48
L0NpdGU+PENpdGU+PEF1dGhvcj5Pc29za292YTwvQXV0aG9yPjxZZWFyPjIwMDA8L1llYXI+PFJl
Y051bT4xMzY8L1JlY051bT48cmVjb3JkPjxyZWMtbnVtYmVyPjEzNjwvcmVjLW51bWJlcj48Zm9y
ZWlnbi1rZXlzPjxrZXkgYXBwPSJFTiIgZGItaWQ9IjBlcnh2cnpzanY1c3pxZWZhZXN2MDllNGF3
eHMydDVzYXc5MCI+MTM2PC9rZXk+PC9mb3JlaWduLWtleXM+PHJlZi10eXBlIG5hbWU9IkpvdXJu
YWwgQXJ0aWNsZSI+MTc8L3JlZi10eXBlPjxjb250cmlidXRvcnM+PGF1dGhvcnM+PGF1dGhvcj5P
c29za292YSwgVC48L2F1dGhvcj48YXV0aG9yPkdvcmVsa2luLCBOLiA8L2F1dGhvcj48YXV0aG9y
PkNodWIsICBWLiA8L2F1dGhvcj48L2F1dGhvcnM+PC9jb250cmlidXRvcnM+PHRpdGxlcz48dGl0
bGU+V2F0ZXIgUmVzb3VyY2VzIG9mIENlbnRyYWwgQXNpYSBhbmQgQWRhcHRhdGlvbiBNZWFzdXJl
cyBmb3IgQ2xpbWF0ZSBDaGFuZ2U8L3RpdGxlPjxzZWNvbmRhcnktdGl0bGU+RW52aXJvbm1lbnRh
bCBNb25pdG9yaW5nIGFuZCBBc3Nlc3NtZW50PC9zZWNvbmRhcnktdGl0bGU+PC90aXRsZXM+PHBl
cmlvZGljYWw+PGZ1bGwtdGl0bGU+RW52aXJvbm1lbnRhbCBNb25pdG9yaW5nIGFuZCBBc3Nlc3Nt
ZW50PC9mdWxsLXRpdGxlPjwvcGVyaW9kaWNhbD48cGFnZXM+MTYxLTE2NjwvcGFnZXM+PHZvbHVt
ZT42MTwvdm9sdW1lPjxkYXRlcz48eWVhcj4yMDAwPC95ZWFyPjwvZGF0ZXM+PHVybHM+PC91cmxz
PjwvcmVjb3JkPjwvQ2l0ZT48Q2l0ZT48QXV0aG9yPlNhdm9za3VsPC9BdXRob3I+PFllYXI+MjAw
NDwvWWVhcj48UmVjTnVtPjMyOTwvUmVjTnVtPjxyZWNvcmQ+PHJlYy1udW1iZXI+MzI5PC9yZWMt
bnVtYmVyPjxmb3JlaWduLWtleXM+PGtleSBhcHA9IkVOIiBkYi1pZD0iMGVyeHZyenNqdjVzenFl
ZmFlc3YwOWU0YXd4czJ0NXNhdzkwIj4zMjk8L2tleT48L2ZvcmVpZ24ta2V5cz48cmVmLXR5cGUg
bmFtZT0iQm9vayBTZWN0aW9uIj41PC9yZWYtdHlwZT48Y29udHJpYnV0b3JzPjxhdXRob3JzPjxh
dXRob3I+T3hhbmEgUy4gU2F2b3NrdWw8L2F1dGhvcj48YXV0aG9yPkVsZW5hIFYuIFNoZXZuaW5h
PC9hdXRob3I+PGF1dGhvcj5GZWxpeCBQZXJ6aWdlcjwvYXV0aG9yPjxhdXRob3I+VmlhY2hlc2xh
diBCYXJidXJpbjwvYXV0aG9yPjxhdXRob3I+QWxleGFuZGVyIERhbnNoaW48L2F1dGhvcj48L2F1
dGhvcnM+PHNlY29uZGFyeS1hdXRob3JzPjxhdXRob3I+IEouQy5KLkguIEFlcnRzIDwvYXV0aG9y
PjxhdXRob3I+UC4gRHJvb2dlcnM8L2F1dGhvcj48L3NlY29uZGFyeS1hdXRob3JzPjwvY29udHJp
YnV0b3JzPjx0aXRsZXM+PHRpdGxlPkhvdyBNdWNoIFdhdGVyIHdpbGwgYmUgQXZhaWxhYmxlIGZv
ciBJcnJpZ2F0aW9uIGluIHRoZSBGdXR1cmU/IFRoZSBTeXIgRGFyeWEgQmFzaW4gKENlbnRyYWwg
QXNpYSk8L3RpdGxlPjxzZWNvbmRhcnktdGl0bGU+Q2xpbWF0ZSBDaGFuZ2UgaW4gQ29udHJhc3Rp
bmcgUml2ZXIgQmFzaW5zIOKAlCBBZGFwdGF0aW9uIFN0cmF0ZWdpZXMgZm9yIFdhdGVyLCBGb29k
IGFuZCB0aGUgRW52aXJvbm1lbnQuIDwvc2Vjb25kYXJ5LXRpdGxlPjwvdGl0bGVzPjxkYXRlcz48
eWVhcj4yMDA0PC95ZWFyPjwvZGF0ZXM+PHB1Yi1sb2NhdGlvbj5XYWxsaW5nZm9yZCwgVUsuPC9w
dWItbG9jYXRpb24+PHB1Ymxpc2hlcj5DQUJJPC9wdWJsaXNoZXI+PHVybHM+PC91cmxzPjwvcmVj
b3JkPjwvQ2l0ZT48Q2l0ZT48QXV0aG9yPlNpZWdmcmllZDwvQXV0aG9yPjxZZWFyPjIwMTI8L1ll
YXI+PFJlY051bT4zMjg8L1JlY051bT48cmVjb3JkPjxyZWMtbnVtYmVyPjMyODwvcmVjLW51bWJl
cj48Zm9yZWlnbi1rZXlzPjxrZXkgYXBwPSJFTiIgZGItaWQ9IjBlcnh2cnpzanY1c3pxZWZhZXN2
MDllNGF3eHMydDVzYXc5MCI+MzI4PC9rZXk+PC9mb3JlaWduLWtleXM+PHJlZi10eXBlIG5hbWU9
IkpvdXJuYWwgQXJ0aWNsZSI+MTc8L3JlZi10eXBlPjxjb250cmlidXRvcnM+PGF1dGhvcnM+PGF1
dGhvcj5TaWVnZnJpZWQsIFRvYmlhczwvYXV0aG9yPjxhdXRob3I+QmVybmF1ZXIsIFRob21hczwv
YXV0aG9yPjxhdXRob3I+R3VpZW5uZXQsIFJlbmF1ZDwvYXV0aG9yPjxhdXRob3I+U2VsbGFycywg
U2NvdHQ8L2F1dGhvcj48YXV0aG9yPlJvYmVydHNvbiwgQW5kcmV3VzwvYXV0aG9yPjxhdXRob3I+
TWFua2luLCBKdXN0aW48L2F1dGhvcj48YXV0aG9yPkJhdWVyLUdvdHR3ZWluLCBQZXRlcjwvYXV0
aG9yPjxhdXRob3I+WWFrb3ZsZXYsIEFuZHJleTwvYXV0aG9yPjwvYXV0aG9ycz48L2NvbnRyaWJ1
dG9ycz48dGl0bGVzPjx0aXRsZT5XaWxsIGNsaW1hdGUgY2hhbmdlIGV4YWNlcmJhdGUgd2F0ZXIg
c3RyZXNzIGluIENlbnRyYWwgQXNpYT88L3RpdGxlPjxzZWNvbmRhcnktdGl0bGU+Q2xpbWF0aWMg
Q2hhbmdlPC9zZWNvbmRhcnktdGl0bGU+PGFsdC10aXRsZT5DbGltYXRpYyBDaGFuZ2U8L2FsdC10
aXRsZT48L3RpdGxlcz48cGVyaW9kaWNhbD48ZnVsbC10aXRsZT5DbGltYXRpYyBDaGFuZ2U8L2Z1
bGwtdGl0bGU+PC9wZXJpb2RpY2FsPjxhbHQtcGVyaW9kaWNhbD48ZnVsbC10aXRsZT5DbGltYXRp
YyBDaGFuZ2U8L2Z1bGwtdGl0bGU+PC9hbHQtcGVyaW9kaWNhbD48cGFnZXM+ODgxLTg5OTwvcGFn
ZXM+PHZvbHVtZT4xMTI8L3ZvbHVtZT48bnVtYmVyPjMtNDwvbnVtYmVyPjxkYXRlcz48eWVhcj4y
MDEyPC95ZWFyPjxwdWItZGF0ZXM+PGRhdGU+MjAxMi8wNi8wMTwvZGF0ZT48L3B1Yi1kYXRlcz48
L2RhdGVzPjxwdWJsaXNoZXI+U3ByaW5nZXIgTmV0aGVybGFuZHM8L3B1Ymxpc2hlcj48aXNibj4w
MTY1LTAwMDk8L2lzYm4+PHVybHM+PHJlbGF0ZWQtdXJscz48dXJsPmh0dHA6Ly9keC5kb2kub3Jn
LzEwLjEwMDcvczEwNTg0LTAxMS0wMjUzLXo8L3VybD48L3JlbGF0ZWQtdXJscz48L3VybHM+PGVs
ZWN0cm9uaWMtcmVzb3VyY2UtbnVtPjEwLjEwMDcvczEwNTg0LTAxMS0wMjUzLXo8L2VsZWN0cm9u
aWMtcmVzb3VyY2UtbnVtPjxsYW5ndWFnZT5FbmdsaXNoPC9sYW5ndWFnZT48L3JlY29yZD48L0Np
dGU+PENpdGU+PEF1dGhvcj5DQVJFQzwvQXV0aG9yPjxZZWFyPjIwMTE8L1llYXI+PFJlY051bT40
MTE8L1JlY051bT48cmVjb3JkPjxyZWMtbnVtYmVyPjQxMTwvcmVjLW51bWJlcj48Zm9yZWlnbi1r
ZXlzPjxrZXkgYXBwPSJFTiIgZGItaWQ9IjBlcnh2cnpzanY1c3pxZWZhZXN2MDllNGF3eHMydDVz
YXc5MCI+NDExPC9rZXk+PC9mb3JlaWduLWtleXM+PHJlZi10eXBlIG5hbWU9IlJlcG9ydCI+Mjc8
L3JlZi10eXBlPjxjb250cmlidXRvcnM+PGF1dGhvcnM+PGF1dGhvcj5DQVJFQzwvYXV0aG9yPjwv
YXV0aG9ycz48L2NvbnRyaWJ1dG9ycz48dGl0bGVzPjx0aXRsZT5HYXAgYW5hbHlzaXMgb24gYWRh
cHRhdGlvbiB0byBjbGltYXRlIGNoYW5nZSBpbiBDZW50cmFsIEFzaWEuIFByaW9yaXRpZXMsIHJl
Y29tbWVuZGF0aW9ucywgcHJhY3RpY2VzPC90aXRsZT48L3RpdGxlcz48ZGF0ZXM+PHllYXI+MjAx
MTwveWVhcj48L2RhdGVzPjxwdWItbG9jYXRpb24+QWxtYXR5PC9wdWItbG9jYXRpb24+PHB1Ymxp
c2hlcj5SZWdpb25hbCBFbnZpcm9ubWVudGFsIENlbnRyZSBmb3IgQ2VudHJhbCBBc2lhPC9wdWJs
aXNoZXI+PHVybHM+PHJlbGF0ZWQtdXJscz48dXJsPmh0dHA6Ly93d3cuY2FyZWNuZXQub3JnL2Fz
c2V0cy9maWxlcy9Bc2lhX1BhY2lmaWNfTmV0d29yay9lbmcvR2FwX0FuYWx5c2lzX0FkYXB0YXRp
b24ucGRmPC91cmw+PC9yZWxhdGVkLXVybHM+PC91cmxzPjwvcmVjb3JkPjwvQ2l0ZT48L0VuZE5v
dGU+
</w:fldData>
        </w:fldChar>
      </w:r>
      <w:r w:rsidRPr="003B3A90">
        <w:rPr>
          <w:rFonts w:cstheme="minorHAnsi"/>
          <w:lang w:val="en-US"/>
        </w:rPr>
        <w:instrText xml:space="preserve"> ADDIN EN.CITE </w:instrText>
      </w:r>
      <w:r w:rsidR="00E71FB7" w:rsidRPr="003B3A90">
        <w:rPr>
          <w:rFonts w:cstheme="minorHAnsi"/>
        </w:rPr>
        <w:fldChar w:fldCharType="begin">
          <w:fldData xml:space="preserve">PEVuZE5vdGU+PENpdGU+PEF1dGhvcj5Td2lubmVuPC9BdXRob3I+PFllYXI+MjAxMTwvWWVhcj48
UmVjTnVtPjM0ODwvUmVjTnVtPjxEaXNwbGF5VGV4dD4oT3Nvc2tvdmE8c3R5bGUgZmFjZT0iaXRh
bGljIj4gZXQgYWwuPC9zdHlsZT4sIDIwMDA7IFNhdm9za3VsPHN0eWxlIGZhY2U9Iml0YWxpYyI+
IGV0IGFsLjwvc3R5bGU+LCAyMDA0OyBDaHViLCAyMDA3OyBDQVJFQywgMjAxMTsgU3dpbm5lbiBh
bmQgSGVyY2ssIDIwMTE7IFNpZWdmcmllZDxzdHlsZSBmYWNlPSJpdGFsaWMiPiBldCBhbC48L3N0
eWxlPiwgMjAxMik8L0Rpc3BsYXlUZXh0PjxyZWNvcmQ+PHJlYy1udW1iZXI+MzQ4PC9yZWMtbnVt
YmVyPjxmb3JlaWduLWtleXM+PGtleSBhcHA9IkVOIiBkYi1pZD0iMGVyeHZyenNqdjVzenFlZmFl
c3YwOWU0YXd4czJ0NXNhdzkwIj4zNDg8L2tleT48L2ZvcmVpZ24ta2V5cz48cmVmLXR5cGUgbmFt
ZT0iUmVwb3J0Ij4yNzwvcmVmLXR5cGU+PGNvbnRyaWJ1dG9ycz48YXV0aG9ycz48YXV0aG9yPkpv
aGFuIFN3aW5uZW48L2F1dGhvcj48YXV0aG9yPktyaXN0aW5lIFZhbiBIZXJjazwvYXV0aG9yPjwv
YXV0aG9ycz48L2NvbnRyaWJ1dG9ycz48dGl0bGVzPjx0aXRsZT5Gb29kIHNlY3VyaXR5IGFuZCB0
aGUgdHJhbnNpdGlvbiByZWdpb248L3RpdGxlPjxzZWNvbmRhcnktdGl0bGU+V29ya2luZyBQYXBl
cjwvc2Vjb25kYXJ5LXRpdGxlPjwvdGl0bGVzPjxkYXRlcz48eWVhcj4yMDExPC95ZWFyPjwvZGF0
ZXM+PHB1Yi1sb2NhdGlvbj5Mb25kb248L3B1Yi1sb2NhdGlvbj48cHVibGlzaGVyPkZBTzwvcHVi
bGlzaGVyPjx1cmxzPjwvdXJscz48L3JlY29yZD48L0NpdGU+PENpdGU+PEF1dGhvcj5DaHViPC9B
dXRob3I+PFllYXI+MjAwNzwvWWVhcj48UmVjTnVtPjEyMzwvUmVjTnVtPjxyZWNvcmQ+PHJlYy1u
dW1iZXI+MTIzPC9yZWMtbnVtYmVyPjxmb3JlaWduLWtleXM+PGtleSBhcHA9IkVOIiBkYi1pZD0i
MGVyeHZyenNqdjVzenFlZmFlc3YwOWU0YXd4czJ0NXNhdzkwIj4xMjM8L2tleT48L2ZvcmVpZ24t
a2V5cz48cmVmLXR5cGUgbmFtZT0iQm9vayI+NjwvcmVmLXR5cGU+PGNvbnRyaWJ1dG9ycz48YXV0
aG9ycz48YXV0aG9yPkNodWIsIFYuRS48L2F1dGhvcj48L2F1dGhvcnM+PC9jb250cmlidXRvcnM+
PHRpdGxlcz48dGl0bGU+Q2xpbWF0ZSBjaGFuZ2UgYW5kIGl0cyBpbXBhY3Qgb24gaHlkcm8tbWV0
cm9sb2dpY2FsIHByb2Nlc3MsIGFncm8tY2xpbWF0aWMgYW5kIHdhdGVyIHJlc291cmNlcyBvZiB0
aGUgcmVwdWJsaWMgb2YgVXpiZWtpc3RhbjwvdGl0bGU+PC90aXRsZXM+PGRhdGVzPjx5ZWFyPjIw
MDc8L3llYXI+PC9kYXRlcz48cHViLWxvY2F0aW9uPlRhc2hrZW50PC9wdWItbG9jYXRpb24+PHB1
Ymxpc2hlcj5Wb3Jpcy1OYXNocnlvdDwvcHVibGlzaGVyPjx1cmxzPjwvdXJscz48L3JlY29yZD48
L0NpdGU+PENpdGU+PEF1dGhvcj5Pc29za292YTwvQXV0aG9yPjxZZWFyPjIwMDA8L1llYXI+PFJl
Y051bT4xMzY8L1JlY051bT48cmVjb3JkPjxyZWMtbnVtYmVyPjEzNjwvcmVjLW51bWJlcj48Zm9y
ZWlnbi1rZXlzPjxrZXkgYXBwPSJFTiIgZGItaWQ9IjBlcnh2cnpzanY1c3pxZWZhZXN2MDllNGF3
eHMydDVzYXc5MCI+MTM2PC9rZXk+PC9mb3JlaWduLWtleXM+PHJlZi10eXBlIG5hbWU9IkpvdXJu
YWwgQXJ0aWNsZSI+MTc8L3JlZi10eXBlPjxjb250cmlidXRvcnM+PGF1dGhvcnM+PGF1dGhvcj5P
c29za292YSwgVC48L2F1dGhvcj48YXV0aG9yPkdvcmVsa2luLCBOLiA8L2F1dGhvcj48YXV0aG9y
PkNodWIsICBWLiA8L2F1dGhvcj48L2F1dGhvcnM+PC9jb250cmlidXRvcnM+PHRpdGxlcz48dGl0
bGU+V2F0ZXIgUmVzb3VyY2VzIG9mIENlbnRyYWwgQXNpYSBhbmQgQWRhcHRhdGlvbiBNZWFzdXJl
cyBmb3IgQ2xpbWF0ZSBDaGFuZ2U8L3RpdGxlPjxzZWNvbmRhcnktdGl0bGU+RW52aXJvbm1lbnRh
bCBNb25pdG9yaW5nIGFuZCBBc3Nlc3NtZW50PC9zZWNvbmRhcnktdGl0bGU+PC90aXRsZXM+PHBl
cmlvZGljYWw+PGZ1bGwtdGl0bGU+RW52aXJvbm1lbnRhbCBNb25pdG9yaW5nIGFuZCBBc3Nlc3Nt
ZW50PC9mdWxsLXRpdGxlPjwvcGVyaW9kaWNhbD48cGFnZXM+MTYxLTE2NjwvcGFnZXM+PHZvbHVt
ZT42MTwvdm9sdW1lPjxkYXRlcz48eWVhcj4yMDAwPC95ZWFyPjwvZGF0ZXM+PHVybHM+PC91cmxz
PjwvcmVjb3JkPjwvQ2l0ZT48Q2l0ZT48QXV0aG9yPlNhdm9za3VsPC9BdXRob3I+PFllYXI+MjAw
NDwvWWVhcj48UmVjTnVtPjMyOTwvUmVjTnVtPjxyZWNvcmQ+PHJlYy1udW1iZXI+MzI5PC9yZWMt
bnVtYmVyPjxmb3JlaWduLWtleXM+PGtleSBhcHA9IkVOIiBkYi1pZD0iMGVyeHZyenNqdjVzenFl
ZmFlc3YwOWU0YXd4czJ0NXNhdzkwIj4zMjk8L2tleT48L2ZvcmVpZ24ta2V5cz48cmVmLXR5cGUg
bmFtZT0iQm9vayBTZWN0aW9uIj41PC9yZWYtdHlwZT48Y29udHJpYnV0b3JzPjxhdXRob3JzPjxh
dXRob3I+T3hhbmEgUy4gU2F2b3NrdWw8L2F1dGhvcj48YXV0aG9yPkVsZW5hIFYuIFNoZXZuaW5h
PC9hdXRob3I+PGF1dGhvcj5GZWxpeCBQZXJ6aWdlcjwvYXV0aG9yPjxhdXRob3I+VmlhY2hlc2xh
diBCYXJidXJpbjwvYXV0aG9yPjxhdXRob3I+QWxleGFuZGVyIERhbnNoaW48L2F1dGhvcj48L2F1
dGhvcnM+PHNlY29uZGFyeS1hdXRob3JzPjxhdXRob3I+IEouQy5KLkguIEFlcnRzIDwvYXV0aG9y
PjxhdXRob3I+UC4gRHJvb2dlcnM8L2F1dGhvcj48L3NlY29uZGFyeS1hdXRob3JzPjwvY29udHJp
YnV0b3JzPjx0aXRsZXM+PHRpdGxlPkhvdyBNdWNoIFdhdGVyIHdpbGwgYmUgQXZhaWxhYmxlIGZv
ciBJcnJpZ2F0aW9uIGluIHRoZSBGdXR1cmU/IFRoZSBTeXIgRGFyeWEgQmFzaW4gKENlbnRyYWwg
QXNpYSk8L3RpdGxlPjxzZWNvbmRhcnktdGl0bGU+Q2xpbWF0ZSBDaGFuZ2UgaW4gQ29udHJhc3Rp
bmcgUml2ZXIgQmFzaW5zIOKAlCBBZGFwdGF0aW9uIFN0cmF0ZWdpZXMgZm9yIFdhdGVyLCBGb29k
IGFuZCB0aGUgRW52aXJvbm1lbnQuIDwvc2Vjb25kYXJ5LXRpdGxlPjwvdGl0bGVzPjxkYXRlcz48
eWVhcj4yMDA0PC95ZWFyPjwvZGF0ZXM+PHB1Yi1sb2NhdGlvbj5XYWxsaW5nZm9yZCwgVUsuPC9w
dWItbG9jYXRpb24+PHB1Ymxpc2hlcj5DQUJJPC9wdWJsaXNoZXI+PHVybHM+PC91cmxzPjwvcmVj
b3JkPjwvQ2l0ZT48Q2l0ZT48QXV0aG9yPlNpZWdmcmllZDwvQXV0aG9yPjxZZWFyPjIwMTI8L1ll
YXI+PFJlY051bT4zMjg8L1JlY051bT48cmVjb3JkPjxyZWMtbnVtYmVyPjMyODwvcmVjLW51bWJl
cj48Zm9yZWlnbi1rZXlzPjxrZXkgYXBwPSJFTiIgZGItaWQ9IjBlcnh2cnpzanY1c3pxZWZhZXN2
MDllNGF3eHMydDVzYXc5MCI+MzI4PC9rZXk+PC9mb3JlaWduLWtleXM+PHJlZi10eXBlIG5hbWU9
IkpvdXJuYWwgQXJ0aWNsZSI+MTc8L3JlZi10eXBlPjxjb250cmlidXRvcnM+PGF1dGhvcnM+PGF1
dGhvcj5TaWVnZnJpZWQsIFRvYmlhczwvYXV0aG9yPjxhdXRob3I+QmVybmF1ZXIsIFRob21hczwv
YXV0aG9yPjxhdXRob3I+R3VpZW5uZXQsIFJlbmF1ZDwvYXV0aG9yPjxhdXRob3I+U2VsbGFycywg
U2NvdHQ8L2F1dGhvcj48YXV0aG9yPlJvYmVydHNvbiwgQW5kcmV3VzwvYXV0aG9yPjxhdXRob3I+
TWFua2luLCBKdXN0aW48L2F1dGhvcj48YXV0aG9yPkJhdWVyLUdvdHR3ZWluLCBQZXRlcjwvYXV0
aG9yPjxhdXRob3I+WWFrb3ZsZXYsIEFuZHJleTwvYXV0aG9yPjwvYXV0aG9ycz48L2NvbnRyaWJ1
dG9ycz48dGl0bGVzPjx0aXRsZT5XaWxsIGNsaW1hdGUgY2hhbmdlIGV4YWNlcmJhdGUgd2F0ZXIg
c3RyZXNzIGluIENlbnRyYWwgQXNpYT88L3RpdGxlPjxzZWNvbmRhcnktdGl0bGU+Q2xpbWF0aWMg
Q2hhbmdlPC9zZWNvbmRhcnktdGl0bGU+PGFsdC10aXRsZT5DbGltYXRpYyBDaGFuZ2U8L2FsdC10
aXRsZT48L3RpdGxlcz48cGVyaW9kaWNhbD48ZnVsbC10aXRsZT5DbGltYXRpYyBDaGFuZ2U8L2Z1
bGwtdGl0bGU+PC9wZXJpb2RpY2FsPjxhbHQtcGVyaW9kaWNhbD48ZnVsbC10aXRsZT5DbGltYXRp
YyBDaGFuZ2U8L2Z1bGwtdGl0bGU+PC9hbHQtcGVyaW9kaWNhbD48cGFnZXM+ODgxLTg5OTwvcGFn
ZXM+PHZvbHVtZT4xMTI8L3ZvbHVtZT48bnVtYmVyPjMtNDwvbnVtYmVyPjxkYXRlcz48eWVhcj4y
MDEyPC95ZWFyPjxwdWItZGF0ZXM+PGRhdGU+MjAxMi8wNi8wMTwvZGF0ZT48L3B1Yi1kYXRlcz48
L2RhdGVzPjxwdWJsaXNoZXI+U3ByaW5nZXIgTmV0aGVybGFuZHM8L3B1Ymxpc2hlcj48aXNibj4w
MTY1LTAwMDk8L2lzYm4+PHVybHM+PHJlbGF0ZWQtdXJscz48dXJsPmh0dHA6Ly9keC5kb2kub3Jn
LzEwLjEwMDcvczEwNTg0LTAxMS0wMjUzLXo8L3VybD48L3JlbGF0ZWQtdXJscz48L3VybHM+PGVs
ZWN0cm9uaWMtcmVzb3VyY2UtbnVtPjEwLjEwMDcvczEwNTg0LTAxMS0wMjUzLXo8L2VsZWN0cm9u
aWMtcmVzb3VyY2UtbnVtPjxsYW5ndWFnZT5FbmdsaXNoPC9sYW5ndWFnZT48L3JlY29yZD48L0Np
dGU+PENpdGU+PEF1dGhvcj5DQVJFQzwvQXV0aG9yPjxZZWFyPjIwMTE8L1llYXI+PFJlY051bT40
MTE8L1JlY051bT48cmVjb3JkPjxyZWMtbnVtYmVyPjQxMTwvcmVjLW51bWJlcj48Zm9yZWlnbi1r
ZXlzPjxrZXkgYXBwPSJFTiIgZGItaWQ9IjBlcnh2cnpzanY1c3pxZWZhZXN2MDllNGF3eHMydDVz
YXc5MCI+NDExPC9rZXk+PC9mb3JlaWduLWtleXM+PHJlZi10eXBlIG5hbWU9IlJlcG9ydCI+Mjc8
L3JlZi10eXBlPjxjb250cmlidXRvcnM+PGF1dGhvcnM+PGF1dGhvcj5DQVJFQzwvYXV0aG9yPjwv
YXV0aG9ycz48L2NvbnRyaWJ1dG9ycz48dGl0bGVzPjx0aXRsZT5HYXAgYW5hbHlzaXMgb24gYWRh
cHRhdGlvbiB0byBjbGltYXRlIGNoYW5nZSBpbiBDZW50cmFsIEFzaWEuIFByaW9yaXRpZXMsIHJl
Y29tbWVuZGF0aW9ucywgcHJhY3RpY2VzPC90aXRsZT48L3RpdGxlcz48ZGF0ZXM+PHllYXI+MjAx
MTwveWVhcj48L2RhdGVzPjxwdWItbG9jYXRpb24+QWxtYXR5PC9wdWItbG9jYXRpb24+PHB1Ymxp
c2hlcj5SZWdpb25hbCBFbnZpcm9ubWVudGFsIENlbnRyZSBmb3IgQ2VudHJhbCBBc2lhPC9wdWJs
aXNoZXI+PHVybHM+PHJlbGF0ZWQtdXJscz48dXJsPmh0dHA6Ly93d3cuY2FyZWNuZXQub3JnL2Fz
c2V0cy9maWxlcy9Bc2lhX1BhY2lmaWNfTmV0d29yay9lbmcvR2FwX0FuYWx5c2lzX0FkYXB0YXRp
b24ucGRmPC91cmw+PC9yZWxhdGVkLXVybHM+PC91cmxzPjwvcmVjb3JkPjwvQ2l0ZT48L0VuZE5v
dGU+
</w:fldData>
        </w:fldChar>
      </w:r>
      <w:r w:rsidRPr="003B3A90">
        <w:rPr>
          <w:rFonts w:cstheme="minorHAnsi"/>
          <w:lang w:val="en-US"/>
        </w:rPr>
        <w:instrText xml:space="preserve"> ADDIN EN.CITE.DATA </w:instrText>
      </w:r>
      <w:r w:rsidR="00E71FB7" w:rsidRPr="003B3A90">
        <w:rPr>
          <w:rFonts w:cstheme="minorHAnsi"/>
        </w:rPr>
      </w:r>
      <w:r w:rsidR="00E71FB7" w:rsidRPr="003B3A90">
        <w:rPr>
          <w:rFonts w:cstheme="minorHAnsi"/>
        </w:rPr>
        <w:fldChar w:fldCharType="end"/>
      </w:r>
      <w:r w:rsidR="00E71FB7" w:rsidRPr="003B3A90">
        <w:rPr>
          <w:rFonts w:cstheme="minorHAnsi"/>
        </w:rPr>
      </w:r>
      <w:r w:rsidR="00E71FB7" w:rsidRPr="003B3A90">
        <w:rPr>
          <w:rFonts w:cstheme="minorHAnsi"/>
        </w:rPr>
        <w:fldChar w:fldCharType="separate"/>
      </w:r>
      <w:r w:rsidRPr="003B3A90">
        <w:rPr>
          <w:rFonts w:cstheme="minorHAnsi"/>
          <w:noProof/>
          <w:lang w:val="en-US"/>
        </w:rPr>
        <w:t>(</w:t>
      </w:r>
      <w:hyperlink w:anchor="_ENREF_28" w:tooltip="Ososkova, 2000 #136" w:history="1">
        <w:r w:rsidR="002C46A7" w:rsidRPr="003B3A90">
          <w:rPr>
            <w:rFonts w:cstheme="minorHAnsi"/>
            <w:noProof/>
            <w:lang w:val="en-US"/>
          </w:rPr>
          <w:t>Ososkova</w:t>
        </w:r>
        <w:r w:rsidR="002C46A7" w:rsidRPr="003B3A90">
          <w:rPr>
            <w:rFonts w:cstheme="minorHAnsi"/>
            <w:i/>
            <w:noProof/>
            <w:lang w:val="en-US"/>
          </w:rPr>
          <w:t xml:space="preserve"> et al.</w:t>
        </w:r>
        <w:r w:rsidR="002C46A7" w:rsidRPr="003B3A90">
          <w:rPr>
            <w:rFonts w:cstheme="minorHAnsi"/>
            <w:noProof/>
            <w:lang w:val="en-US"/>
          </w:rPr>
          <w:t>, 2000</w:t>
        </w:r>
      </w:hyperlink>
      <w:r w:rsidRPr="003B3A90">
        <w:rPr>
          <w:rFonts w:cstheme="minorHAnsi"/>
          <w:noProof/>
          <w:lang w:val="en-US"/>
        </w:rPr>
        <w:t xml:space="preserve">; </w:t>
      </w:r>
      <w:hyperlink w:anchor="_ENREF_31" w:tooltip="Savoskul, 2004 #329" w:history="1">
        <w:r w:rsidR="002C46A7" w:rsidRPr="003B3A90">
          <w:rPr>
            <w:rFonts w:cstheme="minorHAnsi"/>
            <w:noProof/>
            <w:lang w:val="en-US"/>
          </w:rPr>
          <w:t>Savoskul</w:t>
        </w:r>
        <w:r w:rsidR="002C46A7" w:rsidRPr="003B3A90">
          <w:rPr>
            <w:rFonts w:cstheme="minorHAnsi"/>
            <w:i/>
            <w:noProof/>
            <w:lang w:val="en-US"/>
          </w:rPr>
          <w:t xml:space="preserve"> et al.</w:t>
        </w:r>
        <w:r w:rsidR="002C46A7" w:rsidRPr="003B3A90">
          <w:rPr>
            <w:rFonts w:cstheme="minorHAnsi"/>
            <w:noProof/>
            <w:lang w:val="en-US"/>
          </w:rPr>
          <w:t>, 2004</w:t>
        </w:r>
      </w:hyperlink>
      <w:r w:rsidRPr="003B3A90">
        <w:rPr>
          <w:rFonts w:cstheme="minorHAnsi"/>
          <w:noProof/>
          <w:lang w:val="en-US"/>
        </w:rPr>
        <w:t xml:space="preserve">; </w:t>
      </w:r>
      <w:hyperlink w:anchor="_ENREF_13" w:tooltip="Chub, 2007 #123" w:history="1">
        <w:r w:rsidR="002C46A7" w:rsidRPr="003B3A90">
          <w:rPr>
            <w:rFonts w:cstheme="minorHAnsi"/>
            <w:noProof/>
            <w:lang w:val="en-US"/>
          </w:rPr>
          <w:t>Chub, 2007</w:t>
        </w:r>
      </w:hyperlink>
      <w:r w:rsidRPr="003B3A90">
        <w:rPr>
          <w:rFonts w:cstheme="minorHAnsi"/>
          <w:noProof/>
          <w:lang w:val="en-US"/>
        </w:rPr>
        <w:t xml:space="preserve">; </w:t>
      </w:r>
      <w:hyperlink w:anchor="_ENREF_9" w:tooltip="CAREC, 2011 #411" w:history="1">
        <w:r w:rsidR="002C46A7" w:rsidRPr="003B3A90">
          <w:rPr>
            <w:rFonts w:cstheme="minorHAnsi"/>
            <w:noProof/>
            <w:lang w:val="en-US"/>
          </w:rPr>
          <w:t>CAREC, 2011</w:t>
        </w:r>
      </w:hyperlink>
      <w:r w:rsidRPr="003B3A90">
        <w:rPr>
          <w:rFonts w:cstheme="minorHAnsi"/>
          <w:noProof/>
          <w:lang w:val="en-US"/>
        </w:rPr>
        <w:t xml:space="preserve">; </w:t>
      </w:r>
      <w:hyperlink w:anchor="_ENREF_34" w:tooltip="Swinnen, 2011 #348" w:history="1">
        <w:r w:rsidR="002C46A7" w:rsidRPr="003B3A90">
          <w:rPr>
            <w:rFonts w:cstheme="minorHAnsi"/>
            <w:noProof/>
            <w:lang w:val="en-US"/>
          </w:rPr>
          <w:t>Swinnen and Herck, 2011</w:t>
        </w:r>
      </w:hyperlink>
      <w:r w:rsidRPr="003B3A90">
        <w:rPr>
          <w:rFonts w:cstheme="minorHAnsi"/>
          <w:noProof/>
          <w:lang w:val="en-US"/>
        </w:rPr>
        <w:t xml:space="preserve">; </w:t>
      </w:r>
      <w:hyperlink w:anchor="_ENREF_32" w:tooltip="Siegfried, 2012 #328" w:history="1">
        <w:r w:rsidR="002C46A7" w:rsidRPr="003B3A90">
          <w:rPr>
            <w:rFonts w:cstheme="minorHAnsi"/>
            <w:noProof/>
            <w:lang w:val="en-US"/>
          </w:rPr>
          <w:t>Siegfried</w:t>
        </w:r>
        <w:r w:rsidR="002C46A7" w:rsidRPr="003B3A90">
          <w:rPr>
            <w:rFonts w:cstheme="minorHAnsi"/>
            <w:i/>
            <w:noProof/>
            <w:lang w:val="en-US"/>
          </w:rPr>
          <w:t xml:space="preserve"> et al.</w:t>
        </w:r>
        <w:r w:rsidR="002C46A7" w:rsidRPr="003B3A90">
          <w:rPr>
            <w:rFonts w:cstheme="minorHAnsi"/>
            <w:noProof/>
            <w:lang w:val="en-US"/>
          </w:rPr>
          <w:t>, 2012</w:t>
        </w:r>
      </w:hyperlink>
      <w:r w:rsidRPr="003B3A90">
        <w:rPr>
          <w:rFonts w:cstheme="minorHAnsi"/>
          <w:noProof/>
          <w:lang w:val="en-US"/>
        </w:rPr>
        <w:t>)</w:t>
      </w:r>
      <w:r w:rsidR="00E71FB7" w:rsidRPr="003B3A90">
        <w:rPr>
          <w:rFonts w:cstheme="minorHAnsi"/>
        </w:rPr>
        <w:fldChar w:fldCharType="end"/>
      </w:r>
      <w:r w:rsidRPr="003B3A90">
        <w:rPr>
          <w:rFonts w:cstheme="minorHAnsi"/>
          <w:lang w:val="en-US"/>
        </w:rPr>
        <w:t xml:space="preserve">. We have considered the maximum level of 30 % reduction predicted by these studies in order to account for predicted water use increase associated with increased water demand (e.g. construction of water dams) in the upstream regions </w:t>
      </w:r>
      <w:r w:rsidR="00E71FB7" w:rsidRPr="003B3A90">
        <w:rPr>
          <w:rFonts w:cstheme="minorHAnsi"/>
        </w:rPr>
        <w:fldChar w:fldCharType="begin">
          <w:fldData xml:space="preserve">PEVuZE5vdGU+PENpdGU+PEF1dGhvcj5Fc2hjaGFub3Y8L0F1dGhvcj48WWVhcj4yMDExPC9ZZWFy
PjxSZWNOdW0+Mjc8L1JlY051bT48RGlzcGxheVRleHQ+KEVzaGNoYW5vdjxzdHlsZSBmYWNlPSJp
dGFsaWMiPiBldCBhbC48L3N0eWxlPiwgMjAxMTsgU2llZ2ZyaWVkPHN0eWxlIGZhY2U9Iml0YWxp
YyI+IGV0IGFsLjwvc3R5bGU+LCAyMDEyKTwvRGlzcGxheVRleHQ+PHJlY29yZD48cmVjLW51bWJl
cj4yNzwvcmVjLW51bWJlcj48Zm9yZWlnbi1rZXlzPjxrZXkgYXBwPSJFTiIgZGItaWQ9IjlwMHRz
YWV3eXJydzk4ZWR3ZXRwcHpwamU5OXJkZGR3eHh0eCI+Mjc8L2tleT48L2ZvcmVpZ24ta2V5cz48
cmVmLXR5cGUgbmFtZT0iSm91cm5hbCBBcnRpY2xlIj4xNzwvcmVmLXR5cGU+PGNvbnRyaWJ1dG9y
cz48YXV0aG9ycz48YXV0aG9yPkVzaGNoYW5vdiwgQi5SPC9hdXRob3I+PGF1dGhvcj5TdHVsdGpl
cywgTS5HLlAuPC9hdXRob3I+PGF1dGhvcj5TYWxhZXYsIFMuSy48L2F1dGhvcj48YXV0aG9yPkVz
aGNoYW5vdiwgUi5BLiA8L2F1dGhvcj48L2F1dGhvcnM+PC9jb250cmlidXRvcnM+PHRpdGxlcz48
dGl0bGU+Um9ndW4gRGFt4oCUUGF0aCB0byBFbmVyZ3kgSW5kZXBlbmRlbmNlIG9yIFNlY3VyaXR5
IFRocmVhdD8gPC90aXRsZT48c2Vjb25kYXJ5LXRpdGxlPlN1c3RhaW5hYmlsaXR5PC9zZWNvbmRh
cnktdGl0bGU+PC90aXRsZXM+PHBlcmlvZGljYWw+PGZ1bGwtdGl0bGU+U3VzdGFpbmFiaWxpdHk8
L2Z1bGwtdGl0bGU+PC9wZXJpb2RpY2FsPjxwYWdlcz4xNTczLTE1OTI8L3BhZ2VzPjx2b2x1bWU+
Mzwvdm9sdW1lPjxkYXRlcz48eWVhcj4yMDExPC95ZWFyPjwvZGF0ZXM+PHVybHM+PC91cmxzPjwv
cmVjb3JkPjwvQ2l0ZT48Q2l0ZT48QXV0aG9yPlNpZWdmcmllZDwvQXV0aG9yPjxZZWFyPjIwMTI8
L1llYXI+PFJlY051bT4zMjg8L1JlY051bT48cmVjb3JkPjxyZWMtbnVtYmVyPjMyODwvcmVjLW51
bWJlcj48Zm9yZWlnbi1rZXlzPjxrZXkgYXBwPSJFTiIgZGItaWQ9IjBlcnh2cnpzanY1c3pxZWZh
ZXN2MDllNGF3eHMydDVzYXc5MCI+MzI4PC9rZXk+PC9mb3JlaWduLWtleXM+PHJlZi10eXBlIG5h
bWU9IkpvdXJuYWwgQXJ0aWNsZSI+MTc8L3JlZi10eXBlPjxjb250cmlidXRvcnM+PGF1dGhvcnM+
PGF1dGhvcj5TaWVnZnJpZWQsIFRvYmlhczwvYXV0aG9yPjxhdXRob3I+QmVybmF1ZXIsIFRob21h
czwvYXV0aG9yPjxhdXRob3I+R3VpZW5uZXQsIFJlbmF1ZDwvYXV0aG9yPjxhdXRob3I+U2VsbGFy
cywgU2NvdHQ8L2F1dGhvcj48YXV0aG9yPlJvYmVydHNvbiwgQW5kcmV3VzwvYXV0aG9yPjxhdXRo
b3I+TWFua2luLCBKdXN0aW48L2F1dGhvcj48YXV0aG9yPkJhdWVyLUdvdHR3ZWluLCBQZXRlcjwv
YXV0aG9yPjxhdXRob3I+WWFrb3ZsZXYsIEFuZHJleTwvYXV0aG9yPjwvYXV0aG9ycz48L2NvbnRy
aWJ1dG9ycz48dGl0bGVzPjx0aXRsZT5XaWxsIGNsaW1hdGUgY2hhbmdlIGV4YWNlcmJhdGUgd2F0
ZXIgc3RyZXNzIGluIENlbnRyYWwgQXNpYT88L3RpdGxlPjxzZWNvbmRhcnktdGl0bGU+Q2xpbWF0
aWMgQ2hhbmdlPC9zZWNvbmRhcnktdGl0bGU+PGFsdC10aXRsZT5DbGltYXRpYyBDaGFuZ2U8L2Fs
dC10aXRsZT48L3RpdGxlcz48cGVyaW9kaWNhbD48ZnVsbC10aXRsZT5DbGltYXRpYyBDaGFuZ2U8
L2Z1bGwtdGl0bGU+PC9wZXJpb2RpY2FsPjxhbHQtcGVyaW9kaWNhbD48ZnVsbC10aXRsZT5DbGlt
YXRpYyBDaGFuZ2U8L2Z1bGwtdGl0bGU+PC9hbHQtcGVyaW9kaWNhbD48cGFnZXM+ODgxLTg5OTwv
cGFnZXM+PHZvbHVtZT4xMTI8L3ZvbHVtZT48bnVtYmVyPjMtNDwvbnVtYmVyPjxkYXRlcz48eWVh
cj4yMDEyPC95ZWFyPjxwdWItZGF0ZXM+PGRhdGU+MjAxMi8wNi8wMTwvZGF0ZT48L3B1Yi1kYXRl
cz48L2RhdGVzPjxwdWJsaXNoZXI+U3ByaW5nZXIgTmV0aGVybGFuZHM8L3B1Ymxpc2hlcj48aXNi
bj4wMTY1LTAwMDk8L2lzYm4+PHVybHM+PHJlbGF0ZWQtdXJscz48dXJsPmh0dHA6Ly9keC5kb2ku
b3JnLzEwLjEwMDcvczEwNTg0LTAxMS0wMjUzLXo8L3VybD48L3JlbGF0ZWQtdXJscz48L3VybHM+
PGVsZWN0cm9uaWMtcmVzb3VyY2UtbnVtPjEwLjEwMDcvczEwNTg0LTAxMS0wMjUzLXo8L2VsZWN0
cm9uaWMtcmVzb3VyY2UtbnVtPjxsYW5ndWFnZT5FbmdsaXNoPC9sYW5ndWFnZT48L3JlY29yZD48
L0NpdGU+PC9FbmROb3RlPn==
</w:fldData>
        </w:fldChar>
      </w:r>
      <w:r w:rsidRPr="003B3A90">
        <w:rPr>
          <w:rFonts w:cstheme="minorHAnsi"/>
          <w:lang w:val="en-US"/>
        </w:rPr>
        <w:instrText xml:space="preserve"> ADDIN EN.CITE </w:instrText>
      </w:r>
      <w:r w:rsidR="00E71FB7" w:rsidRPr="003B3A90">
        <w:rPr>
          <w:rFonts w:cstheme="minorHAnsi"/>
        </w:rPr>
        <w:fldChar w:fldCharType="begin">
          <w:fldData xml:space="preserve">PEVuZE5vdGU+PENpdGU+PEF1dGhvcj5Fc2hjaGFub3Y8L0F1dGhvcj48WWVhcj4yMDExPC9ZZWFy
PjxSZWNOdW0+Mjc8L1JlY051bT48RGlzcGxheVRleHQ+KEVzaGNoYW5vdjxzdHlsZSBmYWNlPSJp
dGFsaWMiPiBldCBhbC48L3N0eWxlPiwgMjAxMTsgU2llZ2ZyaWVkPHN0eWxlIGZhY2U9Iml0YWxp
YyI+IGV0IGFsLjwvc3R5bGU+LCAyMDEyKTwvRGlzcGxheVRleHQ+PHJlY29yZD48cmVjLW51bWJl
cj4yNzwvcmVjLW51bWJlcj48Zm9yZWlnbi1rZXlzPjxrZXkgYXBwPSJFTiIgZGItaWQ9IjlwMHRz
YWV3eXJydzk4ZWR3ZXRwcHpwamU5OXJkZGR3eHh0eCI+Mjc8L2tleT48L2ZvcmVpZ24ta2V5cz48
cmVmLXR5cGUgbmFtZT0iSm91cm5hbCBBcnRpY2xlIj4xNzwvcmVmLXR5cGU+PGNvbnRyaWJ1dG9y
cz48YXV0aG9ycz48YXV0aG9yPkVzaGNoYW5vdiwgQi5SPC9hdXRob3I+PGF1dGhvcj5TdHVsdGpl
cywgTS5HLlAuPC9hdXRob3I+PGF1dGhvcj5TYWxhZXYsIFMuSy48L2F1dGhvcj48YXV0aG9yPkVz
aGNoYW5vdiwgUi5BLiA8L2F1dGhvcj48L2F1dGhvcnM+PC9jb250cmlidXRvcnM+PHRpdGxlcz48
dGl0bGU+Um9ndW4gRGFt4oCUUGF0aCB0byBFbmVyZ3kgSW5kZXBlbmRlbmNlIG9yIFNlY3VyaXR5
IFRocmVhdD8gPC90aXRsZT48c2Vjb25kYXJ5LXRpdGxlPlN1c3RhaW5hYmlsaXR5PC9zZWNvbmRh
cnktdGl0bGU+PC90aXRsZXM+PHBlcmlvZGljYWw+PGZ1bGwtdGl0bGU+U3VzdGFpbmFiaWxpdHk8
L2Z1bGwtdGl0bGU+PC9wZXJpb2RpY2FsPjxwYWdlcz4xNTczLTE1OTI8L3BhZ2VzPjx2b2x1bWU+
Mzwvdm9sdW1lPjxkYXRlcz48eWVhcj4yMDExPC95ZWFyPjwvZGF0ZXM+PHVybHM+PC91cmxzPjwv
cmVjb3JkPjwvQ2l0ZT48Q2l0ZT48QXV0aG9yPlNpZWdmcmllZDwvQXV0aG9yPjxZZWFyPjIwMTI8
L1llYXI+PFJlY051bT4zMjg8L1JlY051bT48cmVjb3JkPjxyZWMtbnVtYmVyPjMyODwvcmVjLW51
bWJlcj48Zm9yZWlnbi1rZXlzPjxrZXkgYXBwPSJFTiIgZGItaWQ9IjBlcnh2cnpzanY1c3pxZWZh
ZXN2MDllNGF3eHMydDVzYXc5MCI+MzI4PC9rZXk+PC9mb3JlaWduLWtleXM+PHJlZi10eXBlIG5h
bWU9IkpvdXJuYWwgQXJ0aWNsZSI+MTc8L3JlZi10eXBlPjxjb250cmlidXRvcnM+PGF1dGhvcnM+
PGF1dGhvcj5TaWVnZnJpZWQsIFRvYmlhczwvYXV0aG9yPjxhdXRob3I+QmVybmF1ZXIsIFRob21h
czwvYXV0aG9yPjxhdXRob3I+R3VpZW5uZXQsIFJlbmF1ZDwvYXV0aG9yPjxhdXRob3I+U2VsbGFy
cywgU2NvdHQ8L2F1dGhvcj48YXV0aG9yPlJvYmVydHNvbiwgQW5kcmV3VzwvYXV0aG9yPjxhdXRo
b3I+TWFua2luLCBKdXN0aW48L2F1dGhvcj48YXV0aG9yPkJhdWVyLUdvdHR3ZWluLCBQZXRlcjwv
YXV0aG9yPjxhdXRob3I+WWFrb3ZsZXYsIEFuZHJleTwvYXV0aG9yPjwvYXV0aG9ycz48L2NvbnRy
aWJ1dG9ycz48dGl0bGVzPjx0aXRsZT5XaWxsIGNsaW1hdGUgY2hhbmdlIGV4YWNlcmJhdGUgd2F0
ZXIgc3RyZXNzIGluIENlbnRyYWwgQXNpYT88L3RpdGxlPjxzZWNvbmRhcnktdGl0bGU+Q2xpbWF0
aWMgQ2hhbmdlPC9zZWNvbmRhcnktdGl0bGU+PGFsdC10aXRsZT5DbGltYXRpYyBDaGFuZ2U8L2Fs
dC10aXRsZT48L3RpdGxlcz48cGVyaW9kaWNhbD48ZnVsbC10aXRsZT5DbGltYXRpYyBDaGFuZ2U8
L2Z1bGwtdGl0bGU+PC9wZXJpb2RpY2FsPjxhbHQtcGVyaW9kaWNhbD48ZnVsbC10aXRsZT5DbGlt
YXRpYyBDaGFuZ2U8L2Z1bGwtdGl0bGU+PC9hbHQtcGVyaW9kaWNhbD48cGFnZXM+ODgxLTg5OTwv
cGFnZXM+PHZvbHVtZT4xMTI8L3ZvbHVtZT48bnVtYmVyPjMtNDwvbnVtYmVyPjxkYXRlcz48eWVh
cj4yMDEyPC95ZWFyPjxwdWItZGF0ZXM+PGRhdGU+MjAxMi8wNi8wMTwvZGF0ZT48L3B1Yi1kYXRl
cz48L2RhdGVzPjxwdWJsaXNoZXI+U3ByaW5nZXIgTmV0aGVybGFuZHM8L3B1Ymxpc2hlcj48aXNi
bj4wMTY1LTAwMDk8L2lzYm4+PHVybHM+PHJlbGF0ZWQtdXJscz48dXJsPmh0dHA6Ly9keC5kb2ku
b3JnLzEwLjEwMDcvczEwNTg0LTAxMS0wMjUzLXo8L3VybD48L3JlbGF0ZWQtdXJscz48L3VybHM+
PGVsZWN0cm9uaWMtcmVzb3VyY2UtbnVtPjEwLjEwMDcvczEwNTg0LTAxMS0wMjUzLXo8L2VsZWN0
cm9uaWMtcmVzb3VyY2UtbnVtPjxsYW5ndWFnZT5FbmdsaXNoPC9sYW5ndWFnZT48L3JlY29yZD48
L0NpdGU+PC9FbmROb3RlPn==
</w:fldData>
        </w:fldChar>
      </w:r>
      <w:r w:rsidRPr="003B3A90">
        <w:rPr>
          <w:rFonts w:cstheme="minorHAnsi"/>
          <w:lang w:val="en-US"/>
        </w:rPr>
        <w:instrText xml:space="preserve"> ADDIN EN.CITE.DATA </w:instrText>
      </w:r>
      <w:r w:rsidR="00E71FB7" w:rsidRPr="003B3A90">
        <w:rPr>
          <w:rFonts w:cstheme="minorHAnsi"/>
        </w:rPr>
      </w:r>
      <w:r w:rsidR="00E71FB7" w:rsidRPr="003B3A90">
        <w:rPr>
          <w:rFonts w:cstheme="minorHAnsi"/>
        </w:rPr>
        <w:fldChar w:fldCharType="end"/>
      </w:r>
      <w:r w:rsidR="00E71FB7" w:rsidRPr="003B3A90">
        <w:rPr>
          <w:rFonts w:cstheme="minorHAnsi"/>
        </w:rPr>
      </w:r>
      <w:r w:rsidR="00E71FB7" w:rsidRPr="003B3A90">
        <w:rPr>
          <w:rFonts w:cstheme="minorHAnsi"/>
        </w:rPr>
        <w:fldChar w:fldCharType="separate"/>
      </w:r>
      <w:r w:rsidRPr="003B3A90">
        <w:rPr>
          <w:rFonts w:cstheme="minorHAnsi"/>
          <w:noProof/>
          <w:lang w:val="en-US"/>
        </w:rPr>
        <w:t>(</w:t>
      </w:r>
      <w:hyperlink w:anchor="_ENREF_17" w:tooltip="Eshchanov, 2011 #27" w:history="1">
        <w:r w:rsidR="002C46A7" w:rsidRPr="003B3A90">
          <w:rPr>
            <w:rFonts w:cstheme="minorHAnsi"/>
            <w:noProof/>
            <w:lang w:val="en-US"/>
          </w:rPr>
          <w:t>Eshchanov</w:t>
        </w:r>
        <w:r w:rsidR="002C46A7" w:rsidRPr="003B3A90">
          <w:rPr>
            <w:rFonts w:cstheme="minorHAnsi"/>
            <w:i/>
            <w:noProof/>
            <w:lang w:val="en-US"/>
          </w:rPr>
          <w:t xml:space="preserve"> et al.</w:t>
        </w:r>
        <w:r w:rsidR="002C46A7" w:rsidRPr="003B3A90">
          <w:rPr>
            <w:rFonts w:cstheme="minorHAnsi"/>
            <w:noProof/>
            <w:lang w:val="en-US"/>
          </w:rPr>
          <w:t>, 2011</w:t>
        </w:r>
      </w:hyperlink>
      <w:r w:rsidRPr="003B3A90">
        <w:rPr>
          <w:rFonts w:cstheme="minorHAnsi"/>
          <w:noProof/>
          <w:lang w:val="en-US"/>
        </w:rPr>
        <w:t xml:space="preserve">; </w:t>
      </w:r>
      <w:hyperlink w:anchor="_ENREF_32" w:tooltip="Siegfried, 2012 #328" w:history="1">
        <w:r w:rsidR="002C46A7" w:rsidRPr="003B3A90">
          <w:rPr>
            <w:rFonts w:cstheme="minorHAnsi"/>
            <w:noProof/>
            <w:lang w:val="en-US"/>
          </w:rPr>
          <w:t>Siegfried</w:t>
        </w:r>
        <w:r w:rsidR="002C46A7" w:rsidRPr="003B3A90">
          <w:rPr>
            <w:rFonts w:cstheme="minorHAnsi"/>
            <w:i/>
            <w:noProof/>
            <w:lang w:val="en-US"/>
          </w:rPr>
          <w:t xml:space="preserve"> et al.</w:t>
        </w:r>
        <w:r w:rsidR="002C46A7" w:rsidRPr="003B3A90">
          <w:rPr>
            <w:rFonts w:cstheme="minorHAnsi"/>
            <w:noProof/>
            <w:lang w:val="en-US"/>
          </w:rPr>
          <w:t>, 2012</w:t>
        </w:r>
      </w:hyperlink>
      <w:r w:rsidRPr="003B3A90">
        <w:rPr>
          <w:rFonts w:cstheme="minorHAnsi"/>
          <w:noProof/>
          <w:lang w:val="en-US"/>
        </w:rPr>
        <w:t>)</w:t>
      </w:r>
      <w:r w:rsidR="00E71FB7" w:rsidRPr="003B3A90">
        <w:rPr>
          <w:rFonts w:cstheme="minorHAnsi"/>
        </w:rPr>
        <w:fldChar w:fldCharType="end"/>
      </w:r>
      <w:r w:rsidRPr="003B3A90">
        <w:rPr>
          <w:rFonts w:cstheme="minorHAnsi"/>
          <w:lang w:val="en-US"/>
        </w:rPr>
        <w:t>.</w:t>
      </w:r>
    </w:p>
    <w:p w:rsidR="001724BE" w:rsidRPr="00171A7D" w:rsidRDefault="001724BE" w:rsidP="00104719">
      <w:pPr>
        <w:spacing w:line="360" w:lineRule="auto"/>
        <w:jc w:val="both"/>
        <w:rPr>
          <w:rFonts w:cstheme="minorHAnsi"/>
          <w:lang w:val="en-US"/>
        </w:rPr>
      </w:pPr>
      <w:r w:rsidRPr="00171A7D">
        <w:rPr>
          <w:rFonts w:cstheme="minorHAnsi"/>
          <w:lang w:val="en-US"/>
        </w:rPr>
        <w:t xml:space="preserve">Observed current (mean) income (i.e. baseline scenario) presented in </w:t>
      </w:r>
      <w:r>
        <w:rPr>
          <w:rFonts w:cstheme="minorHAnsi"/>
          <w:lang w:val="en-US"/>
        </w:rPr>
        <w:t xml:space="preserve">the first column of Table 4 </w:t>
      </w:r>
      <w:r w:rsidRPr="00171A7D">
        <w:rPr>
          <w:rFonts w:cstheme="minorHAnsi"/>
          <w:lang w:val="en-US"/>
        </w:rPr>
        <w:t xml:space="preserve">is considered to be 100% and changes of expected income in other scenarios are presented relative to the baseline scenario. The results presented in </w:t>
      </w:r>
      <w:r>
        <w:rPr>
          <w:rFonts w:cstheme="minorHAnsi"/>
          <w:lang w:val="en-US"/>
        </w:rPr>
        <w:t xml:space="preserve">Table 4 </w:t>
      </w:r>
      <w:r w:rsidRPr="00171A7D">
        <w:rPr>
          <w:rFonts w:cstheme="minorHAnsi"/>
          <w:lang w:val="en-US"/>
        </w:rPr>
        <w:t xml:space="preserve">show that the expected income will drop in most of the AEZs </w:t>
      </w:r>
      <w:r>
        <w:rPr>
          <w:rFonts w:cstheme="minorHAnsi"/>
          <w:lang w:val="en-US"/>
        </w:rPr>
        <w:t>under climate change scenarios</w:t>
      </w:r>
      <w:r w:rsidRPr="00171A7D">
        <w:rPr>
          <w:rFonts w:cstheme="minorHAnsi"/>
          <w:lang w:val="en-US"/>
        </w:rPr>
        <w:t xml:space="preserve">. </w:t>
      </w:r>
      <w:r w:rsidR="00C537DE">
        <w:rPr>
          <w:rFonts w:cstheme="minorHAnsi"/>
          <w:lang w:val="en-US"/>
        </w:rPr>
        <w:t>A s</w:t>
      </w:r>
      <w:r w:rsidRPr="00171A7D">
        <w:rPr>
          <w:rFonts w:cstheme="minorHAnsi"/>
          <w:lang w:val="en-US"/>
        </w:rPr>
        <w:t xml:space="preserve">harp drop in </w:t>
      </w:r>
      <w:r>
        <w:rPr>
          <w:rFonts w:cstheme="minorHAnsi"/>
          <w:lang w:val="en-US"/>
        </w:rPr>
        <w:t xml:space="preserve">revenue under A2 scenario for the period 2070-2100 (far future) in arid regions of Uzbekistan is expected. Income of farmers in semiarid regions of Uzbekistan may decline </w:t>
      </w:r>
      <w:r w:rsidRPr="00171A7D">
        <w:rPr>
          <w:rFonts w:cstheme="minorHAnsi"/>
          <w:lang w:val="en-US"/>
        </w:rPr>
        <w:t xml:space="preserve">in both </w:t>
      </w:r>
      <w:r>
        <w:rPr>
          <w:rFonts w:cstheme="minorHAnsi"/>
          <w:lang w:val="en-US"/>
        </w:rPr>
        <w:t xml:space="preserve">scenarios in the far future. </w:t>
      </w:r>
      <w:r w:rsidRPr="00171A7D">
        <w:rPr>
          <w:rFonts w:cstheme="minorHAnsi"/>
          <w:lang w:val="en-US"/>
        </w:rPr>
        <w:t>Reduced irrigation water availability may force farmers to reduce the area of high value water intensive crops and increase the area of crops with less water demand.</w:t>
      </w:r>
    </w:p>
    <w:p w:rsidR="001724BE" w:rsidRPr="004E7800" w:rsidRDefault="001724BE" w:rsidP="00104719">
      <w:pPr>
        <w:pStyle w:val="Beschriftung"/>
        <w:spacing w:line="360" w:lineRule="auto"/>
        <w:jc w:val="both"/>
        <w:rPr>
          <w:rFonts w:cstheme="minorHAnsi"/>
          <w:szCs w:val="22"/>
          <w:lang w:val="en-US"/>
        </w:rPr>
      </w:pPr>
      <w:bookmarkStart w:id="2" w:name="_Ref353343930"/>
      <w:proofErr w:type="gramStart"/>
      <w:r w:rsidRPr="004E7800">
        <w:rPr>
          <w:szCs w:val="22"/>
          <w:lang w:val="en-US"/>
        </w:rPr>
        <w:t>Table</w:t>
      </w:r>
      <w:bookmarkEnd w:id="2"/>
      <w:r>
        <w:rPr>
          <w:szCs w:val="22"/>
          <w:lang w:val="en-US"/>
        </w:rPr>
        <w:t xml:space="preserve"> 4.</w:t>
      </w:r>
      <w:proofErr w:type="gramEnd"/>
      <w:r w:rsidRPr="004E7800">
        <w:rPr>
          <w:rFonts w:cstheme="minorHAnsi"/>
          <w:szCs w:val="22"/>
          <w:lang w:val="en-US"/>
        </w:rPr>
        <w:t xml:space="preserve"> </w:t>
      </w:r>
      <w:r w:rsidRPr="00815E77">
        <w:rPr>
          <w:rFonts w:cstheme="minorHAnsi"/>
          <w:b w:val="0"/>
          <w:szCs w:val="22"/>
          <w:lang w:val="en-US"/>
        </w:rPr>
        <w:t xml:space="preserve">Percentage changes of expected utilities (revenues) </w:t>
      </w:r>
      <w:r>
        <w:rPr>
          <w:rFonts w:cstheme="minorHAnsi"/>
          <w:b w:val="0"/>
          <w:szCs w:val="22"/>
          <w:lang w:val="en-US"/>
        </w:rPr>
        <w:t>to the baseline scenario</w:t>
      </w:r>
    </w:p>
    <w:tbl>
      <w:tblPr>
        <w:tblW w:w="84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1724BE" w:rsidRPr="00306C5C" w:rsidTr="00BB63FF">
        <w:trPr>
          <w:trHeight w:val="660"/>
        </w:trPr>
        <w:tc>
          <w:tcPr>
            <w:tcW w:w="1200" w:type="dxa"/>
            <w:tcBorders>
              <w:top w:val="single" w:sz="8" w:space="0" w:color="auto"/>
              <w:left w:val="nil"/>
              <w:bottom w:val="single" w:sz="8" w:space="0" w:color="auto"/>
              <w:right w:val="nil"/>
            </w:tcBorders>
            <w:shd w:val="clear" w:color="auto" w:fill="auto"/>
            <w:noWrap/>
            <w:vAlign w:val="bottom"/>
            <w:hideMark/>
          </w:tcPr>
          <w:p w:rsidR="001724BE" w:rsidRPr="001068EA" w:rsidRDefault="001724BE" w:rsidP="00104719">
            <w:pPr>
              <w:spacing w:after="0" w:line="240" w:lineRule="auto"/>
              <w:jc w:val="both"/>
              <w:rPr>
                <w:rFonts w:ascii="Calibri" w:eastAsia="Times New Roman" w:hAnsi="Calibri" w:cs="Times New Roman"/>
                <w:color w:val="000000"/>
                <w:lang w:val="en-US" w:eastAsia="de-DE"/>
              </w:rPr>
            </w:pPr>
            <w:r w:rsidRPr="001068EA">
              <w:rPr>
                <w:rFonts w:ascii="Calibri" w:eastAsia="Times New Roman" w:hAnsi="Calibri" w:cs="Times New Roman"/>
                <w:color w:val="000000"/>
                <w:lang w:val="en-US" w:eastAsia="de-DE"/>
              </w:rPr>
              <w:t> </w:t>
            </w:r>
          </w:p>
        </w:tc>
        <w:tc>
          <w:tcPr>
            <w:tcW w:w="1200" w:type="dxa"/>
            <w:tcBorders>
              <w:top w:val="single" w:sz="8" w:space="0" w:color="auto"/>
              <w:left w:val="nil"/>
              <w:bottom w:val="single" w:sz="8" w:space="0" w:color="auto"/>
              <w:right w:val="nil"/>
            </w:tcBorders>
            <w:shd w:val="clear" w:color="auto" w:fill="auto"/>
            <w:noWrap/>
            <w:vAlign w:val="bottom"/>
            <w:hideMark/>
          </w:tcPr>
          <w:p w:rsidR="001724BE" w:rsidRPr="001068EA" w:rsidRDefault="001724BE" w:rsidP="00104719">
            <w:pPr>
              <w:spacing w:after="0" w:line="240" w:lineRule="auto"/>
              <w:jc w:val="both"/>
              <w:rPr>
                <w:rFonts w:ascii="Calibri" w:eastAsia="Times New Roman" w:hAnsi="Calibri" w:cs="Times New Roman"/>
                <w:color w:val="000000"/>
                <w:lang w:val="en-US" w:eastAsia="de-DE"/>
              </w:rPr>
            </w:pPr>
            <w:r w:rsidRPr="001068EA">
              <w:rPr>
                <w:rFonts w:ascii="Calibri" w:eastAsia="Times New Roman" w:hAnsi="Calibri" w:cs="Times New Roman"/>
                <w:color w:val="000000"/>
                <w:lang w:val="en-US" w:eastAsia="de-DE"/>
              </w:rPr>
              <w:t> </w:t>
            </w:r>
          </w:p>
        </w:tc>
        <w:tc>
          <w:tcPr>
            <w:tcW w:w="1200" w:type="dxa"/>
            <w:tcBorders>
              <w:top w:val="single" w:sz="8" w:space="0" w:color="auto"/>
              <w:left w:val="nil"/>
              <w:bottom w:val="single" w:sz="8" w:space="0" w:color="auto"/>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Base</w:t>
            </w:r>
            <w:r>
              <w:rPr>
                <w:rFonts w:ascii="Calibri" w:eastAsia="Times New Roman" w:hAnsi="Calibri" w:cs="Times New Roman"/>
                <w:color w:val="000000"/>
                <w:lang w:eastAsia="de-DE"/>
              </w:rPr>
              <w:t>line</w:t>
            </w:r>
            <w:r w:rsidRPr="00306C5C">
              <w:rPr>
                <w:rFonts w:ascii="Calibri" w:eastAsia="Times New Roman" w:hAnsi="Calibri" w:cs="Times New Roman"/>
                <w:color w:val="000000"/>
                <w:lang w:eastAsia="de-DE"/>
              </w:rPr>
              <w:t>, USD ha</w:t>
            </w:r>
            <w:r w:rsidRPr="00306C5C">
              <w:rPr>
                <w:rFonts w:ascii="Calibri" w:eastAsia="Times New Roman" w:hAnsi="Calibri" w:cs="Times New Roman"/>
                <w:color w:val="000000"/>
                <w:vertAlign w:val="superscript"/>
                <w:lang w:eastAsia="de-DE"/>
              </w:rPr>
              <w:t>-1</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A1b (2010-2040)</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A1b (2070-2100)</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A2 (2010-2040)</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A2 (2070-2100)</w:t>
            </w:r>
          </w:p>
        </w:tc>
      </w:tr>
      <w:tr w:rsidR="001724BE" w:rsidRPr="00306C5C" w:rsidTr="00BB63FF">
        <w:trPr>
          <w:trHeight w:val="300"/>
        </w:trPr>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Calibri"/>
                <w:color w:val="000000"/>
                <w:lang w:eastAsia="de-DE"/>
              </w:rPr>
              <w:t>Uzbekistan</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Calibri"/>
                <w:color w:val="000000"/>
                <w:lang w:eastAsia="de-DE"/>
              </w:rPr>
              <w:t>arid</w:t>
            </w:r>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418,2</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14,7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25,5</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15,1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-57,5</w:t>
            </w:r>
          </w:p>
        </w:tc>
      </w:tr>
      <w:tr w:rsidR="001724BE" w:rsidRPr="00306C5C" w:rsidTr="00BB63FF">
        <w:trPr>
          <w:trHeight w:val="300"/>
        </w:trPr>
        <w:tc>
          <w:tcPr>
            <w:tcW w:w="1200" w:type="dxa"/>
            <w:tcBorders>
              <w:top w:val="nil"/>
              <w:left w:val="nil"/>
              <w:bottom w:val="nil"/>
              <w:right w:val="nil"/>
            </w:tcBorders>
            <w:shd w:val="clear" w:color="auto" w:fill="auto"/>
            <w:noWrap/>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Calibri"/>
                <w:color w:val="000000"/>
                <w:lang w:eastAsia="de-DE"/>
              </w:rPr>
              <w:t>semiarid</w:t>
            </w:r>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472,9</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10,7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-25,5</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21,2</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-42,6</w:t>
            </w:r>
          </w:p>
        </w:tc>
      </w:tr>
      <w:tr w:rsidR="001724BE" w:rsidRPr="00306C5C" w:rsidTr="00BB63FF">
        <w:trPr>
          <w:trHeight w:val="300"/>
        </w:trPr>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Calibri"/>
                <w:color w:val="000000"/>
                <w:lang w:eastAsia="de-DE"/>
              </w:rPr>
              <w:t>Kazakhstan</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Calibri"/>
                <w:color w:val="000000"/>
                <w:lang w:eastAsia="de-DE"/>
              </w:rPr>
              <w:t>arid</w:t>
            </w:r>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365,3</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-11,6</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-5,4</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0,1</w:t>
            </w:r>
          </w:p>
        </w:tc>
      </w:tr>
      <w:tr w:rsidR="001724BE" w:rsidRPr="00306C5C" w:rsidTr="00BB63FF">
        <w:trPr>
          <w:trHeight w:val="300"/>
        </w:trPr>
        <w:tc>
          <w:tcPr>
            <w:tcW w:w="1200" w:type="dxa"/>
            <w:tcBorders>
              <w:top w:val="nil"/>
              <w:left w:val="nil"/>
              <w:bottom w:val="nil"/>
              <w:right w:val="nil"/>
            </w:tcBorders>
            <w:shd w:val="clear" w:color="auto" w:fill="auto"/>
            <w:noWrap/>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Calibri"/>
                <w:color w:val="000000"/>
                <w:lang w:eastAsia="de-DE"/>
              </w:rPr>
              <w:t>semiarid</w:t>
            </w:r>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553,6</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3,2</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11,1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w:t>
            </w:r>
          </w:p>
        </w:tc>
      </w:tr>
      <w:tr w:rsidR="001724BE" w:rsidRPr="00306C5C" w:rsidTr="00BB63FF">
        <w:trPr>
          <w:trHeight w:val="300"/>
        </w:trPr>
        <w:tc>
          <w:tcPr>
            <w:tcW w:w="1200" w:type="dxa"/>
            <w:tcBorders>
              <w:top w:val="nil"/>
              <w:left w:val="nil"/>
              <w:bottom w:val="nil"/>
              <w:right w:val="nil"/>
            </w:tcBorders>
            <w:shd w:val="clear" w:color="auto" w:fill="auto"/>
            <w:noWrap/>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Calibri"/>
                <w:color w:val="000000"/>
                <w:lang w:eastAsia="de-DE"/>
              </w:rPr>
              <w:t>subhumid</w:t>
            </w:r>
            <w:proofErr w:type="spellEnd"/>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129,2</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38,9</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77,7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74,5</w:t>
            </w:r>
          </w:p>
        </w:tc>
      </w:tr>
      <w:tr w:rsidR="001724BE" w:rsidRPr="00306C5C" w:rsidTr="00BB63FF">
        <w:trPr>
          <w:trHeight w:val="300"/>
        </w:trPr>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Calibri"/>
                <w:color w:val="000000"/>
                <w:lang w:eastAsia="de-DE"/>
              </w:rPr>
              <w:t>Tajikistan</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Calibri"/>
                <w:color w:val="000000"/>
                <w:lang w:eastAsia="de-DE"/>
              </w:rPr>
              <w:t>arid</w:t>
            </w:r>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534,1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-28</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-30,1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-30,7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-34,6</w:t>
            </w:r>
          </w:p>
        </w:tc>
      </w:tr>
      <w:tr w:rsidR="001724BE" w:rsidRPr="00306C5C" w:rsidTr="00BB63FF">
        <w:trPr>
          <w:trHeight w:val="300"/>
        </w:trPr>
        <w:tc>
          <w:tcPr>
            <w:tcW w:w="1200" w:type="dxa"/>
            <w:tcBorders>
              <w:top w:val="nil"/>
              <w:left w:val="nil"/>
              <w:bottom w:val="nil"/>
              <w:right w:val="nil"/>
            </w:tcBorders>
            <w:shd w:val="clear" w:color="auto" w:fill="auto"/>
            <w:noWrap/>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Calibri"/>
                <w:color w:val="000000"/>
                <w:lang w:eastAsia="de-DE"/>
              </w:rPr>
              <w:t>semiarid</w:t>
            </w:r>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111,1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49,5</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122,3</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58,8</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153,2</w:t>
            </w:r>
          </w:p>
        </w:tc>
      </w:tr>
      <w:tr w:rsidR="001724BE" w:rsidRPr="00306C5C" w:rsidTr="00BB63FF">
        <w:trPr>
          <w:trHeight w:val="300"/>
        </w:trPr>
        <w:tc>
          <w:tcPr>
            <w:tcW w:w="1200" w:type="dxa"/>
            <w:tcBorders>
              <w:top w:val="nil"/>
              <w:left w:val="nil"/>
              <w:bottom w:val="nil"/>
              <w:right w:val="nil"/>
            </w:tcBorders>
            <w:shd w:val="clear" w:color="auto" w:fill="auto"/>
            <w:noWrap/>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Calibri"/>
                <w:color w:val="000000"/>
                <w:lang w:eastAsia="de-DE"/>
              </w:rPr>
              <w:t>humid</w:t>
            </w:r>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372,7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17,1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29,5</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13,2</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30</w:t>
            </w:r>
          </w:p>
        </w:tc>
      </w:tr>
      <w:tr w:rsidR="001724BE" w:rsidRPr="00306C5C" w:rsidTr="00BB63FF">
        <w:trPr>
          <w:trHeight w:val="300"/>
        </w:trPr>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Calibri"/>
                <w:color w:val="000000"/>
                <w:lang w:eastAsia="de-DE"/>
              </w:rPr>
              <w:t>Kyrgyzstan</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Calibri"/>
                <w:color w:val="000000"/>
                <w:lang w:eastAsia="de-DE"/>
              </w:rPr>
              <w:t>semiarid</w:t>
            </w:r>
          </w:p>
        </w:tc>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512,1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-14,6</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7,3</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-14,5</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11,3</w:t>
            </w:r>
          </w:p>
        </w:tc>
      </w:tr>
      <w:tr w:rsidR="001724BE" w:rsidRPr="00306C5C" w:rsidTr="00BB63FF">
        <w:trPr>
          <w:trHeight w:val="315"/>
        </w:trPr>
        <w:tc>
          <w:tcPr>
            <w:tcW w:w="1200" w:type="dxa"/>
            <w:tcBorders>
              <w:top w:val="nil"/>
              <w:left w:val="nil"/>
              <w:bottom w:val="single" w:sz="8" w:space="0" w:color="auto"/>
              <w:right w:val="nil"/>
            </w:tcBorders>
            <w:shd w:val="clear" w:color="auto" w:fill="auto"/>
            <w:noWrap/>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 </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Calibri"/>
                <w:color w:val="000000"/>
                <w:lang w:eastAsia="de-DE"/>
              </w:rPr>
              <w:t>subhumid</w:t>
            </w:r>
            <w:proofErr w:type="spellEnd"/>
          </w:p>
        </w:tc>
        <w:tc>
          <w:tcPr>
            <w:tcW w:w="1200" w:type="dxa"/>
            <w:tcBorders>
              <w:top w:val="nil"/>
              <w:left w:val="nil"/>
              <w:bottom w:val="single" w:sz="8" w:space="0" w:color="auto"/>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662,8</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5,6</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24,6</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14,3</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22,4</w:t>
            </w:r>
          </w:p>
        </w:tc>
      </w:tr>
    </w:tbl>
    <w:p w:rsidR="001724BE" w:rsidRPr="004E7800" w:rsidRDefault="001724BE" w:rsidP="00104719">
      <w:pPr>
        <w:spacing w:after="100" w:afterAutospacing="1" w:line="360" w:lineRule="auto"/>
        <w:jc w:val="both"/>
        <w:rPr>
          <w:rFonts w:cstheme="minorHAnsi"/>
        </w:rPr>
      </w:pPr>
    </w:p>
    <w:p w:rsidR="001724BE" w:rsidRPr="00171A7D" w:rsidRDefault="001724BE" w:rsidP="00104719">
      <w:pPr>
        <w:spacing w:after="240" w:line="360" w:lineRule="auto"/>
        <w:jc w:val="both"/>
        <w:rPr>
          <w:rFonts w:cstheme="minorHAnsi"/>
          <w:lang w:val="en-US"/>
        </w:rPr>
      </w:pPr>
      <w:r w:rsidRPr="00171A7D">
        <w:rPr>
          <w:rFonts w:cstheme="minorHAnsi"/>
          <w:lang w:val="en-US"/>
        </w:rPr>
        <w:t xml:space="preserve">There is also some decline observed in the expected </w:t>
      </w:r>
      <w:r w:rsidR="00CF540D">
        <w:rPr>
          <w:rFonts w:cstheme="minorHAnsi"/>
          <w:lang w:val="en-US"/>
        </w:rPr>
        <w:t>utility i</w:t>
      </w:r>
      <w:r w:rsidRPr="00171A7D">
        <w:rPr>
          <w:rFonts w:cstheme="minorHAnsi"/>
          <w:lang w:val="en-US"/>
        </w:rPr>
        <w:t xml:space="preserve">n arid and semiarid farming systems in Kazakhstan. However, the decline of the expected utility is not as drastic as observed in the case of Uzbekistan. </w:t>
      </w:r>
      <w:r w:rsidR="00CF540D">
        <w:rPr>
          <w:rFonts w:cstheme="minorHAnsi"/>
          <w:lang w:val="en-US"/>
        </w:rPr>
        <w:t xml:space="preserve">Increased </w:t>
      </w:r>
      <w:r w:rsidRPr="00171A7D">
        <w:rPr>
          <w:rFonts w:cstheme="minorHAnsi"/>
          <w:lang w:val="en-US"/>
        </w:rPr>
        <w:t>rainfall in the largest part of Kazakhstan may offset the negative impact of reduced irrigation water availability in the future. Expected reduced irrigation water supply should not create much concern in the humid zones of Kazakhstan since the importance of irrigation is very limited due to favorable rainfall conditions.</w:t>
      </w:r>
    </w:p>
    <w:p w:rsidR="001724BE" w:rsidRPr="00171A7D" w:rsidRDefault="001724BE" w:rsidP="00104719">
      <w:pPr>
        <w:spacing w:after="240" w:line="360" w:lineRule="auto"/>
        <w:jc w:val="both"/>
        <w:rPr>
          <w:rFonts w:cstheme="minorHAnsi"/>
          <w:lang w:val="en-US"/>
        </w:rPr>
      </w:pPr>
      <w:r w:rsidRPr="00171A7D">
        <w:rPr>
          <w:rFonts w:cstheme="minorHAnsi"/>
          <w:lang w:val="en-US"/>
        </w:rPr>
        <w:t>There will be negative changes in the expected utility under A1b and A2 scenarios in the near future in semiarid regions in Kyrgyzstan. Reduction of irrigation water supply might reduce expected farm utilities about 15 percent under these scenarios. However, there are no negative shifts observed for sub-humid regions due to lower irrigation water demand compared to the semiarid zone. A similar pattern of change is also identified in the arid zone in Tajikistan</w:t>
      </w:r>
      <w:r>
        <w:rPr>
          <w:rFonts w:cstheme="minorHAnsi"/>
          <w:lang w:val="en-US"/>
        </w:rPr>
        <w:t>.</w:t>
      </w:r>
    </w:p>
    <w:p w:rsidR="001724BE" w:rsidRDefault="001724BE" w:rsidP="00104719">
      <w:pPr>
        <w:spacing w:line="360" w:lineRule="auto"/>
        <w:jc w:val="both"/>
        <w:rPr>
          <w:rFonts w:cstheme="minorHAnsi"/>
          <w:lang w:val="en-US"/>
        </w:rPr>
      </w:pPr>
      <w:r w:rsidRPr="00171A7D">
        <w:rPr>
          <w:rFonts w:cstheme="minorHAnsi"/>
          <w:lang w:val="en-US"/>
        </w:rPr>
        <w:t>The results under scenario</w:t>
      </w:r>
      <w:r>
        <w:rPr>
          <w:rFonts w:cstheme="minorHAnsi"/>
          <w:lang w:val="en-US"/>
        </w:rPr>
        <w:t xml:space="preserve"> simulation</w:t>
      </w:r>
      <w:r w:rsidRPr="00171A7D">
        <w:rPr>
          <w:rFonts w:cstheme="minorHAnsi"/>
          <w:lang w:val="en-US"/>
        </w:rPr>
        <w:t xml:space="preserve"> show that farmers in arid regions are very vulnerable to risk associated with irrigation water availability. </w:t>
      </w:r>
      <w:r>
        <w:rPr>
          <w:rFonts w:cstheme="minorHAnsi"/>
          <w:lang w:val="en-US"/>
        </w:rPr>
        <w:t xml:space="preserve">Climate change </w:t>
      </w:r>
      <w:r w:rsidRPr="00171A7D">
        <w:rPr>
          <w:rFonts w:cstheme="minorHAnsi"/>
          <w:lang w:val="en-US"/>
        </w:rPr>
        <w:t>may cause significant decline of farm level revenues</w:t>
      </w:r>
      <w:r>
        <w:rPr>
          <w:rFonts w:cstheme="minorHAnsi"/>
          <w:lang w:val="en-US"/>
        </w:rPr>
        <w:t xml:space="preserve"> in the future</w:t>
      </w:r>
      <w:r w:rsidRPr="00171A7D">
        <w:rPr>
          <w:rFonts w:cstheme="minorHAnsi"/>
          <w:lang w:val="en-US"/>
        </w:rPr>
        <w:t>.</w:t>
      </w:r>
      <w:r w:rsidRPr="00171A7D">
        <w:rPr>
          <w:rFonts w:cstheme="minorHAnsi"/>
          <w:bCs/>
          <w:iCs/>
          <w:lang w:val="en-US"/>
        </w:rPr>
        <w:t xml:space="preserve"> </w:t>
      </w:r>
      <w:r>
        <w:rPr>
          <w:lang w:val="en-US"/>
        </w:rPr>
        <w:t xml:space="preserve">There are several technical measures recommended by international and national research organizations in order to improve the adaptive capacity of agricultural producers. However, most of those technological solutions are not implemented due to the lack of supporting policy measures in the regions. Market integration could provide a policy environment for improving the efficiency and economic efficiency of agricultural producers. </w:t>
      </w:r>
      <w:r>
        <w:rPr>
          <w:rFonts w:cstheme="minorHAnsi"/>
          <w:bCs/>
          <w:iCs/>
          <w:lang w:val="en-US"/>
        </w:rPr>
        <w:t xml:space="preserve">Improving the </w:t>
      </w:r>
      <w:r w:rsidRPr="00171A7D">
        <w:rPr>
          <w:rFonts w:cstheme="minorHAnsi"/>
          <w:bCs/>
          <w:iCs/>
          <w:lang w:val="en-US"/>
        </w:rPr>
        <w:t xml:space="preserve">export potential of farmers </w:t>
      </w:r>
      <w:r>
        <w:rPr>
          <w:rFonts w:cstheme="minorHAnsi"/>
          <w:bCs/>
          <w:iCs/>
          <w:lang w:val="en-US"/>
        </w:rPr>
        <w:t xml:space="preserve">could be one of the important policy measures in CA to improve the adaptive capacity of agricultural producers. </w:t>
      </w:r>
      <w:r w:rsidRPr="00171A7D">
        <w:rPr>
          <w:rFonts w:cstheme="minorHAnsi"/>
          <w:bCs/>
          <w:iCs/>
          <w:lang w:val="en-US"/>
        </w:rPr>
        <w:t>Most of the agricultural products</w:t>
      </w:r>
      <w:r>
        <w:rPr>
          <w:rFonts w:cstheme="minorHAnsi"/>
          <w:bCs/>
          <w:iCs/>
          <w:lang w:val="en-US"/>
        </w:rPr>
        <w:t xml:space="preserve"> are produced</w:t>
      </w:r>
      <w:r w:rsidRPr="00171A7D">
        <w:rPr>
          <w:rFonts w:cstheme="minorHAnsi"/>
          <w:bCs/>
          <w:iCs/>
          <w:lang w:val="en-US"/>
        </w:rPr>
        <w:t xml:space="preserve"> for local consumption </w:t>
      </w:r>
      <w:r>
        <w:rPr>
          <w:rFonts w:cstheme="minorHAnsi"/>
          <w:bCs/>
          <w:iCs/>
          <w:lang w:val="en-US"/>
        </w:rPr>
        <w:t>or traded at fixed prices which are usually lower tha</w:t>
      </w:r>
      <w:r w:rsidR="00C537DE">
        <w:rPr>
          <w:rFonts w:cstheme="minorHAnsi"/>
          <w:bCs/>
          <w:iCs/>
          <w:lang w:val="en-US"/>
        </w:rPr>
        <w:t>n</w:t>
      </w:r>
      <w:r>
        <w:rPr>
          <w:rFonts w:cstheme="minorHAnsi"/>
          <w:bCs/>
          <w:iCs/>
          <w:lang w:val="en-US"/>
        </w:rPr>
        <w:t xml:space="preserve"> the world market prices.</w:t>
      </w:r>
      <w:r w:rsidRPr="00171A7D">
        <w:rPr>
          <w:rFonts w:cstheme="minorHAnsi"/>
          <w:bCs/>
          <w:iCs/>
          <w:lang w:val="en-US"/>
        </w:rPr>
        <w:t xml:space="preserve"> </w:t>
      </w:r>
      <w:r>
        <w:rPr>
          <w:rFonts w:cstheme="minorHAnsi"/>
          <w:bCs/>
          <w:iCs/>
          <w:lang w:val="en-US"/>
        </w:rPr>
        <w:t>V</w:t>
      </w:r>
      <w:r w:rsidRPr="00171A7D">
        <w:rPr>
          <w:rFonts w:cstheme="minorHAnsi"/>
          <w:bCs/>
          <w:iCs/>
          <w:lang w:val="en-US"/>
        </w:rPr>
        <w:t>ery limited regional trade between these countries exists.</w:t>
      </w:r>
      <w:r w:rsidRPr="00171A7D">
        <w:rPr>
          <w:rFonts w:cstheme="minorHAnsi"/>
          <w:lang w:val="en-US"/>
        </w:rPr>
        <w:t xml:space="preserve"> </w:t>
      </w:r>
      <w:r>
        <w:rPr>
          <w:rFonts w:cstheme="minorHAnsi"/>
          <w:lang w:val="en-US"/>
        </w:rPr>
        <w:t xml:space="preserve">In the following scenario, we analyze the impact of climate change under </w:t>
      </w:r>
      <w:r w:rsidR="00C537DE">
        <w:rPr>
          <w:rFonts w:cstheme="minorHAnsi"/>
          <w:lang w:val="en-US"/>
        </w:rPr>
        <w:t xml:space="preserve">the </w:t>
      </w:r>
      <w:r>
        <w:rPr>
          <w:rFonts w:cstheme="minorHAnsi"/>
          <w:lang w:val="en-US"/>
        </w:rPr>
        <w:t>assumption of better market links between the CA countries.</w:t>
      </w:r>
    </w:p>
    <w:p w:rsidR="001724BE" w:rsidRDefault="001724BE" w:rsidP="00104719">
      <w:pPr>
        <w:spacing w:line="360" w:lineRule="auto"/>
        <w:jc w:val="both"/>
        <w:rPr>
          <w:rFonts w:cstheme="minorHAnsi"/>
          <w:lang w:val="en-US"/>
        </w:rPr>
      </w:pPr>
      <w:r>
        <w:rPr>
          <w:rFonts w:cstheme="minorHAnsi"/>
          <w:lang w:val="en-US"/>
        </w:rPr>
        <w:t>In this scenario, we analyze climate change impact under conditions of similar prices for inputs and outputs among all CA countries. All input and output price are assumed to be equalized to their average observed in CA. Only the price of cotton is treated differently in the simulations. The price levels observed in Kazakhstan is used for Uzbekistan and Tajikistan in</w:t>
      </w:r>
      <w:r w:rsidR="00F11C3C">
        <w:rPr>
          <w:rFonts w:cstheme="minorHAnsi"/>
          <w:lang w:val="en-US"/>
        </w:rPr>
        <w:t xml:space="preserve"> the</w:t>
      </w:r>
      <w:r>
        <w:rPr>
          <w:rFonts w:cstheme="minorHAnsi"/>
          <w:lang w:val="en-US"/>
        </w:rPr>
        <w:t xml:space="preserve"> case of cotton as considered in similar studies </w:t>
      </w:r>
      <w:r w:rsidR="00E71FB7">
        <w:rPr>
          <w:rFonts w:cstheme="minorHAnsi"/>
          <w:lang w:val="en-US"/>
        </w:rPr>
        <w:fldChar w:fldCharType="begin">
          <w:fldData xml:space="preserve">PEVuZE5vdGU+PENpdGU+PEF1dGhvcj5Cb2Jvam9ub3Y8L0F1dGhvcj48WWVhcj4yMDEwPC9ZZWFy
PjxSZWNOdW0+MTE4PC9SZWNOdW0+PERpc3BsYXlUZXh0PihCb2Jvam9ub3Y8c3R5bGUgZmFjZT0i
aXRhbGljIj4gZXQgYWwuPC9zdHlsZT4sIDIwMTA7IERqYW5pYmVrb3Y8c3R5bGUgZmFjZT0iaXRh
bGljIj4gZXQgYWwuPC9zdHlsZT4sIDIwMTMpPC9EaXNwbGF5VGV4dD48cmVjb3JkPjxyZWMtbnVt
YmVyPjExODwvcmVjLW51bWJlcj48Zm9yZWlnbi1rZXlzPjxrZXkgYXBwPSJFTiIgZGItaWQ9IjBl
cnh2cnpzanY1c3pxZWZhZXN2MDllNGF3eHMydDVzYXc5MCI+MTE4PC9rZXk+PC9mb3JlaWduLWtl
eXM+PHJlZi10eXBlIG5hbWU9IkpvdXJuYWwgQXJ0aWNsZSI+MTc8L3JlZi10eXBlPjxjb250cmli
dXRvcnM+PGF1dGhvcnM+PGF1dGhvcj5Cb2Jvam9ub3YsIEkuPC9hdXRob3I+PGF1dGhvcj5GcmFu
eiwgSi4gPC9hdXRob3I+PGF1dGhvcj5CZXJnLCBFLiA8L2F1dGhvcj48YXV0aG9yPkxhbWVycywg
Si4gUC4gQS4gPC9hdXRob3I+PGF1dGhvcj5NYXJ0aXVzLCBDLiAgPC9hdXRob3I+PC9hdXRob3Jz
PjwvY29udHJpYnV0b3JzPjx0aXRsZXM+PHRpdGxlPkltcHJvdmVkIFBvbGljeSBNYWtpbmcgZm9y
IFN1c3RhaW5hYmxlIEZhcm1pbmc6IEEgQ2FzZSBTdHVkeSBvbiBJcnJpZ2F0ZWQgRHJ5bGFuZCBB
Z3JpY3VsdHVyZSBpbiBXZXN0ZXJuIFV6YmVraXN0YW4uPC90aXRsZT48c2Vjb25kYXJ5LXRpdGxl
PkpvdXJuYWwgb2YgU3VzdGFpbmFibGUgQWdyaWN1bHR1cmU8L3NlY29uZGFyeS10aXRsZT48L3Rp
dGxlcz48cGVyaW9kaWNhbD48ZnVsbC10aXRsZT5Kb3VybmFsIG9mIFN1c3RhaW5hYmxlIEFncmlj
dWx0dXJlPC9mdWxsLXRpdGxlPjwvcGVyaW9kaWNhbD48cGFnZXM+ODAwIOKAkyA4MTc8L3BhZ2Vz
Pjx2b2x1bWU+MzQ8L3ZvbHVtZT48bnVtYmVyPjc8L251bWJlcj48ZGF0ZXM+PHllYXI+MjAxMDwv
eWVhcj48L2RhdGVzPjx1cmxzPjwvdXJscz48L3JlY29yZD48L0NpdGU+PENpdGU+PEF1dGhvcj5E
amFuaWJla292PC9BdXRob3I+PFllYXI+MjAxMzwvWWVhcj48UmVjTnVtPjM0NDwvUmVjTnVtPjxy
ZWNvcmQ+PHJlYy1udW1iZXI+MzQ0PC9yZWMtbnVtYmVyPjxmb3JlaWduLWtleXM+PGtleSBhcHA9
IkVOIiBkYi1pZD0iMGVyeHZyenNqdjVzenFlZmFlc3YwOWU0YXd4czJ0NXNhdzkwIj4zNDQ8L2tl
eT48L2ZvcmVpZ24ta2V5cz48cmVmLXR5cGUgbmFtZT0iSm91cm5hbCBBcnRpY2xlIj4xNzwvcmVm
LXR5cGU+PGNvbnRyaWJ1dG9ycz48YXV0aG9ycz48YXV0aG9yPkRqYW5pYmVrb3YsIE5vZGlyPC9h
dXRob3I+PGF1dGhvcj5Tb21tZXIsIFJvbGY8L2F1dGhvcj48YXV0aG9yPkRqYW5pYmVrb3YsIFV0
a3VyPC9hdXRob3I+PC9hdXRob3JzPjwvY29udHJpYnV0b3JzPjx0aXRsZXM+PHRpdGxlPkV2YWx1
YXRpb24gb2YgZWZmZWN0cyBvZiBjb3R0b24gcG9saWN5IGNoYW5nZXMgb24gbGFuZCBhbmQgd2F0
ZXIgdXNlIGluIFV6YmVraXN0YW46IEFwcGxpY2F0aW9uIG9mIGEgYmlvLWVjb25vbWljIGZhcm0g
bW9kZWwgYXQgdGhlIGxldmVsIG9mIGEgd2F0ZXIgdXNlcnMgYXNzb2NpYXRpb248L3RpdGxlPjxz
ZWNvbmRhcnktdGl0bGU+QWdyaWN1bHR1cmFsIFN5c3RlbXM8L3NlY29uZGFyeS10aXRsZT48L3Rp
dGxlcz48cGVyaW9kaWNhbD48ZnVsbC10aXRsZT5BZ3JpY3VsdHVyYWwgU3lzdGVtczwvZnVsbC10
aXRsZT48L3BlcmlvZGljYWw+PHBhZ2VzPjEtMTM8L3BhZ2VzPjx2b2x1bWU+MTE4PC92b2x1bWU+
PG51bWJlcj4wPC9udW1iZXI+PGtleXdvcmRzPjxrZXl3b3JkPkFncmljdWx0dXJhbCBwb2xpY3kg
YW5hbHlzaXM8L2tleXdvcmQ+PGtleXdvcmQ+Q290dG9uIHRhcmdldHM8L2tleXdvcmQ+PGtleXdv
cmQ+Rm9vZCBncmFpbiBwcm9kdWN0aW9uPC9rZXl3b3JkPjxrZXl3b3JkPkZhcm0gaW5jb21lczwv
a2V5d29yZD48L2tleXdvcmRzPjxkYXRlcz48eWVhcj4yMDEzPC95ZWFyPjxwdWItZGF0ZXM+PGRh
dGU+Ni8vPC9kYXRlPjwvcHViLWRhdGVzPjwvZGF0ZXM+PGlzYm4+MDMwOC01MjFYPC9pc2JuPjx1
cmxzPjxyZWxhdGVkLXVybHM+PHVybD5odHRwOi8vd3d3LnNjaWVuY2VkaXJlY3QuY29tL3NjaWVu
Y2UvYXJ0aWNsZS9waWkvUzAzMDg1MjFYMTMwMDAyMTg8L3VybD48L3JlbGF0ZWQtdXJscz48L3Vy
bHM+PGVsZWN0cm9uaWMtcmVzb3VyY2UtbnVtPmh0dHA6Ly9keC5kb2kub3JnLzEwLjEwMTYvai5h
Z3N5LjIwMTMuMDIuMDA0PC9lbGVjdHJvbmljLXJlc291cmNlLW51bT48L3JlY29yZD48L0NpdGU+
PC9FbmROb3RlPn==
</w:fldData>
        </w:fldChar>
      </w:r>
      <w:r>
        <w:rPr>
          <w:rFonts w:cstheme="minorHAnsi"/>
          <w:lang w:val="en-US"/>
        </w:rPr>
        <w:instrText xml:space="preserve"> ADDIN EN.CITE </w:instrText>
      </w:r>
      <w:r w:rsidR="00E71FB7">
        <w:rPr>
          <w:rFonts w:cstheme="minorHAnsi"/>
          <w:lang w:val="en-US"/>
        </w:rPr>
        <w:fldChar w:fldCharType="begin">
          <w:fldData xml:space="preserve">PEVuZE5vdGU+PENpdGU+PEF1dGhvcj5Cb2Jvam9ub3Y8L0F1dGhvcj48WWVhcj4yMDEwPC9ZZWFy
PjxSZWNOdW0+MTE4PC9SZWNOdW0+PERpc3BsYXlUZXh0PihCb2Jvam9ub3Y8c3R5bGUgZmFjZT0i
aXRhbGljIj4gZXQgYWwuPC9zdHlsZT4sIDIwMTA7IERqYW5pYmVrb3Y8c3R5bGUgZmFjZT0iaXRh
bGljIj4gZXQgYWwuPC9zdHlsZT4sIDIwMTMpPC9EaXNwbGF5VGV4dD48cmVjb3JkPjxyZWMtbnVt
YmVyPjExODwvcmVjLW51bWJlcj48Zm9yZWlnbi1rZXlzPjxrZXkgYXBwPSJFTiIgZGItaWQ9IjBl
cnh2cnpzanY1c3pxZWZhZXN2MDllNGF3eHMydDVzYXc5MCI+MTE4PC9rZXk+PC9mb3JlaWduLWtl
eXM+PHJlZi10eXBlIG5hbWU9IkpvdXJuYWwgQXJ0aWNsZSI+MTc8L3JlZi10eXBlPjxjb250cmli
dXRvcnM+PGF1dGhvcnM+PGF1dGhvcj5Cb2Jvam9ub3YsIEkuPC9hdXRob3I+PGF1dGhvcj5GcmFu
eiwgSi4gPC9hdXRob3I+PGF1dGhvcj5CZXJnLCBFLiA8L2F1dGhvcj48YXV0aG9yPkxhbWVycywg
Si4gUC4gQS4gPC9hdXRob3I+PGF1dGhvcj5NYXJ0aXVzLCBDLiAgPC9hdXRob3I+PC9hdXRob3Jz
PjwvY29udHJpYnV0b3JzPjx0aXRsZXM+PHRpdGxlPkltcHJvdmVkIFBvbGljeSBNYWtpbmcgZm9y
IFN1c3RhaW5hYmxlIEZhcm1pbmc6IEEgQ2FzZSBTdHVkeSBvbiBJcnJpZ2F0ZWQgRHJ5bGFuZCBB
Z3JpY3VsdHVyZSBpbiBXZXN0ZXJuIFV6YmVraXN0YW4uPC90aXRsZT48c2Vjb25kYXJ5LXRpdGxl
PkpvdXJuYWwgb2YgU3VzdGFpbmFibGUgQWdyaWN1bHR1cmU8L3NlY29uZGFyeS10aXRsZT48L3Rp
dGxlcz48cGVyaW9kaWNhbD48ZnVsbC10aXRsZT5Kb3VybmFsIG9mIFN1c3RhaW5hYmxlIEFncmlj
dWx0dXJlPC9mdWxsLXRpdGxlPjwvcGVyaW9kaWNhbD48cGFnZXM+ODAwIOKAkyA4MTc8L3BhZ2Vz
Pjx2b2x1bWU+MzQ8L3ZvbHVtZT48bnVtYmVyPjc8L251bWJlcj48ZGF0ZXM+PHllYXI+MjAxMDwv
eWVhcj48L2RhdGVzPjx1cmxzPjwvdXJscz48L3JlY29yZD48L0NpdGU+PENpdGU+PEF1dGhvcj5E
amFuaWJla292PC9BdXRob3I+PFllYXI+MjAxMzwvWWVhcj48UmVjTnVtPjM0NDwvUmVjTnVtPjxy
ZWNvcmQ+PHJlYy1udW1iZXI+MzQ0PC9yZWMtbnVtYmVyPjxmb3JlaWduLWtleXM+PGtleSBhcHA9
IkVOIiBkYi1pZD0iMGVyeHZyenNqdjVzenFlZmFlc3YwOWU0YXd4czJ0NXNhdzkwIj4zNDQ8L2tl
eT48L2ZvcmVpZ24ta2V5cz48cmVmLXR5cGUgbmFtZT0iSm91cm5hbCBBcnRpY2xlIj4xNzwvcmVm
LXR5cGU+PGNvbnRyaWJ1dG9ycz48YXV0aG9ycz48YXV0aG9yPkRqYW5pYmVrb3YsIE5vZGlyPC9h
dXRob3I+PGF1dGhvcj5Tb21tZXIsIFJvbGY8L2F1dGhvcj48YXV0aG9yPkRqYW5pYmVrb3YsIFV0
a3VyPC9hdXRob3I+PC9hdXRob3JzPjwvY29udHJpYnV0b3JzPjx0aXRsZXM+PHRpdGxlPkV2YWx1
YXRpb24gb2YgZWZmZWN0cyBvZiBjb3R0b24gcG9saWN5IGNoYW5nZXMgb24gbGFuZCBhbmQgd2F0
ZXIgdXNlIGluIFV6YmVraXN0YW46IEFwcGxpY2F0aW9uIG9mIGEgYmlvLWVjb25vbWljIGZhcm0g
bW9kZWwgYXQgdGhlIGxldmVsIG9mIGEgd2F0ZXIgdXNlcnMgYXNzb2NpYXRpb248L3RpdGxlPjxz
ZWNvbmRhcnktdGl0bGU+QWdyaWN1bHR1cmFsIFN5c3RlbXM8L3NlY29uZGFyeS10aXRsZT48L3Rp
dGxlcz48cGVyaW9kaWNhbD48ZnVsbC10aXRsZT5BZ3JpY3VsdHVyYWwgU3lzdGVtczwvZnVsbC10
aXRsZT48L3BlcmlvZGljYWw+PHBhZ2VzPjEtMTM8L3BhZ2VzPjx2b2x1bWU+MTE4PC92b2x1bWU+
PG51bWJlcj4wPC9udW1iZXI+PGtleXdvcmRzPjxrZXl3b3JkPkFncmljdWx0dXJhbCBwb2xpY3kg
YW5hbHlzaXM8L2tleXdvcmQ+PGtleXdvcmQ+Q290dG9uIHRhcmdldHM8L2tleXdvcmQ+PGtleXdv
cmQ+Rm9vZCBncmFpbiBwcm9kdWN0aW9uPC9rZXl3b3JkPjxrZXl3b3JkPkZhcm0gaW5jb21lczwv
a2V5d29yZD48L2tleXdvcmRzPjxkYXRlcz48eWVhcj4yMDEzPC95ZWFyPjxwdWItZGF0ZXM+PGRh
dGU+Ni8vPC9kYXRlPjwvcHViLWRhdGVzPjwvZGF0ZXM+PGlzYm4+MDMwOC01MjFYPC9pc2JuPjx1
cmxzPjxyZWxhdGVkLXVybHM+PHVybD5odHRwOi8vd3d3LnNjaWVuY2VkaXJlY3QuY29tL3NjaWVu
Y2UvYXJ0aWNsZS9waWkvUzAzMDg1MjFYMTMwMDAyMTg8L3VybD48L3JlbGF0ZWQtdXJscz48L3Vy
bHM+PGVsZWN0cm9uaWMtcmVzb3VyY2UtbnVtPmh0dHA6Ly9keC5kb2kub3JnLzEwLjEwMTYvai5h
Z3N5LjIwMTMuMDIuMDA0PC9lbGVjdHJvbmljLXJlc291cmNlLW51bT48L3JlY29yZD48L0NpdGU+
PC9FbmROb3RlPn==
</w:fldData>
        </w:fldChar>
      </w:r>
      <w:r>
        <w:rPr>
          <w:rFonts w:cstheme="minorHAnsi"/>
          <w:lang w:val="en-US"/>
        </w:rPr>
        <w:instrText xml:space="preserve"> ADDIN EN.CITE.DATA </w:instrText>
      </w:r>
      <w:r w:rsidR="00E71FB7">
        <w:rPr>
          <w:rFonts w:cstheme="minorHAnsi"/>
          <w:lang w:val="en-US"/>
        </w:rPr>
      </w:r>
      <w:r w:rsidR="00E71FB7">
        <w:rPr>
          <w:rFonts w:cstheme="minorHAnsi"/>
          <w:lang w:val="en-US"/>
        </w:rPr>
        <w:fldChar w:fldCharType="end"/>
      </w:r>
      <w:r w:rsidR="00E71FB7">
        <w:rPr>
          <w:rFonts w:cstheme="minorHAnsi"/>
          <w:lang w:val="en-US"/>
        </w:rPr>
      </w:r>
      <w:r w:rsidR="00E71FB7">
        <w:rPr>
          <w:rFonts w:cstheme="minorHAnsi"/>
          <w:lang w:val="en-US"/>
        </w:rPr>
        <w:fldChar w:fldCharType="separate"/>
      </w:r>
      <w:r>
        <w:rPr>
          <w:rFonts w:cstheme="minorHAnsi"/>
          <w:noProof/>
          <w:lang w:val="en-US"/>
        </w:rPr>
        <w:t>(</w:t>
      </w:r>
      <w:hyperlink w:anchor="_ENREF_5" w:tooltip="Bobojonov, 2010 #118" w:history="1">
        <w:r w:rsidR="002C46A7">
          <w:rPr>
            <w:rFonts w:cstheme="minorHAnsi"/>
            <w:noProof/>
            <w:lang w:val="en-US"/>
          </w:rPr>
          <w:t>Bobojonov</w:t>
        </w:r>
        <w:r w:rsidR="002C46A7" w:rsidRPr="00450906">
          <w:rPr>
            <w:rFonts w:cstheme="minorHAnsi"/>
            <w:i/>
            <w:noProof/>
            <w:lang w:val="en-US"/>
          </w:rPr>
          <w:t xml:space="preserve"> et al.</w:t>
        </w:r>
        <w:r w:rsidR="002C46A7">
          <w:rPr>
            <w:rFonts w:cstheme="minorHAnsi"/>
            <w:noProof/>
            <w:lang w:val="en-US"/>
          </w:rPr>
          <w:t>, 2010</w:t>
        </w:r>
      </w:hyperlink>
      <w:r>
        <w:rPr>
          <w:rFonts w:cstheme="minorHAnsi"/>
          <w:noProof/>
          <w:lang w:val="en-US"/>
        </w:rPr>
        <w:t xml:space="preserve">; </w:t>
      </w:r>
      <w:hyperlink w:anchor="_ENREF_16" w:tooltip="Djanibekov, 2013 #344" w:history="1">
        <w:r w:rsidR="002C46A7">
          <w:rPr>
            <w:rFonts w:cstheme="minorHAnsi"/>
            <w:noProof/>
            <w:lang w:val="en-US"/>
          </w:rPr>
          <w:t>Djanibekov</w:t>
        </w:r>
        <w:r w:rsidR="002C46A7" w:rsidRPr="00450906">
          <w:rPr>
            <w:rFonts w:cstheme="minorHAnsi"/>
            <w:i/>
            <w:noProof/>
            <w:lang w:val="en-US"/>
          </w:rPr>
          <w:t xml:space="preserve"> et al.</w:t>
        </w:r>
        <w:r w:rsidR="002C46A7">
          <w:rPr>
            <w:rFonts w:cstheme="minorHAnsi"/>
            <w:noProof/>
            <w:lang w:val="en-US"/>
          </w:rPr>
          <w:t>, 2013</w:t>
        </w:r>
      </w:hyperlink>
      <w:r>
        <w:rPr>
          <w:rFonts w:cstheme="minorHAnsi"/>
          <w:noProof/>
          <w:lang w:val="en-US"/>
        </w:rPr>
        <w:t>)</w:t>
      </w:r>
      <w:r w:rsidR="00E71FB7">
        <w:rPr>
          <w:rFonts w:cstheme="minorHAnsi"/>
          <w:lang w:val="en-US"/>
        </w:rPr>
        <w:fldChar w:fldCharType="end"/>
      </w:r>
      <w:r>
        <w:rPr>
          <w:rFonts w:cstheme="minorHAnsi"/>
          <w:lang w:val="en-US"/>
        </w:rPr>
        <w:t>. Because it is very unlikely that market integration causes cotton trade between the countries which is usually sold to the world market. Prices in Uzbekistan and Tajikistan are below the world market prices due to the state procurement in those countries.</w:t>
      </w:r>
    </w:p>
    <w:p w:rsidR="001724BE" w:rsidRPr="00815E77" w:rsidRDefault="001724BE" w:rsidP="00104719">
      <w:pPr>
        <w:spacing w:line="360" w:lineRule="auto"/>
        <w:jc w:val="both"/>
        <w:rPr>
          <w:rFonts w:cstheme="minorHAnsi"/>
          <w:lang w:val="en-US"/>
        </w:rPr>
      </w:pPr>
      <w:proofErr w:type="gramStart"/>
      <w:r>
        <w:rPr>
          <w:rFonts w:cstheme="minorHAnsi"/>
          <w:b/>
          <w:lang w:val="en-US"/>
        </w:rPr>
        <w:t>Table 5.</w:t>
      </w:r>
      <w:proofErr w:type="gramEnd"/>
      <w:r>
        <w:rPr>
          <w:rFonts w:cstheme="minorHAnsi"/>
          <w:b/>
          <w:lang w:val="en-US"/>
        </w:rPr>
        <w:t xml:space="preserve"> </w:t>
      </w:r>
      <w:r>
        <w:rPr>
          <w:rFonts w:cstheme="minorHAnsi"/>
          <w:lang w:val="en-US"/>
        </w:rPr>
        <w:t>Ch</w:t>
      </w:r>
      <w:r w:rsidRPr="00815E77">
        <w:rPr>
          <w:rFonts w:cstheme="minorHAnsi"/>
          <w:lang w:val="en-US"/>
        </w:rPr>
        <w:t>anges of expected utilities (revenues) under market integration to the baseline scenario, in percentage</w:t>
      </w:r>
    </w:p>
    <w:tbl>
      <w:tblPr>
        <w:tblW w:w="72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1724BE" w:rsidRPr="00306C5C" w:rsidTr="00BB63FF">
        <w:trPr>
          <w:trHeight w:val="315"/>
        </w:trPr>
        <w:tc>
          <w:tcPr>
            <w:tcW w:w="1200" w:type="dxa"/>
            <w:tcBorders>
              <w:top w:val="single" w:sz="8" w:space="0" w:color="auto"/>
              <w:left w:val="nil"/>
              <w:bottom w:val="single" w:sz="8" w:space="0" w:color="auto"/>
              <w:right w:val="nil"/>
            </w:tcBorders>
            <w:shd w:val="clear" w:color="auto" w:fill="auto"/>
            <w:vAlign w:val="center"/>
            <w:hideMark/>
          </w:tcPr>
          <w:p w:rsidR="001724BE" w:rsidRPr="001068EA" w:rsidRDefault="001724BE" w:rsidP="00104719">
            <w:pPr>
              <w:spacing w:after="0" w:line="240" w:lineRule="auto"/>
              <w:jc w:val="both"/>
              <w:rPr>
                <w:rFonts w:ascii="Calibri" w:eastAsia="Times New Roman" w:hAnsi="Calibri" w:cs="Times New Roman"/>
                <w:color w:val="000000"/>
                <w:lang w:val="en-US" w:eastAsia="de-DE"/>
              </w:rPr>
            </w:pPr>
            <w:r w:rsidRPr="00306C5C">
              <w:rPr>
                <w:rFonts w:ascii="Calibri" w:eastAsia="Times New Roman" w:hAnsi="Calibri" w:cs="Times New Roman"/>
                <w:color w:val="000000"/>
                <w:lang w:val="en-US" w:eastAsia="de-DE"/>
              </w:rPr>
              <w:t> </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1068EA" w:rsidRDefault="001724BE" w:rsidP="00104719">
            <w:pPr>
              <w:spacing w:after="0" w:line="240" w:lineRule="auto"/>
              <w:jc w:val="both"/>
              <w:rPr>
                <w:rFonts w:ascii="Calibri" w:eastAsia="Times New Roman" w:hAnsi="Calibri" w:cs="Times New Roman"/>
                <w:color w:val="000000"/>
                <w:lang w:val="en-US" w:eastAsia="de-DE"/>
              </w:rPr>
            </w:pPr>
            <w:r w:rsidRPr="00306C5C">
              <w:rPr>
                <w:rFonts w:ascii="Calibri" w:eastAsia="Times New Roman" w:hAnsi="Calibri" w:cs="Times New Roman"/>
                <w:color w:val="000000"/>
                <w:lang w:val="en-US" w:eastAsia="de-DE"/>
              </w:rPr>
              <w:t> </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A1b (2010-2040)</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A1b (2070-2100)</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A2 (2010-2040)</w:t>
            </w:r>
          </w:p>
        </w:tc>
        <w:tc>
          <w:tcPr>
            <w:tcW w:w="1200" w:type="dxa"/>
            <w:tcBorders>
              <w:top w:val="single" w:sz="8" w:space="0" w:color="auto"/>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A2 (2070-2100)</w:t>
            </w:r>
          </w:p>
        </w:tc>
      </w:tr>
      <w:tr w:rsidR="001724BE" w:rsidRPr="00306C5C" w:rsidTr="00BB63FF">
        <w:trPr>
          <w:trHeight w:val="300"/>
        </w:trPr>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Times New Roman"/>
                <w:color w:val="000000"/>
                <w:lang w:eastAsia="de-DE"/>
              </w:rPr>
              <w:t>Uzbekistan</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arid</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327,5</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339,4</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324,5</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122,5</w:t>
            </w:r>
          </w:p>
        </w:tc>
      </w:tr>
      <w:tr w:rsidR="001724BE" w:rsidRPr="00306C5C" w:rsidTr="00BB63FF">
        <w:trPr>
          <w:trHeight w:val="300"/>
        </w:trPr>
        <w:tc>
          <w:tcPr>
            <w:tcW w:w="1200" w:type="dxa"/>
            <w:tcBorders>
              <w:top w:val="nil"/>
              <w:left w:val="nil"/>
              <w:bottom w:val="nil"/>
              <w:right w:val="nil"/>
            </w:tcBorders>
            <w:shd w:val="clear" w:color="auto" w:fill="auto"/>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semiarid</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229,3</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106,6</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258,3</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65,7</w:t>
            </w:r>
          </w:p>
        </w:tc>
      </w:tr>
      <w:tr w:rsidR="001724BE" w:rsidRPr="00306C5C" w:rsidTr="00BB63FF">
        <w:trPr>
          <w:trHeight w:val="300"/>
        </w:trPr>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Times New Roman"/>
                <w:color w:val="000000"/>
                <w:lang w:eastAsia="de-DE"/>
              </w:rPr>
              <w:t>Kazakhstan</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arid</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10,6</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24,7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17,2</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23,2</w:t>
            </w:r>
          </w:p>
        </w:tc>
      </w:tr>
      <w:tr w:rsidR="001724BE" w:rsidRPr="00306C5C" w:rsidTr="00BB63FF">
        <w:trPr>
          <w:trHeight w:val="300"/>
        </w:trPr>
        <w:tc>
          <w:tcPr>
            <w:tcW w:w="1200" w:type="dxa"/>
            <w:tcBorders>
              <w:top w:val="nil"/>
              <w:left w:val="nil"/>
              <w:bottom w:val="nil"/>
              <w:right w:val="nil"/>
            </w:tcBorders>
            <w:shd w:val="clear" w:color="auto" w:fill="auto"/>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semiarid</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9,1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1,8</w:t>
            </w:r>
          </w:p>
        </w:tc>
      </w:tr>
      <w:tr w:rsidR="001724BE" w:rsidRPr="00306C5C" w:rsidTr="00BB63FF">
        <w:trPr>
          <w:trHeight w:val="300"/>
        </w:trPr>
        <w:tc>
          <w:tcPr>
            <w:tcW w:w="1200" w:type="dxa"/>
            <w:tcBorders>
              <w:top w:val="nil"/>
              <w:left w:val="nil"/>
              <w:bottom w:val="nil"/>
              <w:right w:val="nil"/>
            </w:tcBorders>
            <w:shd w:val="clear" w:color="auto" w:fill="auto"/>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Times New Roman"/>
                <w:color w:val="000000"/>
                <w:lang w:eastAsia="de-DE"/>
              </w:rPr>
              <w:t>subhumid</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63,7</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105,3</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72,4</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101,7</w:t>
            </w:r>
          </w:p>
        </w:tc>
      </w:tr>
      <w:tr w:rsidR="001724BE" w:rsidRPr="00306C5C" w:rsidTr="00BB63FF">
        <w:trPr>
          <w:trHeight w:val="300"/>
        </w:trPr>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Times New Roman"/>
                <w:color w:val="000000"/>
                <w:lang w:eastAsia="de-DE"/>
              </w:rPr>
              <w:t>Tajikistan</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arid</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199,6</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190,4</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190</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178,1</w:t>
            </w:r>
          </w:p>
        </w:tc>
      </w:tr>
      <w:tr w:rsidR="001724BE" w:rsidRPr="00306C5C" w:rsidTr="00BB63FF">
        <w:trPr>
          <w:trHeight w:val="300"/>
        </w:trPr>
        <w:tc>
          <w:tcPr>
            <w:tcW w:w="1200" w:type="dxa"/>
            <w:tcBorders>
              <w:top w:val="nil"/>
              <w:left w:val="nil"/>
              <w:bottom w:val="nil"/>
              <w:right w:val="nil"/>
            </w:tcBorders>
            <w:shd w:val="clear" w:color="auto" w:fill="auto"/>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semiarid</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61,8</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116,4</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69</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139</w:t>
            </w:r>
          </w:p>
        </w:tc>
      </w:tr>
      <w:tr w:rsidR="001724BE" w:rsidRPr="00306C5C" w:rsidTr="00BB63FF">
        <w:trPr>
          <w:trHeight w:val="300"/>
        </w:trPr>
        <w:tc>
          <w:tcPr>
            <w:tcW w:w="1200" w:type="dxa"/>
            <w:tcBorders>
              <w:top w:val="nil"/>
              <w:left w:val="nil"/>
              <w:bottom w:val="nil"/>
              <w:right w:val="nil"/>
            </w:tcBorders>
            <w:shd w:val="clear" w:color="auto" w:fill="auto"/>
            <w:vAlign w:val="bottom"/>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humid</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44,5</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43,4</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21,3</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36,3</w:t>
            </w:r>
          </w:p>
        </w:tc>
      </w:tr>
      <w:tr w:rsidR="001724BE" w:rsidRPr="00306C5C" w:rsidTr="00BB63FF">
        <w:trPr>
          <w:trHeight w:val="300"/>
        </w:trPr>
        <w:tc>
          <w:tcPr>
            <w:tcW w:w="1200" w:type="dxa"/>
            <w:tcBorders>
              <w:top w:val="nil"/>
              <w:left w:val="nil"/>
              <w:bottom w:val="nil"/>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Times New Roman"/>
                <w:color w:val="000000"/>
                <w:lang w:eastAsia="de-DE"/>
              </w:rPr>
              <w:t>Kyrgyzstan</w:t>
            </w:r>
            <w:proofErr w:type="spellEnd"/>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semiarid</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17,1</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18,9</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14,8</w:t>
            </w:r>
          </w:p>
        </w:tc>
        <w:tc>
          <w:tcPr>
            <w:tcW w:w="1200" w:type="dxa"/>
            <w:tcBorders>
              <w:top w:val="nil"/>
              <w:left w:val="nil"/>
              <w:bottom w:val="nil"/>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18,6</w:t>
            </w:r>
          </w:p>
        </w:tc>
      </w:tr>
      <w:tr w:rsidR="001724BE" w:rsidRPr="00306C5C" w:rsidTr="00BB63FF">
        <w:trPr>
          <w:trHeight w:val="315"/>
        </w:trPr>
        <w:tc>
          <w:tcPr>
            <w:tcW w:w="1200" w:type="dxa"/>
            <w:tcBorders>
              <w:top w:val="nil"/>
              <w:left w:val="nil"/>
              <w:bottom w:val="single" w:sz="8" w:space="0" w:color="auto"/>
              <w:right w:val="nil"/>
            </w:tcBorders>
            <w:shd w:val="clear" w:color="auto" w:fill="auto"/>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 </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proofErr w:type="spellStart"/>
            <w:r w:rsidRPr="00306C5C">
              <w:rPr>
                <w:rFonts w:ascii="Calibri" w:eastAsia="Times New Roman" w:hAnsi="Calibri" w:cs="Times New Roman"/>
                <w:color w:val="000000"/>
                <w:lang w:eastAsia="de-DE"/>
              </w:rPr>
              <w:t>subhumid</w:t>
            </w:r>
            <w:proofErr w:type="spellEnd"/>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22,7</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43,5</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31,1</w:t>
            </w:r>
          </w:p>
        </w:tc>
        <w:tc>
          <w:tcPr>
            <w:tcW w:w="1200" w:type="dxa"/>
            <w:tcBorders>
              <w:top w:val="nil"/>
              <w:left w:val="nil"/>
              <w:bottom w:val="single" w:sz="8" w:space="0" w:color="auto"/>
              <w:right w:val="nil"/>
            </w:tcBorders>
            <w:shd w:val="clear" w:color="auto" w:fill="auto"/>
            <w:noWrap/>
            <w:vAlign w:val="center"/>
            <w:hideMark/>
          </w:tcPr>
          <w:p w:rsidR="001724BE" w:rsidRPr="00306C5C" w:rsidRDefault="001724BE" w:rsidP="00104719">
            <w:pPr>
              <w:spacing w:after="0" w:line="240" w:lineRule="auto"/>
              <w:jc w:val="both"/>
              <w:rPr>
                <w:rFonts w:ascii="Calibri" w:eastAsia="Times New Roman" w:hAnsi="Calibri" w:cs="Times New Roman"/>
                <w:color w:val="000000"/>
                <w:lang w:eastAsia="de-DE"/>
              </w:rPr>
            </w:pPr>
            <w:r w:rsidRPr="00306C5C">
              <w:rPr>
                <w:rFonts w:ascii="Calibri" w:eastAsia="Times New Roman" w:hAnsi="Calibri" w:cs="Times New Roman"/>
                <w:color w:val="000000"/>
                <w:lang w:eastAsia="de-DE"/>
              </w:rPr>
              <w:t>41,7</w:t>
            </w:r>
          </w:p>
        </w:tc>
      </w:tr>
    </w:tbl>
    <w:p w:rsidR="001724BE" w:rsidRDefault="001724BE" w:rsidP="00104719">
      <w:pPr>
        <w:spacing w:line="360" w:lineRule="auto"/>
        <w:jc w:val="both"/>
        <w:rPr>
          <w:lang w:val="en-US"/>
        </w:rPr>
      </w:pPr>
    </w:p>
    <w:p w:rsidR="001724BE" w:rsidRDefault="001724BE" w:rsidP="00104719">
      <w:pPr>
        <w:spacing w:line="360" w:lineRule="auto"/>
        <w:jc w:val="both"/>
        <w:rPr>
          <w:lang w:val="en-US"/>
        </w:rPr>
      </w:pPr>
      <w:r>
        <w:rPr>
          <w:lang w:val="en-US"/>
        </w:rPr>
        <w:t>The results show that farmers in Uzbekistan and Tajikistan will particularly benefit from such policy in the future. Thus income gains from market integration will offset negative impact</w:t>
      </w:r>
      <w:r w:rsidR="00F11C3C">
        <w:rPr>
          <w:lang w:val="en-US"/>
        </w:rPr>
        <w:t>s</w:t>
      </w:r>
      <w:r>
        <w:rPr>
          <w:lang w:val="en-US"/>
        </w:rPr>
        <w:t xml:space="preserve"> of climate change. There were no large gains observed in Kazakhstan and Kyrgyzstan since farmers already receive competitive market prices in those countries. However, some gain was still observed which has offset income decline under climate change.</w:t>
      </w:r>
    </w:p>
    <w:p w:rsidR="001724BE" w:rsidRPr="00F45308" w:rsidRDefault="001724BE" w:rsidP="00104719">
      <w:pPr>
        <w:pStyle w:val="berschrift1"/>
        <w:spacing w:line="360" w:lineRule="auto"/>
        <w:jc w:val="both"/>
        <w:rPr>
          <w:rFonts w:asciiTheme="minorHAnsi" w:hAnsiTheme="minorHAnsi"/>
          <w:szCs w:val="22"/>
          <w:lang w:val="en-US"/>
        </w:rPr>
      </w:pPr>
      <w:r>
        <w:rPr>
          <w:rFonts w:asciiTheme="minorHAnsi" w:hAnsiTheme="minorHAnsi"/>
          <w:szCs w:val="22"/>
          <w:lang w:val="en-US"/>
        </w:rPr>
        <w:t>Conclusions</w:t>
      </w:r>
    </w:p>
    <w:p w:rsidR="001724BE" w:rsidRDefault="001724BE" w:rsidP="00104719">
      <w:pPr>
        <w:spacing w:line="360" w:lineRule="auto"/>
        <w:jc w:val="both"/>
        <w:rPr>
          <w:lang w:val="en-US"/>
        </w:rPr>
      </w:pPr>
      <w:r>
        <w:rPr>
          <w:lang w:val="en-US"/>
        </w:rPr>
        <w:t xml:space="preserve">Analysis of the household level data has shown that there are some differences in food prices among CA countries. Highest meat price is found in Uzbekistan as well as lowest vegetable prices. </w:t>
      </w:r>
      <w:r w:rsidR="00F11C3C">
        <w:rPr>
          <w:lang w:val="en-US"/>
        </w:rPr>
        <w:t>The h</w:t>
      </w:r>
      <w:r>
        <w:rPr>
          <w:lang w:val="en-US"/>
        </w:rPr>
        <w:t>ighest price of rice is paid by households in Tajikistan. Significant utility gains for rural households in Tajikistan and Kazakhstan may be obtained under conditions of market integration among CA countries.</w:t>
      </w:r>
    </w:p>
    <w:p w:rsidR="001724BE" w:rsidRDefault="001724BE" w:rsidP="00104719">
      <w:pPr>
        <w:spacing w:line="360" w:lineRule="auto"/>
        <w:jc w:val="both"/>
        <w:rPr>
          <w:lang w:val="en-US"/>
        </w:rPr>
      </w:pPr>
      <w:r>
        <w:rPr>
          <w:lang w:val="en-US"/>
        </w:rPr>
        <w:t>There are also some significant differences in agricultural commodity prices received by farmers. In general</w:t>
      </w:r>
      <w:r w:rsidR="00F11C3C">
        <w:rPr>
          <w:lang w:val="en-US"/>
        </w:rPr>
        <w:t>,</w:t>
      </w:r>
      <w:r>
        <w:rPr>
          <w:lang w:val="en-US"/>
        </w:rPr>
        <w:t xml:space="preserve"> farmers in Uzbekistan and Tajikistan receive lower prices for their commodities when compared to Kyrgyzstan and Kazakhstan. There is a very low difference between farm gate and consumer prices in Uzbekistan and Tajikistan, while very large differences are found in Kazakhstan and Kyrgyzstan. Those high differences could be explained by higher purchasing power of household in </w:t>
      </w:r>
      <w:r w:rsidR="00F11C3C">
        <w:rPr>
          <w:lang w:val="en-US"/>
        </w:rPr>
        <w:t xml:space="preserve">the </w:t>
      </w:r>
      <w:r>
        <w:rPr>
          <w:lang w:val="en-US"/>
        </w:rPr>
        <w:t>case of Kazakhstan and constraints in market infrastructure in Kyrgyzstan. Salient differences also found between the energy and fertilizer prices among these countries.</w:t>
      </w:r>
    </w:p>
    <w:p w:rsidR="001724BE" w:rsidRDefault="001724BE" w:rsidP="00104719">
      <w:pPr>
        <w:spacing w:line="360" w:lineRule="auto"/>
        <w:jc w:val="both"/>
        <w:rPr>
          <w:lang w:val="en-US"/>
        </w:rPr>
      </w:pPr>
      <w:r>
        <w:rPr>
          <w:lang w:val="en-US"/>
        </w:rPr>
        <w:t>The analysis of climate change scenarios show that farmers in arid zones of Uzbekistan and Tajikistan will have very significant revenue losses, especially in the far future scenarios. Similarly, farmers in arid regions of Kazakhstan and semiarid regions of Kyrgyzstan also may face income decline</w:t>
      </w:r>
      <w:r w:rsidR="00F11C3C">
        <w:rPr>
          <w:lang w:val="en-US"/>
        </w:rPr>
        <w:t>s</w:t>
      </w:r>
      <w:r>
        <w:rPr>
          <w:lang w:val="en-US"/>
        </w:rPr>
        <w:t xml:space="preserve"> in the near future. The </w:t>
      </w:r>
      <w:r w:rsidR="00F223CA">
        <w:rPr>
          <w:lang w:val="en-US"/>
        </w:rPr>
        <w:t xml:space="preserve">modeling </w:t>
      </w:r>
      <w:r>
        <w:rPr>
          <w:lang w:val="en-US"/>
        </w:rPr>
        <w:t>results have shown that market integration option provide</w:t>
      </w:r>
      <w:r w:rsidR="00F11C3C">
        <w:rPr>
          <w:lang w:val="en-US"/>
        </w:rPr>
        <w:t>s</w:t>
      </w:r>
      <w:r>
        <w:rPr>
          <w:lang w:val="en-US"/>
        </w:rPr>
        <w:t xml:space="preserve"> very good opportunities to agricultural producers to overcome negative effect</w:t>
      </w:r>
      <w:r w:rsidR="00F11C3C">
        <w:rPr>
          <w:lang w:val="en-US"/>
        </w:rPr>
        <w:t>s</w:t>
      </w:r>
      <w:r>
        <w:rPr>
          <w:lang w:val="en-US"/>
        </w:rPr>
        <w:t xml:space="preserve"> of climate change. </w:t>
      </w:r>
      <w:r w:rsidR="00F11C3C">
        <w:rPr>
          <w:lang w:val="en-US"/>
        </w:rPr>
        <w:t>In particular</w:t>
      </w:r>
      <w:r>
        <w:rPr>
          <w:lang w:val="en-US"/>
        </w:rPr>
        <w:t>, agricultural producers in Uzbekistan and Tajikistan will mostly benefit from such policy measure</w:t>
      </w:r>
      <w:r w:rsidR="00F11C3C">
        <w:rPr>
          <w:lang w:val="en-US"/>
        </w:rPr>
        <w:t>s</w:t>
      </w:r>
      <w:r>
        <w:rPr>
          <w:lang w:val="en-US"/>
        </w:rPr>
        <w:t xml:space="preserve"> since output prices received by farmers are well below the regional averages.</w:t>
      </w:r>
    </w:p>
    <w:p w:rsidR="001724BE" w:rsidRPr="00F45308" w:rsidRDefault="001724BE" w:rsidP="00104719">
      <w:pPr>
        <w:pStyle w:val="berschrift1"/>
        <w:spacing w:line="360" w:lineRule="auto"/>
        <w:jc w:val="both"/>
        <w:rPr>
          <w:rFonts w:asciiTheme="minorHAnsi" w:hAnsiTheme="minorHAnsi"/>
          <w:szCs w:val="22"/>
          <w:lang w:val="en-US"/>
        </w:rPr>
      </w:pPr>
      <w:r w:rsidRPr="00F45308">
        <w:rPr>
          <w:rFonts w:asciiTheme="minorHAnsi" w:hAnsiTheme="minorHAnsi"/>
          <w:szCs w:val="22"/>
          <w:lang w:val="en-US"/>
        </w:rPr>
        <w:t>References</w:t>
      </w:r>
    </w:p>
    <w:p w:rsidR="002C46A7" w:rsidRPr="002C46A7" w:rsidRDefault="00E71FB7" w:rsidP="002C46A7">
      <w:pPr>
        <w:spacing w:after="0" w:line="240" w:lineRule="auto"/>
        <w:jc w:val="both"/>
        <w:rPr>
          <w:rFonts w:ascii="Calibri" w:hAnsi="Calibri"/>
          <w:noProof/>
          <w:lang w:val="en-US"/>
        </w:rPr>
      </w:pPr>
      <w:r>
        <w:rPr>
          <w:lang w:val="en-US"/>
        </w:rPr>
        <w:fldChar w:fldCharType="begin"/>
      </w:r>
      <w:r w:rsidR="001724BE">
        <w:rPr>
          <w:lang w:val="en-US"/>
        </w:rPr>
        <w:instrText xml:space="preserve"> ADDIN EN.REFLIST </w:instrText>
      </w:r>
      <w:r>
        <w:rPr>
          <w:lang w:val="en-US"/>
        </w:rPr>
        <w:fldChar w:fldCharType="separate"/>
      </w:r>
      <w:bookmarkStart w:id="3" w:name="_ENREF_1"/>
      <w:r w:rsidR="002C46A7" w:rsidRPr="002C46A7">
        <w:rPr>
          <w:rFonts w:ascii="Calibri" w:hAnsi="Calibri"/>
          <w:noProof/>
          <w:lang w:val="en-US"/>
        </w:rPr>
        <w:t>ADB, 2006. Central Asia. Increasing Gains from Trade Through Regional Cooperation in Trade Policy, Transport, and Customs Transit. Asian Development Bank, Philippines.</w:t>
      </w:r>
      <w:bookmarkEnd w:id="3"/>
    </w:p>
    <w:p w:rsidR="002C46A7" w:rsidRPr="002C46A7" w:rsidRDefault="002C46A7" w:rsidP="002C46A7">
      <w:pPr>
        <w:spacing w:after="0" w:line="240" w:lineRule="auto"/>
        <w:jc w:val="both"/>
        <w:rPr>
          <w:rFonts w:ascii="Calibri" w:hAnsi="Calibri"/>
          <w:noProof/>
          <w:lang w:val="en-US"/>
        </w:rPr>
      </w:pPr>
      <w:bookmarkStart w:id="4" w:name="_ENREF_2"/>
      <w:r w:rsidRPr="002C46A7">
        <w:rPr>
          <w:rFonts w:ascii="Calibri" w:hAnsi="Calibri"/>
          <w:noProof/>
          <w:lang w:val="en-US"/>
        </w:rPr>
        <w:t>Ali, M., Lumpkin, T.A., Farooq, U., 2005. Vegetable Research and Development in Central Asia: A Guideline for Setting Priorities under Data Scarcity. In: Kalb, T.J., Mavlyanova, R.F. (Eds.), Vegetable production in Central Asia: status and perspectives. AVRDC – The World Vegetable Center, Almaty, Kazakhstan, pp. 1-26.</w:t>
      </w:r>
      <w:bookmarkEnd w:id="4"/>
    </w:p>
    <w:p w:rsidR="002C46A7" w:rsidRPr="002C46A7" w:rsidRDefault="002C46A7" w:rsidP="002C46A7">
      <w:pPr>
        <w:spacing w:after="0" w:line="240" w:lineRule="auto"/>
        <w:jc w:val="both"/>
        <w:rPr>
          <w:rFonts w:ascii="Calibri" w:hAnsi="Calibri"/>
          <w:noProof/>
          <w:lang w:val="en-US"/>
        </w:rPr>
      </w:pPr>
      <w:bookmarkStart w:id="5" w:name="_ENREF_3"/>
      <w:r w:rsidRPr="002C46A7">
        <w:rPr>
          <w:rFonts w:ascii="Calibri" w:hAnsi="Calibri"/>
          <w:noProof/>
          <w:lang w:val="en-US"/>
        </w:rPr>
        <w:t>Barrows, B., Gusev, E., 2010. Emergency Market Mapping and Analysis (EMMA). Wheat Flour Market System, Kyrgyzstan. International Rescue Committee.</w:t>
      </w:r>
      <w:bookmarkEnd w:id="5"/>
    </w:p>
    <w:p w:rsidR="002C46A7" w:rsidRPr="002C46A7" w:rsidRDefault="002C46A7" w:rsidP="002C46A7">
      <w:pPr>
        <w:spacing w:after="0" w:line="240" w:lineRule="auto"/>
        <w:jc w:val="both"/>
        <w:rPr>
          <w:rFonts w:ascii="Calibri" w:hAnsi="Calibri"/>
          <w:noProof/>
          <w:lang w:val="en-US"/>
        </w:rPr>
      </w:pPr>
      <w:bookmarkStart w:id="6" w:name="_ENREF_4"/>
      <w:r w:rsidRPr="002C46A7">
        <w:rPr>
          <w:rFonts w:ascii="Calibri" w:hAnsi="Calibri"/>
          <w:noProof/>
          <w:lang w:val="en-US"/>
        </w:rPr>
        <w:t>Bobojonov, I., Aw-Hassan, A., 2013. Stochastic bio-economic modeling approach to assess climate change impacts in Central Asia. Poster presented at the Global Science Conference on Climate Smart Agriculture, University of California, Davis. 20-22 March 2013.</w:t>
      </w:r>
      <w:bookmarkEnd w:id="6"/>
    </w:p>
    <w:p w:rsidR="002C46A7" w:rsidRPr="002C46A7" w:rsidRDefault="002C46A7" w:rsidP="002C46A7">
      <w:pPr>
        <w:spacing w:after="0" w:line="240" w:lineRule="auto"/>
        <w:jc w:val="both"/>
        <w:rPr>
          <w:rFonts w:ascii="Calibri" w:hAnsi="Calibri"/>
          <w:noProof/>
          <w:lang w:val="en-US"/>
        </w:rPr>
      </w:pPr>
      <w:bookmarkStart w:id="7" w:name="_ENREF_5"/>
      <w:r w:rsidRPr="002C46A7">
        <w:rPr>
          <w:rFonts w:ascii="Calibri" w:hAnsi="Calibri"/>
          <w:noProof/>
          <w:lang w:val="en-US"/>
        </w:rPr>
        <w:t>Bobojonov, I., Franz, J., Berg, E., Lamers, J.P.A., Martius, C., 2010. Improved Policy Making for Sustainable Farming: A Case Study on Irrigated Dryland Agriculture in Western Uzbekistan. Journal of Sustainable Agriculture 34, 800 – 817.</w:t>
      </w:r>
      <w:bookmarkEnd w:id="7"/>
    </w:p>
    <w:p w:rsidR="002C46A7" w:rsidRPr="002C46A7" w:rsidRDefault="002C46A7" w:rsidP="002C46A7">
      <w:pPr>
        <w:spacing w:after="0" w:line="240" w:lineRule="auto"/>
        <w:jc w:val="both"/>
        <w:rPr>
          <w:rFonts w:ascii="Calibri" w:hAnsi="Calibri"/>
          <w:noProof/>
          <w:lang w:val="en-US"/>
        </w:rPr>
      </w:pPr>
      <w:bookmarkStart w:id="8" w:name="_ENREF_6"/>
      <w:r w:rsidRPr="002C46A7">
        <w:rPr>
          <w:rFonts w:ascii="Calibri" w:hAnsi="Calibri"/>
          <w:noProof/>
          <w:lang w:val="en-US"/>
        </w:rPr>
        <w:t>Bobojonov, I., Lamers, J.P.A., 2008. Analysis of Agricultural Markets in Khorezm, Uzbekistan. In: Wehrheim, P., Schoeller-Schletter, A., Martius, C. (Eds.), Land and Water Use Reforms in Rural Uzbekistan. Socio-economic and Legal Analyses for the Region Khorezm. IAMO, Halle/Saale, pp. 63-86.</w:t>
      </w:r>
      <w:bookmarkEnd w:id="8"/>
    </w:p>
    <w:p w:rsidR="002C46A7" w:rsidRPr="002C46A7" w:rsidRDefault="002C46A7" w:rsidP="002C46A7">
      <w:pPr>
        <w:spacing w:after="0" w:line="240" w:lineRule="auto"/>
        <w:jc w:val="both"/>
        <w:rPr>
          <w:rFonts w:ascii="Calibri" w:hAnsi="Calibri"/>
          <w:noProof/>
          <w:lang w:val="en-US"/>
        </w:rPr>
      </w:pPr>
      <w:bookmarkStart w:id="9" w:name="_ENREF_7"/>
      <w:r w:rsidRPr="002C46A7">
        <w:rPr>
          <w:rFonts w:ascii="Calibri" w:hAnsi="Calibri"/>
          <w:noProof/>
          <w:lang w:val="en-US"/>
        </w:rPr>
        <w:t>Bobojonov, I., Lamers, J.P.A., Bekchanov, M., Djanibekov, N., Franz-Vasdeki, J., Ruzimov, J., Martius, C., 2013. Options and Constraints for Crop Diversification: A Case Study in Sustainable Agriculture in Uzbekistan. Agroecology and Sustainable Food Systems 37, 788-811.</w:t>
      </w:r>
      <w:bookmarkEnd w:id="9"/>
    </w:p>
    <w:p w:rsidR="002C46A7" w:rsidRPr="002C46A7" w:rsidRDefault="002C46A7" w:rsidP="002C46A7">
      <w:pPr>
        <w:spacing w:after="0" w:line="240" w:lineRule="auto"/>
        <w:jc w:val="both"/>
        <w:rPr>
          <w:rFonts w:ascii="Calibri" w:hAnsi="Calibri"/>
          <w:noProof/>
          <w:lang w:val="en-US"/>
        </w:rPr>
      </w:pPr>
      <w:bookmarkStart w:id="10" w:name="_ENREF_8"/>
      <w:r w:rsidRPr="002C46A7">
        <w:rPr>
          <w:rFonts w:ascii="Calibri" w:hAnsi="Calibri"/>
          <w:noProof/>
          <w:lang w:val="en-US"/>
        </w:rPr>
        <w:t>Bucknall, L., Klytchnikova, I., Lampietti, J., Lundell, M., Scatasta, M., Thurman, M., 2003. Social, Economic and Enviroment Considerations. World Bank.</w:t>
      </w:r>
      <w:bookmarkEnd w:id="10"/>
    </w:p>
    <w:p w:rsidR="002C46A7" w:rsidRPr="002C46A7" w:rsidRDefault="002C46A7" w:rsidP="002C46A7">
      <w:pPr>
        <w:spacing w:after="0" w:line="240" w:lineRule="auto"/>
        <w:jc w:val="both"/>
        <w:rPr>
          <w:rFonts w:ascii="Calibri" w:hAnsi="Calibri"/>
          <w:noProof/>
          <w:lang w:val="en-US"/>
        </w:rPr>
      </w:pPr>
      <w:bookmarkStart w:id="11" w:name="_ENREF_9"/>
      <w:r w:rsidRPr="002C46A7">
        <w:rPr>
          <w:rFonts w:ascii="Calibri" w:hAnsi="Calibri"/>
          <w:noProof/>
          <w:lang w:val="en-US"/>
        </w:rPr>
        <w:t>CAREC, 2011. Gap analysis on adaptation to climate change in Central Asia. Priorities, recommendations, practices. Regional Environmental Centre for Central Asia, Almaty.</w:t>
      </w:r>
      <w:bookmarkEnd w:id="11"/>
    </w:p>
    <w:p w:rsidR="002C46A7" w:rsidRPr="002C46A7" w:rsidRDefault="002C46A7" w:rsidP="002C46A7">
      <w:pPr>
        <w:spacing w:after="0" w:line="240" w:lineRule="auto"/>
        <w:jc w:val="both"/>
        <w:rPr>
          <w:rFonts w:ascii="Calibri" w:hAnsi="Calibri"/>
          <w:noProof/>
          <w:lang w:val="en-US"/>
        </w:rPr>
      </w:pPr>
      <w:bookmarkStart w:id="12" w:name="_ENREF_10"/>
      <w:r w:rsidRPr="002C46A7">
        <w:rPr>
          <w:rFonts w:ascii="Calibri" w:hAnsi="Calibri"/>
          <w:noProof/>
          <w:lang w:val="en-US"/>
        </w:rPr>
        <w:t>CEEP, 2005. Uzbekistan Economy.  Statistical and Analytical Review for the year 2004. Centre for Effective Economic Policy with the assistance from USAID and EuropeAID, Tashkent.</w:t>
      </w:r>
      <w:bookmarkEnd w:id="12"/>
    </w:p>
    <w:p w:rsidR="002C46A7" w:rsidRPr="002C46A7" w:rsidRDefault="002C46A7" w:rsidP="002C46A7">
      <w:pPr>
        <w:spacing w:after="0" w:line="240" w:lineRule="auto"/>
        <w:jc w:val="both"/>
        <w:rPr>
          <w:rFonts w:ascii="Calibri" w:hAnsi="Calibri"/>
          <w:noProof/>
          <w:lang w:val="en-US"/>
        </w:rPr>
      </w:pPr>
      <w:bookmarkStart w:id="13" w:name="_ENREF_11"/>
      <w:r w:rsidRPr="002C46A7">
        <w:rPr>
          <w:rFonts w:ascii="Calibri" w:hAnsi="Calibri"/>
          <w:noProof/>
          <w:lang w:val="en-US"/>
        </w:rPr>
        <w:t>Christmann, S., Aw-Hassan, A., 2011. Should agricultural research in Central Asia and Caucasus (CAC) re-prioritize its agenda with view to climate change? Agriculture, Ecosystems &amp; Environment 140, 314-316.</w:t>
      </w:r>
      <w:bookmarkEnd w:id="13"/>
    </w:p>
    <w:p w:rsidR="002C46A7" w:rsidRPr="002C46A7" w:rsidRDefault="002C46A7" w:rsidP="002C46A7">
      <w:pPr>
        <w:spacing w:after="0" w:line="240" w:lineRule="auto"/>
        <w:jc w:val="both"/>
        <w:rPr>
          <w:rFonts w:ascii="Calibri" w:hAnsi="Calibri"/>
          <w:noProof/>
          <w:lang w:val="en-US"/>
        </w:rPr>
      </w:pPr>
      <w:bookmarkStart w:id="14" w:name="_ENREF_12"/>
      <w:r w:rsidRPr="002C46A7">
        <w:rPr>
          <w:rFonts w:ascii="Calibri" w:hAnsi="Calibri"/>
          <w:noProof/>
          <w:lang w:val="en-US"/>
        </w:rPr>
        <w:t>Christmann, S., Martius, C., Bedoshvili, D., Bobojonov, I., Carli, C., Devkota, K., Ibragimov, Z., Khalikulov, Z., Kienzler, K., Manthrithilake, H., Mavlyanova, R., Mirzabaev, A., Nishanov, N., Sharma, R.C., Tashpulatova, B., Toderich, K., Turdieva, M., 2009. Food Security and Climate Change in Central Asia and the Caucasus. CGIAR-PFlI, ICARDA, Tashkent.</w:t>
      </w:r>
      <w:bookmarkEnd w:id="14"/>
    </w:p>
    <w:p w:rsidR="002C46A7" w:rsidRPr="002C46A7" w:rsidRDefault="002C46A7" w:rsidP="002C46A7">
      <w:pPr>
        <w:spacing w:after="0" w:line="240" w:lineRule="auto"/>
        <w:jc w:val="both"/>
        <w:rPr>
          <w:rFonts w:ascii="Calibri" w:hAnsi="Calibri"/>
          <w:noProof/>
          <w:lang w:val="en-US"/>
        </w:rPr>
      </w:pPr>
      <w:bookmarkStart w:id="15" w:name="_ENREF_13"/>
      <w:r w:rsidRPr="002C46A7">
        <w:rPr>
          <w:rFonts w:ascii="Calibri" w:hAnsi="Calibri"/>
          <w:noProof/>
          <w:lang w:val="en-US"/>
        </w:rPr>
        <w:t>Chub, V.E., 2007. Climate change and its impact on hydro-metrological process, agro-climatic and water resources of the republic of Uzbekistan. Voris-Nashryot, Tashkent.</w:t>
      </w:r>
      <w:bookmarkEnd w:id="15"/>
    </w:p>
    <w:p w:rsidR="002C46A7" w:rsidRPr="002C46A7" w:rsidRDefault="002C46A7" w:rsidP="002C46A7">
      <w:pPr>
        <w:spacing w:after="0" w:line="240" w:lineRule="auto"/>
        <w:jc w:val="both"/>
        <w:rPr>
          <w:rFonts w:ascii="Calibri" w:hAnsi="Calibri"/>
          <w:noProof/>
          <w:lang w:val="en-US"/>
        </w:rPr>
      </w:pPr>
      <w:bookmarkStart w:id="16" w:name="_ENREF_14"/>
      <w:r w:rsidRPr="002C46A7">
        <w:rPr>
          <w:rFonts w:ascii="Calibri" w:hAnsi="Calibri"/>
          <w:noProof/>
          <w:lang w:val="en-US"/>
        </w:rPr>
        <w:t>Davis, J.R., 1997. The creation of an agricultural free trade area in the CIS: arguments against following the CAP model. Food Policy 22, 11-16.</w:t>
      </w:r>
      <w:bookmarkEnd w:id="16"/>
    </w:p>
    <w:p w:rsidR="002C46A7" w:rsidRPr="002C46A7" w:rsidRDefault="002C46A7" w:rsidP="002C46A7">
      <w:pPr>
        <w:spacing w:after="0" w:line="240" w:lineRule="auto"/>
        <w:jc w:val="both"/>
        <w:rPr>
          <w:rFonts w:ascii="Calibri" w:hAnsi="Calibri"/>
          <w:noProof/>
          <w:lang w:val="en-US"/>
        </w:rPr>
      </w:pPr>
      <w:bookmarkStart w:id="17" w:name="_ENREF_15"/>
      <w:r w:rsidRPr="002C46A7">
        <w:rPr>
          <w:rFonts w:ascii="Calibri" w:hAnsi="Calibri"/>
          <w:noProof/>
          <w:lang w:val="en-US"/>
        </w:rPr>
        <w:t>De-Pauw, E., 2012. Downscaling basic climatic variables for Central Asia. Adaptation to Climate Change in Central Asia and People’s Republic of China. ICARDA, Aleppo.</w:t>
      </w:r>
      <w:bookmarkEnd w:id="17"/>
    </w:p>
    <w:p w:rsidR="002C46A7" w:rsidRPr="002C46A7" w:rsidRDefault="002C46A7" w:rsidP="002C46A7">
      <w:pPr>
        <w:spacing w:after="0" w:line="240" w:lineRule="auto"/>
        <w:jc w:val="both"/>
        <w:rPr>
          <w:rFonts w:ascii="Calibri" w:hAnsi="Calibri"/>
          <w:noProof/>
          <w:lang w:val="en-US"/>
        </w:rPr>
      </w:pPr>
      <w:bookmarkStart w:id="18" w:name="_ENREF_16"/>
      <w:r w:rsidRPr="002C46A7">
        <w:rPr>
          <w:rFonts w:ascii="Calibri" w:hAnsi="Calibri"/>
          <w:noProof/>
          <w:lang w:val="en-US"/>
        </w:rPr>
        <w:t>Djanibekov, N., Sommer, R., Djanibekov, U., 2013. Evaluation of effects of cotton policy changes on land and water use in Uzbekistan: Application of a bio-economic farm model at the level of a water users association. Agricultural Systems 118, 1-13.</w:t>
      </w:r>
      <w:bookmarkEnd w:id="18"/>
    </w:p>
    <w:p w:rsidR="002C46A7" w:rsidRPr="002C46A7" w:rsidRDefault="002C46A7" w:rsidP="002C46A7">
      <w:pPr>
        <w:spacing w:after="0" w:line="240" w:lineRule="auto"/>
        <w:jc w:val="both"/>
        <w:rPr>
          <w:rFonts w:ascii="Calibri" w:hAnsi="Calibri"/>
          <w:noProof/>
          <w:lang w:val="en-US"/>
        </w:rPr>
      </w:pPr>
      <w:bookmarkStart w:id="19" w:name="_ENREF_17"/>
      <w:r w:rsidRPr="002C46A7">
        <w:rPr>
          <w:rFonts w:ascii="Calibri" w:hAnsi="Calibri"/>
          <w:noProof/>
          <w:lang w:val="en-US"/>
        </w:rPr>
        <w:t>Eshchanov, B.R., Stultjes, M.G.P., Salaev, S.K., Eshchanov, R.A., 2011. Rogun Dam—Path to Energy Independence or Security Threat? . Sustainability 3, 1573-1592.</w:t>
      </w:r>
      <w:bookmarkEnd w:id="19"/>
    </w:p>
    <w:p w:rsidR="002C46A7" w:rsidRPr="002C46A7" w:rsidRDefault="002C46A7" w:rsidP="002C46A7">
      <w:pPr>
        <w:spacing w:line="240" w:lineRule="auto"/>
        <w:jc w:val="both"/>
        <w:rPr>
          <w:rFonts w:ascii="Calibri" w:hAnsi="Calibri"/>
          <w:noProof/>
          <w:lang w:val="en-US"/>
        </w:rPr>
      </w:pPr>
      <w:bookmarkStart w:id="20" w:name="_ENREF_18"/>
      <w:r w:rsidRPr="002C46A7">
        <w:rPr>
          <w:rFonts w:ascii="Calibri" w:hAnsi="Calibri"/>
          <w:noProof/>
          <w:lang w:val="en-US"/>
        </w:rPr>
        <w:t>FAO, WFP, 2010 FAO/WFP crop and food security assessment mission to Kyrgyzstan. Food and Agriculture Organization of the United Nations</w:t>
      </w:r>
    </w:p>
    <w:p w:rsidR="002C46A7" w:rsidRPr="002C46A7" w:rsidRDefault="002C46A7" w:rsidP="002C46A7">
      <w:pPr>
        <w:spacing w:after="0" w:line="240" w:lineRule="auto"/>
        <w:jc w:val="both"/>
        <w:rPr>
          <w:rFonts w:ascii="Calibri" w:hAnsi="Calibri"/>
          <w:noProof/>
          <w:lang w:val="en-US"/>
        </w:rPr>
      </w:pPr>
      <w:r w:rsidRPr="002C46A7">
        <w:rPr>
          <w:rFonts w:ascii="Calibri" w:hAnsi="Calibri"/>
          <w:noProof/>
          <w:lang w:val="en-US"/>
        </w:rPr>
        <w:t>World Food Programme.</w:t>
      </w:r>
      <w:bookmarkEnd w:id="20"/>
    </w:p>
    <w:p w:rsidR="002C46A7" w:rsidRPr="002C46A7" w:rsidRDefault="002C46A7" w:rsidP="002C46A7">
      <w:pPr>
        <w:spacing w:after="0" w:line="240" w:lineRule="auto"/>
        <w:jc w:val="both"/>
        <w:rPr>
          <w:rFonts w:ascii="Calibri" w:hAnsi="Calibri"/>
          <w:noProof/>
          <w:lang w:val="en-US"/>
        </w:rPr>
      </w:pPr>
      <w:bookmarkStart w:id="21" w:name="_ENREF_19"/>
      <w:r w:rsidRPr="002C46A7">
        <w:rPr>
          <w:rFonts w:ascii="Calibri" w:hAnsi="Calibri"/>
          <w:noProof/>
          <w:lang w:val="en-US"/>
        </w:rPr>
        <w:t>Galiakpar, Z., 2011. Grain contention or Wheat production in Kazakhstan. Economics of Development. Institute of Social Studies, The Hague, The Netherlands, p. 62.</w:t>
      </w:r>
      <w:bookmarkEnd w:id="21"/>
    </w:p>
    <w:p w:rsidR="002C46A7" w:rsidRPr="002C46A7" w:rsidRDefault="002C46A7" w:rsidP="002C46A7">
      <w:pPr>
        <w:spacing w:after="0" w:line="240" w:lineRule="auto"/>
        <w:jc w:val="both"/>
        <w:rPr>
          <w:rFonts w:ascii="Calibri" w:hAnsi="Calibri"/>
          <w:noProof/>
          <w:lang w:val="en-US"/>
        </w:rPr>
      </w:pPr>
      <w:bookmarkStart w:id="22" w:name="_ENREF_20"/>
      <w:r w:rsidRPr="002C46A7">
        <w:rPr>
          <w:rFonts w:ascii="Calibri" w:hAnsi="Calibri"/>
          <w:noProof/>
          <w:lang w:val="en-US"/>
        </w:rPr>
        <w:t>Glantz, M., 2005. Water, Climate, and Development Issues in the Amu Darya Basin. Mitigation and Adaptation Strategies for Global Change 10, 23-50.</w:t>
      </w:r>
      <w:bookmarkEnd w:id="22"/>
    </w:p>
    <w:p w:rsidR="002C46A7" w:rsidRPr="002C46A7" w:rsidRDefault="002C46A7" w:rsidP="002C46A7">
      <w:pPr>
        <w:spacing w:after="0" w:line="240" w:lineRule="auto"/>
        <w:jc w:val="both"/>
        <w:rPr>
          <w:rFonts w:ascii="Calibri" w:hAnsi="Calibri"/>
          <w:noProof/>
          <w:lang w:val="en-US"/>
        </w:rPr>
      </w:pPr>
      <w:bookmarkStart w:id="23" w:name="_ENREF_21"/>
      <w:r w:rsidRPr="002C46A7">
        <w:rPr>
          <w:rFonts w:ascii="Calibri" w:hAnsi="Calibri"/>
          <w:noProof/>
          <w:lang w:val="en-US"/>
        </w:rPr>
        <w:t>IPCC, 2007a. Climate change 2007: Impacts, adaptation and vulnerability. Contribution of Working Group II to the Fourth Assessment Report of the Intergovernmental Panel on Climate Change. Cambridge University Press, Cambridge, UK.</w:t>
      </w:r>
      <w:bookmarkEnd w:id="23"/>
    </w:p>
    <w:p w:rsidR="002C46A7" w:rsidRPr="002C46A7" w:rsidRDefault="002C46A7" w:rsidP="002C46A7">
      <w:pPr>
        <w:spacing w:after="0" w:line="240" w:lineRule="auto"/>
        <w:jc w:val="both"/>
        <w:rPr>
          <w:rFonts w:ascii="Calibri" w:hAnsi="Calibri"/>
          <w:noProof/>
          <w:lang w:val="en-US"/>
        </w:rPr>
      </w:pPr>
      <w:bookmarkStart w:id="24" w:name="_ENREF_22"/>
      <w:r w:rsidRPr="002C46A7">
        <w:rPr>
          <w:rFonts w:ascii="Calibri" w:hAnsi="Calibri"/>
          <w:noProof/>
          <w:lang w:val="en-US"/>
        </w:rPr>
        <w:t>IPCC, 2007b. Climate change 2007: the Physical Science Basis Contribution of Working Group I to the Fourth Assessment Report of the Intergovernmental Panel on Climate Change Summary for Policymakers. Intergovernmental Panel on Climate Change (IPCC), Geneva.</w:t>
      </w:r>
      <w:bookmarkEnd w:id="24"/>
    </w:p>
    <w:p w:rsidR="002C46A7" w:rsidRPr="002C46A7" w:rsidRDefault="002C46A7" w:rsidP="002C46A7">
      <w:pPr>
        <w:spacing w:after="0" w:line="240" w:lineRule="auto"/>
        <w:jc w:val="both"/>
        <w:rPr>
          <w:rFonts w:ascii="Calibri" w:hAnsi="Calibri"/>
          <w:noProof/>
          <w:lang w:val="en-US"/>
        </w:rPr>
      </w:pPr>
      <w:bookmarkStart w:id="25" w:name="_ENREF_23"/>
      <w:r w:rsidRPr="002C46A7">
        <w:rPr>
          <w:rFonts w:ascii="Calibri" w:hAnsi="Calibri"/>
          <w:noProof/>
          <w:lang w:val="en-US"/>
        </w:rPr>
        <w:t>Kariyeva, J., van Leeuwen, W.J.D., 2012. Phenological dynamics of irrigated and natural drylands in Central Asia before and after the USSR collapse. Agriculture, Ecosystems &amp; Environment 162, 77-89.</w:t>
      </w:r>
      <w:bookmarkEnd w:id="25"/>
    </w:p>
    <w:p w:rsidR="002C46A7" w:rsidRPr="002C46A7" w:rsidRDefault="002C46A7" w:rsidP="002C46A7">
      <w:pPr>
        <w:spacing w:after="0" w:line="240" w:lineRule="auto"/>
        <w:jc w:val="both"/>
        <w:rPr>
          <w:rFonts w:ascii="Calibri" w:hAnsi="Calibri"/>
          <w:noProof/>
          <w:lang w:val="en-US"/>
        </w:rPr>
      </w:pPr>
      <w:bookmarkStart w:id="26" w:name="_ENREF_24"/>
      <w:r w:rsidRPr="002C46A7">
        <w:rPr>
          <w:rFonts w:ascii="Calibri" w:hAnsi="Calibri"/>
          <w:noProof/>
          <w:lang w:val="en-US"/>
        </w:rPr>
        <w:t>Kato, E., Nkonya, E., 2012. DSSAT model for cotton and potato ICARDA, Aleppo.</w:t>
      </w:r>
      <w:bookmarkEnd w:id="26"/>
    </w:p>
    <w:p w:rsidR="002C46A7" w:rsidRPr="002C46A7" w:rsidRDefault="002C46A7" w:rsidP="002C46A7">
      <w:pPr>
        <w:spacing w:after="0" w:line="240" w:lineRule="auto"/>
        <w:jc w:val="both"/>
        <w:rPr>
          <w:rFonts w:ascii="Calibri" w:hAnsi="Calibri"/>
          <w:noProof/>
          <w:lang w:val="en-US"/>
        </w:rPr>
      </w:pPr>
      <w:bookmarkStart w:id="27" w:name="_ENREF_25"/>
      <w:r w:rsidRPr="002C46A7">
        <w:rPr>
          <w:rFonts w:ascii="Calibri" w:hAnsi="Calibri"/>
          <w:noProof/>
          <w:lang w:val="en-US"/>
        </w:rPr>
        <w:t>Lerman, Z., 2001. Agriculture in transition economies: from common heritage to divergence. Agricultural Economics 26, 95-114.</w:t>
      </w:r>
      <w:bookmarkEnd w:id="27"/>
    </w:p>
    <w:p w:rsidR="002C46A7" w:rsidRPr="002C46A7" w:rsidRDefault="002C46A7" w:rsidP="002C46A7">
      <w:pPr>
        <w:spacing w:after="0" w:line="240" w:lineRule="auto"/>
        <w:jc w:val="both"/>
        <w:rPr>
          <w:rFonts w:ascii="Calibri" w:hAnsi="Calibri"/>
          <w:noProof/>
          <w:lang w:val="en-US"/>
        </w:rPr>
      </w:pPr>
      <w:bookmarkStart w:id="28" w:name="_ENREF_26"/>
      <w:r w:rsidRPr="002C46A7">
        <w:rPr>
          <w:rFonts w:ascii="Calibri" w:hAnsi="Calibri"/>
          <w:noProof/>
          <w:lang w:val="en-US"/>
        </w:rPr>
        <w:t>Lerman, Z., 2009. Land reform, farm structure, and agricultural performance in CIS countries. China Economic Review 20, 316-326.</w:t>
      </w:r>
      <w:bookmarkEnd w:id="28"/>
    </w:p>
    <w:p w:rsidR="002C46A7" w:rsidRPr="002C46A7" w:rsidRDefault="002C46A7" w:rsidP="002C46A7">
      <w:pPr>
        <w:spacing w:after="0" w:line="240" w:lineRule="auto"/>
        <w:jc w:val="both"/>
        <w:rPr>
          <w:rFonts w:ascii="Calibri" w:hAnsi="Calibri"/>
          <w:noProof/>
          <w:lang w:val="en-US"/>
        </w:rPr>
      </w:pPr>
      <w:bookmarkStart w:id="29" w:name="_ENREF_27"/>
      <w:r w:rsidRPr="002C46A7">
        <w:rPr>
          <w:rFonts w:ascii="Calibri" w:hAnsi="Calibri"/>
          <w:noProof/>
          <w:lang w:val="en-US"/>
        </w:rPr>
        <w:t>Lioubimtseva, E., Henebry, G.M., 2009. Climate and environmental change in arid Central Asia: Impacts, vulnerability, and adaptations. Journal of Arid Environments 73, 963–977.</w:t>
      </w:r>
      <w:bookmarkEnd w:id="29"/>
    </w:p>
    <w:p w:rsidR="002C46A7" w:rsidRPr="002C46A7" w:rsidRDefault="002C46A7" w:rsidP="002C46A7">
      <w:pPr>
        <w:spacing w:after="0" w:line="240" w:lineRule="auto"/>
        <w:jc w:val="both"/>
        <w:rPr>
          <w:rFonts w:ascii="Calibri" w:hAnsi="Calibri"/>
          <w:noProof/>
          <w:lang w:val="en-US"/>
        </w:rPr>
      </w:pPr>
      <w:bookmarkStart w:id="30" w:name="_ENREF_28"/>
      <w:r w:rsidRPr="002C46A7">
        <w:rPr>
          <w:rFonts w:ascii="Calibri" w:hAnsi="Calibri"/>
          <w:noProof/>
          <w:lang w:val="en-US"/>
        </w:rPr>
        <w:t>Ososkova, T., Gorelkin, N., Chub, V., 2000. Water Resources of Central Asia and Adaptation Measures for Climate Change. Environmental Monitoring and Assessment 61, 161-166.</w:t>
      </w:r>
      <w:bookmarkEnd w:id="30"/>
    </w:p>
    <w:p w:rsidR="002C46A7" w:rsidRPr="002C46A7" w:rsidRDefault="002C46A7" w:rsidP="002C46A7">
      <w:pPr>
        <w:spacing w:after="0" w:line="240" w:lineRule="auto"/>
        <w:jc w:val="both"/>
        <w:rPr>
          <w:rFonts w:ascii="Calibri" w:hAnsi="Calibri"/>
          <w:noProof/>
          <w:lang w:val="en-US"/>
        </w:rPr>
      </w:pPr>
      <w:bookmarkStart w:id="31" w:name="_ENREF_29"/>
      <w:r w:rsidRPr="002C46A7">
        <w:rPr>
          <w:rFonts w:ascii="Calibri" w:hAnsi="Calibri"/>
          <w:noProof/>
          <w:lang w:val="en-US"/>
        </w:rPr>
        <w:t>Pomfret, R., 2005. Trade policies in Central Asia after EU enlargement and before Russian WTO accession: Regionalism and integration into the world economy. Economic Systems 29, 32-58.</w:t>
      </w:r>
      <w:bookmarkEnd w:id="31"/>
    </w:p>
    <w:p w:rsidR="002C46A7" w:rsidRPr="002C46A7" w:rsidRDefault="002C46A7" w:rsidP="002C46A7">
      <w:pPr>
        <w:spacing w:after="0" w:line="240" w:lineRule="auto"/>
        <w:jc w:val="both"/>
        <w:rPr>
          <w:rFonts w:ascii="Calibri" w:hAnsi="Calibri"/>
          <w:noProof/>
          <w:lang w:val="en-US"/>
        </w:rPr>
      </w:pPr>
      <w:bookmarkStart w:id="32" w:name="_ENREF_30"/>
      <w:r w:rsidRPr="002C46A7">
        <w:rPr>
          <w:rFonts w:ascii="Calibri" w:hAnsi="Calibri"/>
          <w:noProof/>
          <w:lang w:val="en-US"/>
        </w:rPr>
        <w:t>Pomfret, R., 2007. Distortions to agricultural incentives in Tajikistan, Turkmenistan and Uzbekistan. Agricultural Distortions Working Paper. World Bank, Washington DC, p. 52.</w:t>
      </w:r>
      <w:bookmarkEnd w:id="32"/>
    </w:p>
    <w:p w:rsidR="002C46A7" w:rsidRPr="002C46A7" w:rsidRDefault="002C46A7" w:rsidP="002C46A7">
      <w:pPr>
        <w:spacing w:after="0" w:line="240" w:lineRule="auto"/>
        <w:jc w:val="both"/>
        <w:rPr>
          <w:rFonts w:ascii="Calibri" w:hAnsi="Calibri"/>
          <w:noProof/>
          <w:lang w:val="en-US"/>
        </w:rPr>
      </w:pPr>
      <w:bookmarkStart w:id="33" w:name="_ENREF_31"/>
      <w:r w:rsidRPr="002C46A7">
        <w:rPr>
          <w:rFonts w:ascii="Calibri" w:hAnsi="Calibri"/>
          <w:noProof/>
          <w:lang w:val="en-US"/>
        </w:rPr>
        <w:t>Savoskul, O.S., Shevnina, E.V., Perziger, F., Barburin, V., Danshin, A., 2004. How Much Water will be Available for Irrigation in the Future? The Syr Darya Basin (Central Asia). In: Aerts, J.C.J.H., Droogers, P. (Eds.), Climate Change in Contrasting River Basins — Adaptation Strategies for Water, Food and the Environment. . CABI, Wallingford, UK.</w:t>
      </w:r>
      <w:bookmarkEnd w:id="33"/>
    </w:p>
    <w:p w:rsidR="002C46A7" w:rsidRPr="002C46A7" w:rsidRDefault="002C46A7" w:rsidP="002C46A7">
      <w:pPr>
        <w:spacing w:after="0" w:line="240" w:lineRule="auto"/>
        <w:jc w:val="both"/>
        <w:rPr>
          <w:rFonts w:ascii="Calibri" w:hAnsi="Calibri"/>
          <w:noProof/>
          <w:lang w:val="en-US"/>
        </w:rPr>
      </w:pPr>
      <w:bookmarkStart w:id="34" w:name="_ENREF_32"/>
      <w:r w:rsidRPr="002C46A7">
        <w:rPr>
          <w:rFonts w:ascii="Calibri" w:hAnsi="Calibri"/>
          <w:noProof/>
          <w:lang w:val="en-US"/>
        </w:rPr>
        <w:t>Siegfried, T., Bernauer, T., Guiennet, R., Sellars, S., Robertson, A., Mankin, J., Bauer-Gottwein, P., Yakovlev, A., 2012. Will climate change exacerbate water stress in Central Asia? Climatic Change 112, 881-899.</w:t>
      </w:r>
      <w:bookmarkEnd w:id="34"/>
    </w:p>
    <w:p w:rsidR="002C46A7" w:rsidRPr="002C46A7" w:rsidRDefault="002C46A7" w:rsidP="002C46A7">
      <w:pPr>
        <w:spacing w:after="0" w:line="240" w:lineRule="auto"/>
        <w:jc w:val="both"/>
        <w:rPr>
          <w:rFonts w:ascii="Calibri" w:hAnsi="Calibri"/>
          <w:noProof/>
          <w:lang w:val="en-US"/>
        </w:rPr>
      </w:pPr>
      <w:bookmarkStart w:id="35" w:name="_ENREF_33"/>
      <w:r w:rsidRPr="002C46A7">
        <w:rPr>
          <w:rFonts w:ascii="Calibri" w:hAnsi="Calibri"/>
          <w:noProof/>
          <w:lang w:val="en-US"/>
        </w:rPr>
        <w:t>Sommer, R., Glazirina, M., Yuldashev, T., 2012. Impact of Climate Change on rural livelihood in Central Asia –  Component 1: “Assessing the vulnerability of selected agro-ecosystems in Central Asia to threats resulting from climate change – production and productivity of wheat. . Adaptation to Climate Change in Central Asia and People’s Republic of China. ICARDA, Aleppo.</w:t>
      </w:r>
      <w:bookmarkEnd w:id="35"/>
    </w:p>
    <w:p w:rsidR="002C46A7" w:rsidRPr="002C46A7" w:rsidRDefault="002C46A7" w:rsidP="002C46A7">
      <w:pPr>
        <w:spacing w:after="0" w:line="240" w:lineRule="auto"/>
        <w:jc w:val="both"/>
        <w:rPr>
          <w:rFonts w:ascii="Calibri" w:hAnsi="Calibri"/>
          <w:noProof/>
          <w:lang w:val="en-US"/>
        </w:rPr>
      </w:pPr>
      <w:bookmarkStart w:id="36" w:name="_ENREF_34"/>
      <w:r w:rsidRPr="002C46A7">
        <w:rPr>
          <w:rFonts w:ascii="Calibri" w:hAnsi="Calibri"/>
          <w:noProof/>
          <w:lang w:val="en-US"/>
        </w:rPr>
        <w:t>Swinnen, J., Herck, K.V., 2011. Food security and the transition region. Working Paper. FAO, London.</w:t>
      </w:r>
      <w:bookmarkEnd w:id="36"/>
    </w:p>
    <w:p w:rsidR="002C46A7" w:rsidRPr="002C46A7" w:rsidRDefault="002C46A7" w:rsidP="002C46A7">
      <w:pPr>
        <w:spacing w:after="0" w:line="240" w:lineRule="auto"/>
        <w:jc w:val="both"/>
        <w:rPr>
          <w:rFonts w:ascii="Calibri" w:hAnsi="Calibri"/>
          <w:noProof/>
          <w:lang w:val="en-US"/>
        </w:rPr>
      </w:pPr>
      <w:bookmarkStart w:id="37" w:name="_ENREF_35"/>
      <w:r w:rsidRPr="002C46A7">
        <w:rPr>
          <w:rFonts w:ascii="Calibri" w:hAnsi="Calibri"/>
          <w:noProof/>
          <w:lang w:val="en-US"/>
        </w:rPr>
        <w:t>Swinnen, J.F.M., 2005. The Dynamics of Vertical Coordination in Agrifood Chains in Eastern Europe and Central Asia.</w:t>
      </w:r>
      <w:bookmarkEnd w:id="37"/>
    </w:p>
    <w:p w:rsidR="002C46A7" w:rsidRPr="002C46A7" w:rsidRDefault="002C46A7" w:rsidP="002C46A7">
      <w:pPr>
        <w:spacing w:after="0" w:line="240" w:lineRule="auto"/>
        <w:jc w:val="both"/>
        <w:rPr>
          <w:rFonts w:ascii="Calibri" w:hAnsi="Calibri"/>
          <w:noProof/>
          <w:lang w:val="en-US"/>
        </w:rPr>
      </w:pPr>
      <w:bookmarkStart w:id="38" w:name="_ENREF_36"/>
      <w:r w:rsidRPr="002C46A7">
        <w:rPr>
          <w:rFonts w:ascii="Calibri" w:hAnsi="Calibri"/>
          <w:noProof/>
          <w:lang w:val="en-US"/>
        </w:rPr>
        <w:t>UNDP, 2005. Central Asia human development report. Bringing down barriers: Regional cooperation for human development and human security. The UNDP Regional Bureau for Europe and the Commonwealth of Independent States, Bratislava, Slovak Republic.</w:t>
      </w:r>
      <w:bookmarkEnd w:id="38"/>
    </w:p>
    <w:p w:rsidR="002C46A7" w:rsidRPr="002C46A7" w:rsidRDefault="002C46A7" w:rsidP="002C46A7">
      <w:pPr>
        <w:spacing w:after="0" w:line="240" w:lineRule="auto"/>
        <w:jc w:val="both"/>
        <w:rPr>
          <w:rFonts w:ascii="Calibri" w:hAnsi="Calibri"/>
          <w:noProof/>
          <w:lang w:val="en-US"/>
        </w:rPr>
      </w:pPr>
      <w:bookmarkStart w:id="39" w:name="_ENREF_37"/>
      <w:r w:rsidRPr="002C46A7">
        <w:rPr>
          <w:rFonts w:ascii="Calibri" w:hAnsi="Calibri"/>
          <w:noProof/>
          <w:lang w:val="en-US"/>
        </w:rPr>
        <w:t>USAID, 2011. A regional view of wheat markets and food security in Central Asia. With a focus on Afghanistan and Tajikistan. USAID, EWSNET, WFP.</w:t>
      </w:r>
      <w:bookmarkEnd w:id="39"/>
    </w:p>
    <w:p w:rsidR="002C46A7" w:rsidRPr="002C46A7" w:rsidRDefault="002C46A7" w:rsidP="002C46A7">
      <w:pPr>
        <w:spacing w:line="240" w:lineRule="auto"/>
        <w:jc w:val="both"/>
        <w:rPr>
          <w:rFonts w:ascii="Calibri" w:hAnsi="Calibri"/>
          <w:noProof/>
          <w:lang w:val="en-US"/>
        </w:rPr>
      </w:pPr>
      <w:bookmarkStart w:id="40" w:name="_ENREF_38"/>
      <w:r w:rsidRPr="002C46A7">
        <w:rPr>
          <w:rFonts w:ascii="Calibri" w:hAnsi="Calibri"/>
          <w:noProof/>
          <w:lang w:val="en-US"/>
        </w:rPr>
        <w:t>World Bank, 2009. Adapting to Climate Change in Europe and Central Asia.</w:t>
      </w:r>
      <w:bookmarkEnd w:id="40"/>
    </w:p>
    <w:p w:rsidR="002C46A7" w:rsidRDefault="002C46A7" w:rsidP="002C46A7">
      <w:pPr>
        <w:spacing w:line="240" w:lineRule="auto"/>
        <w:jc w:val="both"/>
        <w:rPr>
          <w:rFonts w:ascii="Calibri" w:hAnsi="Calibri"/>
          <w:noProof/>
          <w:lang w:val="en-US"/>
        </w:rPr>
      </w:pPr>
    </w:p>
    <w:p w:rsidR="001724BE" w:rsidRPr="0002539A" w:rsidRDefault="00E71FB7" w:rsidP="00104719">
      <w:pPr>
        <w:spacing w:line="360" w:lineRule="auto"/>
        <w:jc w:val="both"/>
        <w:rPr>
          <w:lang w:val="en-US"/>
        </w:rPr>
      </w:pPr>
      <w:r>
        <w:rPr>
          <w:lang w:val="en-US"/>
        </w:rPr>
        <w:fldChar w:fldCharType="end"/>
      </w:r>
    </w:p>
    <w:p w:rsidR="00CD3254" w:rsidRPr="001724BE" w:rsidRDefault="00CD3254" w:rsidP="00104719">
      <w:pPr>
        <w:jc w:val="both"/>
        <w:rPr>
          <w:lang w:val="en-US"/>
        </w:rPr>
      </w:pPr>
    </w:p>
    <w:sectPr w:rsidR="00CD3254" w:rsidRPr="001724BE" w:rsidSect="00BB63F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1BE" w:rsidRDefault="000D51BE" w:rsidP="000D51BE">
      <w:pPr>
        <w:spacing w:after="0" w:line="240" w:lineRule="auto"/>
      </w:pPr>
      <w:r>
        <w:separator/>
      </w:r>
    </w:p>
  </w:endnote>
  <w:endnote w:type="continuationSeparator" w:id="0">
    <w:p w:rsidR="000D51BE" w:rsidRDefault="000D51BE" w:rsidP="000D5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1BE" w:rsidRDefault="000D51BE" w:rsidP="000D51BE">
      <w:pPr>
        <w:spacing w:after="0" w:line="240" w:lineRule="auto"/>
      </w:pPr>
      <w:r>
        <w:separator/>
      </w:r>
    </w:p>
  </w:footnote>
  <w:footnote w:type="continuationSeparator" w:id="0">
    <w:p w:rsidR="000D51BE" w:rsidRDefault="000D51BE" w:rsidP="000D51BE">
      <w:pPr>
        <w:spacing w:after="0" w:line="240" w:lineRule="auto"/>
      </w:pPr>
      <w:r>
        <w:continuationSeparator/>
      </w:r>
    </w:p>
  </w:footnote>
  <w:footnote w:id="1">
    <w:p w:rsidR="000D51BE" w:rsidRPr="000D51BE" w:rsidRDefault="000D51BE" w:rsidP="000D51BE">
      <w:pPr>
        <w:pStyle w:val="StandardWeb"/>
        <w:spacing w:after="120"/>
        <w:rPr>
          <w:rFonts w:asciiTheme="minorHAnsi" w:hAnsiTheme="minorHAnsi" w:cstheme="minorBidi"/>
          <w:sz w:val="20"/>
          <w:szCs w:val="20"/>
          <w:lang w:val="en-US" w:eastAsia="en-US"/>
        </w:rPr>
      </w:pPr>
      <w:r w:rsidRPr="000D51BE">
        <w:rPr>
          <w:rFonts w:asciiTheme="minorHAnsi" w:hAnsiTheme="minorHAnsi" w:cstheme="minorBidi"/>
          <w:sz w:val="20"/>
          <w:szCs w:val="20"/>
          <w:vertAlign w:val="superscript"/>
          <w:lang w:val="en-US" w:eastAsia="en-US"/>
        </w:rPr>
        <w:footnoteRef/>
      </w:r>
      <w:r w:rsidRPr="000D51BE">
        <w:rPr>
          <w:rFonts w:asciiTheme="minorHAnsi" w:hAnsiTheme="minorHAnsi" w:cstheme="minorBidi"/>
          <w:sz w:val="20"/>
          <w:szCs w:val="20"/>
          <w:lang w:val="en-US" w:eastAsia="en-US"/>
        </w:rPr>
        <w:t xml:space="preserve"> Department of </w:t>
      </w:r>
      <w:hyperlink r:id="rId1" w:tgtFrame="_blank" w:history="1">
        <w:r w:rsidRPr="000D51BE">
          <w:rPr>
            <w:rFonts w:asciiTheme="minorHAnsi" w:hAnsiTheme="minorHAnsi" w:cstheme="minorBidi"/>
            <w:sz w:val="20"/>
            <w:szCs w:val="20"/>
            <w:lang w:val="en-US" w:eastAsia="en-US"/>
          </w:rPr>
          <w:t>Agricultural Markets, Marketing and World Agricultural Trade</w:t>
        </w:r>
      </w:hyperlink>
      <w:r w:rsidRPr="000D51BE">
        <w:rPr>
          <w:rFonts w:asciiTheme="minorHAnsi" w:hAnsiTheme="minorHAnsi" w:cstheme="minorBidi"/>
          <w:sz w:val="20"/>
          <w:szCs w:val="20"/>
          <w:lang w:val="en-US" w:eastAsia="en-US"/>
        </w:rPr>
        <w:t xml:space="preserve">, </w:t>
      </w:r>
      <w:r w:rsidRPr="000D51BE">
        <w:rPr>
          <w:rFonts w:asciiTheme="minorHAnsi" w:hAnsiTheme="minorHAnsi" w:cstheme="minorBidi"/>
          <w:sz w:val="20"/>
          <w:szCs w:val="20"/>
          <w:lang w:val="en-US" w:eastAsia="en-US"/>
        </w:rPr>
        <w:t>Leibniz Institute of Agricultural Development in Central and Eastern Europe (IAMO)</w:t>
      </w:r>
    </w:p>
  </w:footnote>
  <w:footnote w:id="2">
    <w:p w:rsidR="000D51BE" w:rsidRPr="000D51BE" w:rsidRDefault="000D51BE" w:rsidP="000D51BE">
      <w:pPr>
        <w:spacing w:after="120"/>
        <w:rPr>
          <w:sz w:val="20"/>
          <w:szCs w:val="20"/>
          <w:lang w:val="en-US"/>
        </w:rPr>
      </w:pPr>
      <w:r w:rsidRPr="000D51BE">
        <w:rPr>
          <w:sz w:val="20"/>
          <w:szCs w:val="20"/>
          <w:vertAlign w:val="superscript"/>
          <w:lang w:val="en-US"/>
        </w:rPr>
        <w:footnoteRef/>
      </w:r>
      <w:r w:rsidRPr="000D51BE">
        <w:rPr>
          <w:sz w:val="20"/>
          <w:szCs w:val="20"/>
          <w:vertAlign w:val="superscript"/>
          <w:lang w:val="en-US"/>
        </w:rPr>
        <w:t xml:space="preserve"> </w:t>
      </w:r>
      <w:r w:rsidRPr="000D51BE">
        <w:rPr>
          <w:sz w:val="20"/>
          <w:szCs w:val="20"/>
          <w:lang w:val="en-US"/>
        </w:rPr>
        <w:t>Social, Economic and Policy Research Program, International Center for Agricultural Research in the Dry Areas</w:t>
      </w:r>
    </w:p>
    <w:p w:rsidR="000D51BE" w:rsidRPr="000D51BE" w:rsidRDefault="000D51BE" w:rsidP="000D51BE">
      <w:pPr>
        <w:rPr>
          <w:rFonts w:ascii="Times New Roman" w:eastAsia="Times New Roman" w:hAnsi="Times New Roman" w:cs="Times New Roman"/>
          <w:sz w:val="24"/>
          <w:szCs w:val="24"/>
          <w:lang w:val="en-US" w:eastAsia="de-DE"/>
        </w:rPr>
      </w:pPr>
    </w:p>
    <w:p w:rsidR="000D51BE" w:rsidRPr="000D51BE" w:rsidRDefault="000D51BE">
      <w:pPr>
        <w:pStyle w:val="Funoten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55967"/>
    <w:multiLevelType w:val="multilevel"/>
    <w:tmpl w:val="9C98232C"/>
    <w:lvl w:ilvl="0">
      <w:start w:val="1"/>
      <w:numFmt w:val="decimal"/>
      <w:lvlText w:val="%1."/>
      <w:lvlJc w:val="left"/>
      <w:pPr>
        <w:ind w:left="360" w:hanging="360"/>
      </w:pPr>
      <w:rPr>
        <w:rFonts w:hint="default"/>
        <w:sz w:val="22"/>
        <w:szCs w:val="28"/>
      </w:rPr>
    </w:lvl>
    <w:lvl w:ilvl="1">
      <w:start w:val="1"/>
      <w:numFmt w:val="decimal"/>
      <w:pStyle w:val="11"/>
      <w:lvlText w:val="%1.%2."/>
      <w:lvlJc w:val="left"/>
      <w:pPr>
        <w:ind w:left="792" w:hanging="432"/>
      </w:pPr>
      <w:rPr>
        <w:rFonts w:hint="default"/>
        <w:b/>
        <w:lang w:val="en-U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ri Ecosys Envi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erxvrzsjv5szqefaesv09e4awxs2t5saw90&quot;&gt;Literature Database&lt;record-ids&gt;&lt;item&gt;8&lt;/item&gt;&lt;item&gt;12&lt;/item&gt;&lt;item&gt;45&lt;/item&gt;&lt;item&gt;46&lt;/item&gt;&lt;item&gt;50&lt;/item&gt;&lt;item&gt;62&lt;/item&gt;&lt;item&gt;66&lt;/item&gt;&lt;item&gt;73&lt;/item&gt;&lt;item&gt;83&lt;/item&gt;&lt;item&gt;92&lt;/item&gt;&lt;item&gt;113&lt;/item&gt;&lt;item&gt;114&lt;/item&gt;&lt;item&gt;116&lt;/item&gt;&lt;item&gt;118&lt;/item&gt;&lt;item&gt;121&lt;/item&gt;&lt;item&gt;122&lt;/item&gt;&lt;item&gt;123&lt;/item&gt;&lt;item&gt;126&lt;/item&gt;&lt;item&gt;130&lt;/item&gt;&lt;item&gt;131&lt;/item&gt;&lt;item&gt;133&lt;/item&gt;&lt;item&gt;136&lt;/item&gt;&lt;item&gt;137&lt;/item&gt;&lt;item&gt;141&lt;/item&gt;&lt;item&gt;145&lt;/item&gt;&lt;item&gt;180&lt;/item&gt;&lt;item&gt;181&lt;/item&gt;&lt;item&gt;327&lt;/item&gt;&lt;item&gt;328&lt;/item&gt;&lt;item&gt;329&lt;/item&gt;&lt;item&gt;331&lt;/item&gt;&lt;item&gt;335&lt;/item&gt;&lt;item&gt;344&lt;/item&gt;&lt;item&gt;348&lt;/item&gt;&lt;item&gt;411&lt;/item&gt;&lt;item&gt;421&lt;/item&gt;&lt;item&gt;435&lt;/item&gt;&lt;item&gt;436&lt;/item&gt;&lt;/record-ids&gt;&lt;/item&gt;&lt;/Libraries&gt;"/>
  </w:docVars>
  <w:rsids>
    <w:rsidRoot w:val="001724BE"/>
    <w:rsid w:val="0001301A"/>
    <w:rsid w:val="0007524E"/>
    <w:rsid w:val="00084A20"/>
    <w:rsid w:val="000A7543"/>
    <w:rsid w:val="000D51BE"/>
    <w:rsid w:val="000F3AF0"/>
    <w:rsid w:val="00104719"/>
    <w:rsid w:val="00121E3E"/>
    <w:rsid w:val="001724BE"/>
    <w:rsid w:val="00184D87"/>
    <w:rsid w:val="00186F8F"/>
    <w:rsid w:val="001A3DC0"/>
    <w:rsid w:val="001B3F0A"/>
    <w:rsid w:val="001B54D4"/>
    <w:rsid w:val="001D64CF"/>
    <w:rsid w:val="00254B7E"/>
    <w:rsid w:val="002960E0"/>
    <w:rsid w:val="002C46A7"/>
    <w:rsid w:val="004B1B16"/>
    <w:rsid w:val="004B5111"/>
    <w:rsid w:val="005225A4"/>
    <w:rsid w:val="00557C25"/>
    <w:rsid w:val="00562F0C"/>
    <w:rsid w:val="005C0F66"/>
    <w:rsid w:val="005E54C1"/>
    <w:rsid w:val="00632A11"/>
    <w:rsid w:val="0069499B"/>
    <w:rsid w:val="0069741C"/>
    <w:rsid w:val="006B5E54"/>
    <w:rsid w:val="006C23F4"/>
    <w:rsid w:val="006E54DD"/>
    <w:rsid w:val="006F2C2B"/>
    <w:rsid w:val="007D56DC"/>
    <w:rsid w:val="00896287"/>
    <w:rsid w:val="008A7129"/>
    <w:rsid w:val="0090294D"/>
    <w:rsid w:val="00916A33"/>
    <w:rsid w:val="0092072C"/>
    <w:rsid w:val="00922C31"/>
    <w:rsid w:val="009F58D9"/>
    <w:rsid w:val="00A85D0D"/>
    <w:rsid w:val="00AA09AA"/>
    <w:rsid w:val="00AB6CB8"/>
    <w:rsid w:val="00AF4DA3"/>
    <w:rsid w:val="00B96331"/>
    <w:rsid w:val="00BB63FF"/>
    <w:rsid w:val="00C537DE"/>
    <w:rsid w:val="00C9413F"/>
    <w:rsid w:val="00CA56ED"/>
    <w:rsid w:val="00CD3254"/>
    <w:rsid w:val="00CF540D"/>
    <w:rsid w:val="00D23C93"/>
    <w:rsid w:val="00D27EE8"/>
    <w:rsid w:val="00D62EC6"/>
    <w:rsid w:val="00D80987"/>
    <w:rsid w:val="00D95B71"/>
    <w:rsid w:val="00DA577E"/>
    <w:rsid w:val="00DD3E46"/>
    <w:rsid w:val="00E63D91"/>
    <w:rsid w:val="00E71FB7"/>
    <w:rsid w:val="00F1016B"/>
    <w:rsid w:val="00F11C3C"/>
    <w:rsid w:val="00F175A5"/>
    <w:rsid w:val="00F20E6A"/>
    <w:rsid w:val="00F223CA"/>
    <w:rsid w:val="00F32DC9"/>
    <w:rsid w:val="00F343CB"/>
    <w:rsid w:val="00F343DA"/>
    <w:rsid w:val="00F9543E"/>
    <w:rsid w:val="00FE4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24BE"/>
  </w:style>
  <w:style w:type="paragraph" w:styleId="berschrift1">
    <w:name w:val="heading 1"/>
    <w:aliases w:val="TB Überschrift 1"/>
    <w:basedOn w:val="Standard"/>
    <w:next w:val="Standard"/>
    <w:link w:val="berschrift1Zchn"/>
    <w:qFormat/>
    <w:rsid w:val="001724BE"/>
    <w:pPr>
      <w:keepNext/>
      <w:spacing w:before="240" w:after="240" w:line="240" w:lineRule="auto"/>
      <w:outlineLvl w:val="0"/>
    </w:pPr>
    <w:rPr>
      <w:rFonts w:asciiTheme="majorHAnsi" w:eastAsia="Times New Roman" w:hAnsiTheme="majorHAnsi" w:cs="Times New Roman"/>
      <w:b/>
      <w:bCs/>
      <w:kern w:val="32"/>
      <w:szCs w:val="32"/>
      <w:lang w:val="en-GB"/>
    </w:rPr>
  </w:style>
  <w:style w:type="paragraph" w:styleId="berschrift2">
    <w:name w:val="heading 2"/>
    <w:basedOn w:val="Standard"/>
    <w:next w:val="Standard"/>
    <w:link w:val="berschrift2Zchn"/>
    <w:uiPriority w:val="9"/>
    <w:semiHidden/>
    <w:unhideWhenUsed/>
    <w:qFormat/>
    <w:rsid w:val="001724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B Überschrift 1 Zchn"/>
    <w:basedOn w:val="Absatz-Standardschriftart"/>
    <w:link w:val="berschrift1"/>
    <w:rsid w:val="001724BE"/>
    <w:rPr>
      <w:rFonts w:asciiTheme="majorHAnsi" w:eastAsia="Times New Roman" w:hAnsiTheme="majorHAnsi" w:cs="Times New Roman"/>
      <w:b/>
      <w:bCs/>
      <w:kern w:val="32"/>
      <w:szCs w:val="32"/>
      <w:lang w:val="en-GB"/>
    </w:rPr>
  </w:style>
  <w:style w:type="character" w:customStyle="1" w:styleId="berschrift2Zchn">
    <w:name w:val="Überschrift 2 Zchn"/>
    <w:basedOn w:val="Absatz-Standardschriftart"/>
    <w:link w:val="berschrift2"/>
    <w:uiPriority w:val="9"/>
    <w:semiHidden/>
    <w:rsid w:val="001724BE"/>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1724BE"/>
    <w:rPr>
      <w:color w:val="0000FF" w:themeColor="hyperlink"/>
      <w:u w:val="single"/>
    </w:rPr>
  </w:style>
  <w:style w:type="paragraph" w:styleId="Beschriftung">
    <w:name w:val="caption"/>
    <w:basedOn w:val="Standard"/>
    <w:next w:val="Standard"/>
    <w:link w:val="BeschriftungZchn"/>
    <w:unhideWhenUsed/>
    <w:qFormat/>
    <w:rsid w:val="001724BE"/>
    <w:pPr>
      <w:spacing w:line="240" w:lineRule="auto"/>
    </w:pPr>
    <w:rPr>
      <w:b/>
      <w:bCs/>
      <w:szCs w:val="18"/>
    </w:rPr>
  </w:style>
  <w:style w:type="paragraph" w:styleId="Funotentext">
    <w:name w:val="footnote text"/>
    <w:basedOn w:val="Standard"/>
    <w:link w:val="FunotentextZchn"/>
    <w:uiPriority w:val="99"/>
    <w:unhideWhenUsed/>
    <w:rsid w:val="001724BE"/>
    <w:pPr>
      <w:spacing w:after="0" w:line="240" w:lineRule="auto"/>
    </w:pPr>
    <w:rPr>
      <w:sz w:val="20"/>
      <w:szCs w:val="20"/>
    </w:rPr>
  </w:style>
  <w:style w:type="character" w:customStyle="1" w:styleId="FunotentextZchn">
    <w:name w:val="Fußnotentext Zchn"/>
    <w:basedOn w:val="Absatz-Standardschriftart"/>
    <w:link w:val="Funotentext"/>
    <w:uiPriority w:val="99"/>
    <w:rsid w:val="001724BE"/>
    <w:rPr>
      <w:sz w:val="20"/>
      <w:szCs w:val="20"/>
    </w:rPr>
  </w:style>
  <w:style w:type="character" w:styleId="Funotenzeichen">
    <w:name w:val="footnote reference"/>
    <w:basedOn w:val="Absatz-Standardschriftart"/>
    <w:uiPriority w:val="99"/>
    <w:semiHidden/>
    <w:unhideWhenUsed/>
    <w:rsid w:val="001724BE"/>
    <w:rPr>
      <w:vertAlign w:val="superscript"/>
    </w:rPr>
  </w:style>
  <w:style w:type="paragraph" w:styleId="Sprechblasentext">
    <w:name w:val="Balloon Text"/>
    <w:basedOn w:val="Standard"/>
    <w:link w:val="SprechblasentextZchn"/>
    <w:uiPriority w:val="99"/>
    <w:semiHidden/>
    <w:unhideWhenUsed/>
    <w:rsid w:val="001724B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24BE"/>
    <w:rPr>
      <w:rFonts w:ascii="Tahoma" w:hAnsi="Tahoma" w:cs="Tahoma"/>
      <w:sz w:val="16"/>
      <w:szCs w:val="16"/>
    </w:rPr>
  </w:style>
  <w:style w:type="table" w:styleId="Tabellenraster">
    <w:name w:val="Table Grid"/>
    <w:basedOn w:val="NormaleTabelle"/>
    <w:uiPriority w:val="59"/>
    <w:rsid w:val="001724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schriftungZchn">
    <w:name w:val="Beschriftung Zchn"/>
    <w:basedOn w:val="Absatz-Standardschriftart"/>
    <w:link w:val="Beschriftung"/>
    <w:rsid w:val="001724BE"/>
    <w:rPr>
      <w:b/>
      <w:bCs/>
      <w:szCs w:val="18"/>
    </w:rPr>
  </w:style>
  <w:style w:type="paragraph" w:customStyle="1" w:styleId="11">
    <w:name w:val="1.1"/>
    <w:basedOn w:val="berschrift2"/>
    <w:qFormat/>
    <w:rsid w:val="001724BE"/>
    <w:pPr>
      <w:keepLines w:val="0"/>
      <w:numPr>
        <w:ilvl w:val="1"/>
        <w:numId w:val="1"/>
      </w:numPr>
      <w:spacing w:before="240" w:after="240" w:line="240" w:lineRule="auto"/>
    </w:pPr>
    <w:rPr>
      <w:rFonts w:asciiTheme="minorHAnsi" w:eastAsia="Times New Roman" w:hAnsiTheme="minorHAnsi" w:cs="Times New Roman"/>
      <w:i/>
      <w:iCs/>
      <w:color w:val="auto"/>
      <w:sz w:val="22"/>
      <w:szCs w:val="22"/>
      <w:lang w:val="en-US"/>
    </w:rPr>
  </w:style>
  <w:style w:type="character" w:styleId="Platzhaltertext">
    <w:name w:val="Placeholder Text"/>
    <w:basedOn w:val="Absatz-Standardschriftart"/>
    <w:uiPriority w:val="99"/>
    <w:semiHidden/>
    <w:rsid w:val="001724BE"/>
    <w:rPr>
      <w:color w:val="808080"/>
    </w:rPr>
  </w:style>
  <w:style w:type="paragraph" w:styleId="Listenabsatz">
    <w:name w:val="List Paragraph"/>
    <w:basedOn w:val="Standard"/>
    <w:uiPriority w:val="34"/>
    <w:qFormat/>
    <w:rsid w:val="001724BE"/>
    <w:pPr>
      <w:ind w:left="720"/>
      <w:contextualSpacing/>
    </w:pPr>
  </w:style>
  <w:style w:type="character" w:styleId="Kommentarzeichen">
    <w:name w:val="annotation reference"/>
    <w:basedOn w:val="Absatz-Standardschriftart"/>
    <w:uiPriority w:val="99"/>
    <w:semiHidden/>
    <w:unhideWhenUsed/>
    <w:rsid w:val="001724BE"/>
    <w:rPr>
      <w:sz w:val="16"/>
      <w:szCs w:val="16"/>
    </w:rPr>
  </w:style>
  <w:style w:type="paragraph" w:styleId="Kommentartext">
    <w:name w:val="annotation text"/>
    <w:basedOn w:val="Standard"/>
    <w:link w:val="KommentartextZchn"/>
    <w:uiPriority w:val="99"/>
    <w:semiHidden/>
    <w:unhideWhenUsed/>
    <w:rsid w:val="001724B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24BE"/>
    <w:rPr>
      <w:sz w:val="20"/>
      <w:szCs w:val="20"/>
    </w:rPr>
  </w:style>
  <w:style w:type="paragraph" w:styleId="Kommentarthema">
    <w:name w:val="annotation subject"/>
    <w:basedOn w:val="Kommentartext"/>
    <w:next w:val="Kommentartext"/>
    <w:link w:val="KommentarthemaZchn"/>
    <w:uiPriority w:val="99"/>
    <w:semiHidden/>
    <w:unhideWhenUsed/>
    <w:rsid w:val="001724BE"/>
    <w:rPr>
      <w:b/>
      <w:bCs/>
    </w:rPr>
  </w:style>
  <w:style w:type="character" w:customStyle="1" w:styleId="KommentarthemaZchn">
    <w:name w:val="Kommentarthema Zchn"/>
    <w:basedOn w:val="KommentartextZchn"/>
    <w:link w:val="Kommentarthema"/>
    <w:uiPriority w:val="99"/>
    <w:semiHidden/>
    <w:rsid w:val="001724BE"/>
    <w:rPr>
      <w:b/>
      <w:bCs/>
      <w:sz w:val="20"/>
      <w:szCs w:val="20"/>
    </w:rPr>
  </w:style>
  <w:style w:type="paragraph" w:styleId="berarbeitung">
    <w:name w:val="Revision"/>
    <w:hidden/>
    <w:uiPriority w:val="99"/>
    <w:semiHidden/>
    <w:rsid w:val="0090294D"/>
    <w:pPr>
      <w:spacing w:after="0" w:line="240" w:lineRule="auto"/>
    </w:pPr>
  </w:style>
  <w:style w:type="paragraph" w:styleId="StandardWeb">
    <w:name w:val="Normal (Web)"/>
    <w:basedOn w:val="Standard"/>
    <w:uiPriority w:val="99"/>
    <w:unhideWhenUsed/>
    <w:rsid w:val="000D51BE"/>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24BE"/>
  </w:style>
  <w:style w:type="paragraph" w:styleId="berschrift1">
    <w:name w:val="heading 1"/>
    <w:aliases w:val="TB Überschrift 1"/>
    <w:basedOn w:val="Standard"/>
    <w:next w:val="Standard"/>
    <w:link w:val="berschrift1Zchn"/>
    <w:qFormat/>
    <w:rsid w:val="001724BE"/>
    <w:pPr>
      <w:keepNext/>
      <w:spacing w:before="240" w:after="240" w:line="240" w:lineRule="auto"/>
      <w:outlineLvl w:val="0"/>
    </w:pPr>
    <w:rPr>
      <w:rFonts w:asciiTheme="majorHAnsi" w:eastAsia="Times New Roman" w:hAnsiTheme="majorHAnsi" w:cs="Times New Roman"/>
      <w:b/>
      <w:bCs/>
      <w:kern w:val="32"/>
      <w:szCs w:val="32"/>
      <w:lang w:val="en-GB"/>
    </w:rPr>
  </w:style>
  <w:style w:type="paragraph" w:styleId="berschrift2">
    <w:name w:val="heading 2"/>
    <w:basedOn w:val="Standard"/>
    <w:next w:val="Standard"/>
    <w:link w:val="berschrift2Zchn"/>
    <w:uiPriority w:val="9"/>
    <w:semiHidden/>
    <w:unhideWhenUsed/>
    <w:qFormat/>
    <w:rsid w:val="001724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B Überschrift 1 Zchn"/>
    <w:basedOn w:val="Absatz-Standardschriftart"/>
    <w:link w:val="berschrift1"/>
    <w:rsid w:val="001724BE"/>
    <w:rPr>
      <w:rFonts w:asciiTheme="majorHAnsi" w:eastAsia="Times New Roman" w:hAnsiTheme="majorHAnsi" w:cs="Times New Roman"/>
      <w:b/>
      <w:bCs/>
      <w:kern w:val="32"/>
      <w:szCs w:val="32"/>
      <w:lang w:val="en-GB"/>
    </w:rPr>
  </w:style>
  <w:style w:type="character" w:customStyle="1" w:styleId="berschrift2Zchn">
    <w:name w:val="Überschrift 2 Zchn"/>
    <w:basedOn w:val="Absatz-Standardschriftart"/>
    <w:link w:val="berschrift2"/>
    <w:uiPriority w:val="9"/>
    <w:semiHidden/>
    <w:rsid w:val="001724BE"/>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1724BE"/>
    <w:rPr>
      <w:color w:val="0000FF" w:themeColor="hyperlink"/>
      <w:u w:val="single"/>
    </w:rPr>
  </w:style>
  <w:style w:type="paragraph" w:styleId="Beschriftung">
    <w:name w:val="caption"/>
    <w:basedOn w:val="Standard"/>
    <w:next w:val="Standard"/>
    <w:link w:val="BeschriftungZchn"/>
    <w:unhideWhenUsed/>
    <w:qFormat/>
    <w:rsid w:val="001724BE"/>
    <w:pPr>
      <w:spacing w:line="240" w:lineRule="auto"/>
    </w:pPr>
    <w:rPr>
      <w:b/>
      <w:bCs/>
      <w:szCs w:val="18"/>
    </w:rPr>
  </w:style>
  <w:style w:type="paragraph" w:styleId="Funotentext">
    <w:name w:val="footnote text"/>
    <w:basedOn w:val="Standard"/>
    <w:link w:val="FunotentextZchn"/>
    <w:uiPriority w:val="99"/>
    <w:unhideWhenUsed/>
    <w:rsid w:val="001724BE"/>
    <w:pPr>
      <w:spacing w:after="0" w:line="240" w:lineRule="auto"/>
    </w:pPr>
    <w:rPr>
      <w:sz w:val="20"/>
      <w:szCs w:val="20"/>
    </w:rPr>
  </w:style>
  <w:style w:type="character" w:customStyle="1" w:styleId="FunotentextZchn">
    <w:name w:val="Fußnotentext Zchn"/>
    <w:basedOn w:val="Absatz-Standardschriftart"/>
    <w:link w:val="Funotentext"/>
    <w:uiPriority w:val="99"/>
    <w:rsid w:val="001724BE"/>
    <w:rPr>
      <w:sz w:val="20"/>
      <w:szCs w:val="20"/>
    </w:rPr>
  </w:style>
  <w:style w:type="character" w:styleId="Funotenzeichen">
    <w:name w:val="footnote reference"/>
    <w:basedOn w:val="Absatz-Standardschriftart"/>
    <w:uiPriority w:val="99"/>
    <w:semiHidden/>
    <w:unhideWhenUsed/>
    <w:rsid w:val="001724BE"/>
    <w:rPr>
      <w:vertAlign w:val="superscript"/>
    </w:rPr>
  </w:style>
  <w:style w:type="paragraph" w:styleId="Sprechblasentext">
    <w:name w:val="Balloon Text"/>
    <w:basedOn w:val="Standard"/>
    <w:link w:val="SprechblasentextZchn"/>
    <w:uiPriority w:val="99"/>
    <w:semiHidden/>
    <w:unhideWhenUsed/>
    <w:rsid w:val="001724B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24BE"/>
    <w:rPr>
      <w:rFonts w:ascii="Tahoma" w:hAnsi="Tahoma" w:cs="Tahoma"/>
      <w:sz w:val="16"/>
      <w:szCs w:val="16"/>
    </w:rPr>
  </w:style>
  <w:style w:type="table" w:styleId="Tabellenraster">
    <w:name w:val="Table Grid"/>
    <w:basedOn w:val="NormaleTabelle"/>
    <w:uiPriority w:val="59"/>
    <w:rsid w:val="001724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schriftungZchn">
    <w:name w:val="Beschriftung Zchn"/>
    <w:basedOn w:val="Absatz-Standardschriftart"/>
    <w:link w:val="Beschriftung"/>
    <w:rsid w:val="001724BE"/>
    <w:rPr>
      <w:b/>
      <w:bCs/>
      <w:szCs w:val="18"/>
    </w:rPr>
  </w:style>
  <w:style w:type="paragraph" w:customStyle="1" w:styleId="11">
    <w:name w:val="1.1"/>
    <w:basedOn w:val="berschrift2"/>
    <w:qFormat/>
    <w:rsid w:val="001724BE"/>
    <w:pPr>
      <w:keepLines w:val="0"/>
      <w:numPr>
        <w:ilvl w:val="1"/>
        <w:numId w:val="1"/>
      </w:numPr>
      <w:spacing w:before="240" w:after="240" w:line="240" w:lineRule="auto"/>
    </w:pPr>
    <w:rPr>
      <w:rFonts w:asciiTheme="minorHAnsi" w:eastAsia="Times New Roman" w:hAnsiTheme="minorHAnsi" w:cs="Times New Roman"/>
      <w:i/>
      <w:iCs/>
      <w:color w:val="auto"/>
      <w:sz w:val="22"/>
      <w:szCs w:val="22"/>
      <w:lang w:val="en-US"/>
    </w:rPr>
  </w:style>
  <w:style w:type="character" w:styleId="Platzhaltertext">
    <w:name w:val="Placeholder Text"/>
    <w:basedOn w:val="Absatz-Standardschriftart"/>
    <w:uiPriority w:val="99"/>
    <w:semiHidden/>
    <w:rsid w:val="001724BE"/>
    <w:rPr>
      <w:color w:val="808080"/>
    </w:rPr>
  </w:style>
  <w:style w:type="paragraph" w:styleId="Listenabsatz">
    <w:name w:val="List Paragraph"/>
    <w:basedOn w:val="Standard"/>
    <w:uiPriority w:val="34"/>
    <w:qFormat/>
    <w:rsid w:val="001724BE"/>
    <w:pPr>
      <w:ind w:left="720"/>
      <w:contextualSpacing/>
    </w:pPr>
  </w:style>
  <w:style w:type="character" w:styleId="Kommentarzeichen">
    <w:name w:val="annotation reference"/>
    <w:basedOn w:val="Absatz-Standardschriftart"/>
    <w:uiPriority w:val="99"/>
    <w:semiHidden/>
    <w:unhideWhenUsed/>
    <w:rsid w:val="001724BE"/>
    <w:rPr>
      <w:sz w:val="16"/>
      <w:szCs w:val="16"/>
    </w:rPr>
  </w:style>
  <w:style w:type="paragraph" w:styleId="Kommentartext">
    <w:name w:val="annotation text"/>
    <w:basedOn w:val="Standard"/>
    <w:link w:val="KommentartextZchn"/>
    <w:uiPriority w:val="99"/>
    <w:semiHidden/>
    <w:unhideWhenUsed/>
    <w:rsid w:val="001724B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24BE"/>
    <w:rPr>
      <w:sz w:val="20"/>
      <w:szCs w:val="20"/>
    </w:rPr>
  </w:style>
  <w:style w:type="paragraph" w:styleId="Kommentarthema">
    <w:name w:val="annotation subject"/>
    <w:basedOn w:val="Kommentartext"/>
    <w:next w:val="Kommentartext"/>
    <w:link w:val="KommentarthemaZchn"/>
    <w:uiPriority w:val="99"/>
    <w:semiHidden/>
    <w:unhideWhenUsed/>
    <w:rsid w:val="001724BE"/>
    <w:rPr>
      <w:b/>
      <w:bCs/>
    </w:rPr>
  </w:style>
  <w:style w:type="character" w:customStyle="1" w:styleId="KommentarthemaZchn">
    <w:name w:val="Kommentarthema Zchn"/>
    <w:basedOn w:val="KommentartextZchn"/>
    <w:link w:val="Kommentarthema"/>
    <w:uiPriority w:val="99"/>
    <w:semiHidden/>
    <w:rsid w:val="001724BE"/>
    <w:rPr>
      <w:b/>
      <w:bCs/>
      <w:sz w:val="20"/>
      <w:szCs w:val="20"/>
    </w:rPr>
  </w:style>
  <w:style w:type="paragraph" w:styleId="berarbeitung">
    <w:name w:val="Revision"/>
    <w:hidden/>
    <w:uiPriority w:val="99"/>
    <w:semiHidden/>
    <w:rsid w:val="0090294D"/>
    <w:pPr>
      <w:spacing w:after="0" w:line="240" w:lineRule="auto"/>
    </w:pPr>
  </w:style>
  <w:style w:type="paragraph" w:styleId="StandardWeb">
    <w:name w:val="Normal (Web)"/>
    <w:basedOn w:val="Standard"/>
    <w:uiPriority w:val="99"/>
    <w:unhideWhenUsed/>
    <w:rsid w:val="000D51BE"/>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2667">
      <w:bodyDiv w:val="1"/>
      <w:marLeft w:val="0"/>
      <w:marRight w:val="0"/>
      <w:marTop w:val="0"/>
      <w:marBottom w:val="0"/>
      <w:divBdr>
        <w:top w:val="none" w:sz="0" w:space="0" w:color="auto"/>
        <w:left w:val="none" w:sz="0" w:space="0" w:color="auto"/>
        <w:bottom w:val="none" w:sz="0" w:space="0" w:color="auto"/>
        <w:right w:val="none" w:sz="0" w:space="0" w:color="auto"/>
      </w:divBdr>
      <w:divsChild>
        <w:div w:id="540754054">
          <w:marLeft w:val="0"/>
          <w:marRight w:val="0"/>
          <w:marTop w:val="0"/>
          <w:marBottom w:val="0"/>
          <w:divBdr>
            <w:top w:val="none" w:sz="0" w:space="0" w:color="auto"/>
            <w:left w:val="none" w:sz="0" w:space="0" w:color="auto"/>
            <w:bottom w:val="none" w:sz="0" w:space="0" w:color="auto"/>
            <w:right w:val="none" w:sz="0" w:space="0" w:color="auto"/>
          </w:divBdr>
        </w:div>
      </w:divsChild>
    </w:div>
    <w:div w:id="750466882">
      <w:bodyDiv w:val="1"/>
      <w:marLeft w:val="0"/>
      <w:marRight w:val="0"/>
      <w:marTop w:val="0"/>
      <w:marBottom w:val="0"/>
      <w:divBdr>
        <w:top w:val="none" w:sz="0" w:space="0" w:color="auto"/>
        <w:left w:val="none" w:sz="0" w:space="0" w:color="auto"/>
        <w:bottom w:val="none" w:sz="0" w:space="0" w:color="auto"/>
        <w:right w:val="none" w:sz="0" w:space="0" w:color="auto"/>
      </w:divBdr>
    </w:div>
    <w:div w:id="1158375357">
      <w:bodyDiv w:val="1"/>
      <w:marLeft w:val="0"/>
      <w:marRight w:val="0"/>
      <w:marTop w:val="0"/>
      <w:marBottom w:val="0"/>
      <w:divBdr>
        <w:top w:val="none" w:sz="0" w:space="0" w:color="auto"/>
        <w:left w:val="none" w:sz="0" w:space="0" w:color="auto"/>
        <w:bottom w:val="none" w:sz="0" w:space="0" w:color="auto"/>
        <w:right w:val="none" w:sz="0" w:space="0" w:color="auto"/>
      </w:divBdr>
    </w:div>
    <w:div w:id="2012029095">
      <w:bodyDiv w:val="1"/>
      <w:marLeft w:val="0"/>
      <w:marRight w:val="0"/>
      <w:marTop w:val="0"/>
      <w:marBottom w:val="0"/>
      <w:divBdr>
        <w:top w:val="none" w:sz="0" w:space="0" w:color="auto"/>
        <w:left w:val="none" w:sz="0" w:space="0" w:color="auto"/>
        <w:bottom w:val="none" w:sz="0" w:space="0" w:color="auto"/>
        <w:right w:val="none" w:sz="0" w:space="0" w:color="auto"/>
      </w:divBdr>
      <w:divsChild>
        <w:div w:id="349375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amo.de/en/iamo/institute/structure/departments/agricultural-market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Risk_Model_CA\AEE_articles\Appendix%20A_Farm%20gate%20pric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Risk_Model_CA\AEE_articles\Appendix%20b_INPUT%20pri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spPr>
            <a:solidFill>
              <a:schemeClr val="bg1">
                <a:lumMod val="75000"/>
              </a:schemeClr>
            </a:solidFill>
          </c:spPr>
          <c:invertIfNegative val="0"/>
          <c:dPt>
            <c:idx val="3"/>
            <c:invertIfNegative val="0"/>
            <c:bubble3D val="0"/>
            <c:spPr>
              <a:solidFill>
                <a:schemeClr val="tx1">
                  <a:lumMod val="65000"/>
                  <a:lumOff val="35000"/>
                </a:schemeClr>
              </a:solidFill>
            </c:spPr>
          </c:dPt>
          <c:dPt>
            <c:idx val="6"/>
            <c:invertIfNegative val="0"/>
            <c:bubble3D val="0"/>
            <c:spPr>
              <a:solidFill>
                <a:schemeClr val="tx1">
                  <a:lumMod val="65000"/>
                  <a:lumOff val="35000"/>
                </a:schemeClr>
              </a:solidFill>
            </c:spPr>
          </c:dPt>
          <c:dPt>
            <c:idx val="10"/>
            <c:invertIfNegative val="0"/>
            <c:bubble3D val="0"/>
            <c:spPr>
              <a:solidFill>
                <a:schemeClr val="tx1">
                  <a:lumMod val="65000"/>
                  <a:lumOff val="35000"/>
                </a:schemeClr>
              </a:solidFill>
            </c:spPr>
          </c:dPt>
          <c:dPt>
            <c:idx val="13"/>
            <c:invertIfNegative val="0"/>
            <c:bubble3D val="0"/>
            <c:spPr>
              <a:solidFill>
                <a:schemeClr val="tx1">
                  <a:lumMod val="65000"/>
                  <a:lumOff val="35000"/>
                </a:schemeClr>
              </a:solidFill>
            </c:spPr>
          </c:dPt>
          <c:dPt>
            <c:idx val="16"/>
            <c:invertIfNegative val="0"/>
            <c:bubble3D val="0"/>
            <c:spPr>
              <a:solidFill>
                <a:schemeClr val="tx1">
                  <a:lumMod val="65000"/>
                  <a:lumOff val="35000"/>
                </a:schemeClr>
              </a:solidFill>
            </c:spPr>
          </c:dPt>
          <c:dPt>
            <c:idx val="20"/>
            <c:invertIfNegative val="0"/>
            <c:bubble3D val="0"/>
            <c:spPr>
              <a:solidFill>
                <a:schemeClr val="tx1">
                  <a:lumMod val="65000"/>
                  <a:lumOff val="35000"/>
                </a:schemeClr>
              </a:solidFill>
            </c:spPr>
          </c:dPt>
          <c:dPt>
            <c:idx val="24"/>
            <c:invertIfNegative val="0"/>
            <c:bubble3D val="0"/>
            <c:spPr>
              <a:solidFill>
                <a:schemeClr val="tx1">
                  <a:lumMod val="65000"/>
                  <a:lumOff val="35000"/>
                </a:schemeClr>
              </a:solidFill>
            </c:spPr>
          </c:dPt>
          <c:cat>
            <c:multiLvlStrRef>
              <c:f>Tabelle3!$B$1:$C$25</c:f>
              <c:multiLvlStrCache>
                <c:ptCount val="25"/>
                <c:lvl>
                  <c:pt idx="0">
                    <c:v>Kazakhstan</c:v>
                  </c:pt>
                  <c:pt idx="1">
                    <c:v>Kyrgyzstan</c:v>
                  </c:pt>
                  <c:pt idx="2">
                    <c:v>Tajikistan</c:v>
                  </c:pt>
                  <c:pt idx="3">
                    <c:v>Uzbekistan</c:v>
                  </c:pt>
                  <c:pt idx="4">
                    <c:v>Kazakhstan</c:v>
                  </c:pt>
                  <c:pt idx="5">
                    <c:v>Tajikistan</c:v>
                  </c:pt>
                  <c:pt idx="6">
                    <c:v>Uzbekistan</c:v>
                  </c:pt>
                  <c:pt idx="7">
                    <c:v>Kazakhstan</c:v>
                  </c:pt>
                  <c:pt idx="8">
                    <c:v>Kyrgyzstan</c:v>
                  </c:pt>
                  <c:pt idx="9">
                    <c:v>Tajikistan</c:v>
                  </c:pt>
                  <c:pt idx="10">
                    <c:v>Uzbekistan</c:v>
                  </c:pt>
                  <c:pt idx="11">
                    <c:v>Kyrgyzstan</c:v>
                  </c:pt>
                  <c:pt idx="12">
                    <c:v>Tajikistan</c:v>
                  </c:pt>
                  <c:pt idx="13">
                    <c:v>Uzbekistan</c:v>
                  </c:pt>
                  <c:pt idx="14">
                    <c:v>Kazakhstan</c:v>
                  </c:pt>
                  <c:pt idx="15">
                    <c:v>Tajikistan</c:v>
                  </c:pt>
                  <c:pt idx="16">
                    <c:v>Uzbekistan</c:v>
                  </c:pt>
                  <c:pt idx="17">
                    <c:v>Kazakhstan</c:v>
                  </c:pt>
                  <c:pt idx="18">
                    <c:v>Kyrgyzstan</c:v>
                  </c:pt>
                  <c:pt idx="19">
                    <c:v>Tajikistan</c:v>
                  </c:pt>
                  <c:pt idx="20">
                    <c:v>Uzbekistan</c:v>
                  </c:pt>
                  <c:pt idx="21">
                    <c:v>Kazakhstan</c:v>
                  </c:pt>
                  <c:pt idx="22">
                    <c:v>Kyrgyzstan</c:v>
                  </c:pt>
                  <c:pt idx="23">
                    <c:v>Tajikistan</c:v>
                  </c:pt>
                  <c:pt idx="24">
                    <c:v>Uzbekistan</c:v>
                  </c:pt>
                </c:lvl>
                <c:lvl>
                  <c:pt idx="0">
                    <c:v>corn </c:v>
                  </c:pt>
                  <c:pt idx="4">
                    <c:v>cotton</c:v>
                  </c:pt>
                  <c:pt idx="7">
                    <c:v>lucerne</c:v>
                  </c:pt>
                  <c:pt idx="11">
                    <c:v>potatoes</c:v>
                  </c:pt>
                  <c:pt idx="14">
                    <c:v>rice</c:v>
                  </c:pt>
                  <c:pt idx="17">
                    <c:v>vegetable</c:v>
                  </c:pt>
                  <c:pt idx="21">
                    <c:v>wheat</c:v>
                  </c:pt>
                </c:lvl>
              </c:multiLvlStrCache>
            </c:multiLvlStrRef>
          </c:cat>
          <c:val>
            <c:numRef>
              <c:f>Tabelle3!$D$1:$D$25</c:f>
              <c:numCache>
                <c:formatCode>0.00</c:formatCode>
                <c:ptCount val="25"/>
                <c:pt idx="0">
                  <c:v>0.37021300000000001</c:v>
                </c:pt>
                <c:pt idx="1">
                  <c:v>0.35802700000000032</c:v>
                </c:pt>
                <c:pt idx="2">
                  <c:v>0.33757200000000104</c:v>
                </c:pt>
                <c:pt idx="3">
                  <c:v>0.19450000000000003</c:v>
                </c:pt>
                <c:pt idx="4">
                  <c:v>0.68499000000000065</c:v>
                </c:pt>
                <c:pt idx="5">
                  <c:v>0.41001600000000032</c:v>
                </c:pt>
                <c:pt idx="6">
                  <c:v>0.34563000000000016</c:v>
                </c:pt>
                <c:pt idx="7">
                  <c:v>0.14965800000000001</c:v>
                </c:pt>
                <c:pt idx="8">
                  <c:v>0.1407340000000003</c:v>
                </c:pt>
                <c:pt idx="9">
                  <c:v>0.66751499999999997</c:v>
                </c:pt>
                <c:pt idx="10">
                  <c:v>0.36556000000000038</c:v>
                </c:pt>
                <c:pt idx="11">
                  <c:v>0.26428600000000002</c:v>
                </c:pt>
                <c:pt idx="12">
                  <c:v>0.23058400000000001</c:v>
                </c:pt>
                <c:pt idx="13">
                  <c:v>0.294738</c:v>
                </c:pt>
                <c:pt idx="14">
                  <c:v>0.30000000000000032</c:v>
                </c:pt>
                <c:pt idx="15">
                  <c:v>0.63707899999999995</c:v>
                </c:pt>
                <c:pt idx="16">
                  <c:v>0.35876400000000008</c:v>
                </c:pt>
                <c:pt idx="17">
                  <c:v>0.31449700000000008</c:v>
                </c:pt>
                <c:pt idx="18">
                  <c:v>0.23</c:v>
                </c:pt>
                <c:pt idx="19">
                  <c:v>0.24316099999999999</c:v>
                </c:pt>
                <c:pt idx="20">
                  <c:v>0.29752500000000032</c:v>
                </c:pt>
                <c:pt idx="21">
                  <c:v>0.19157900000000003</c:v>
                </c:pt>
                <c:pt idx="22">
                  <c:v>0.20149800000000045</c:v>
                </c:pt>
                <c:pt idx="23">
                  <c:v>0.25035600000000002</c:v>
                </c:pt>
                <c:pt idx="24">
                  <c:v>0.16200100000000003</c:v>
                </c:pt>
              </c:numCache>
            </c:numRef>
          </c:val>
        </c:ser>
        <c:dLbls>
          <c:showLegendKey val="0"/>
          <c:showVal val="1"/>
          <c:showCatName val="0"/>
          <c:showSerName val="0"/>
          <c:showPercent val="0"/>
          <c:showBubbleSize val="0"/>
        </c:dLbls>
        <c:gapWidth val="75"/>
        <c:axId val="107865088"/>
        <c:axId val="85828736"/>
      </c:barChart>
      <c:catAx>
        <c:axId val="107865088"/>
        <c:scaling>
          <c:orientation val="minMax"/>
        </c:scaling>
        <c:delete val="0"/>
        <c:axPos val="b"/>
        <c:majorTickMark val="none"/>
        <c:minorTickMark val="none"/>
        <c:tickLblPos val="nextTo"/>
        <c:crossAx val="85828736"/>
        <c:crosses val="autoZero"/>
        <c:auto val="1"/>
        <c:lblAlgn val="ctr"/>
        <c:lblOffset val="100"/>
        <c:noMultiLvlLbl val="0"/>
      </c:catAx>
      <c:valAx>
        <c:axId val="85828736"/>
        <c:scaling>
          <c:orientation val="minMax"/>
        </c:scaling>
        <c:delete val="0"/>
        <c:axPos val="l"/>
        <c:title>
          <c:tx>
            <c:rich>
              <a:bodyPr rot="-5400000" vert="horz"/>
              <a:lstStyle/>
              <a:p>
                <a:pPr>
                  <a:defRPr b="0"/>
                </a:pPr>
                <a:r>
                  <a:rPr lang="de-DE" b="0"/>
                  <a:t>USD kg</a:t>
                </a:r>
                <a:r>
                  <a:rPr lang="de-DE" b="0" baseline="30000"/>
                  <a:t>-1</a:t>
                </a:r>
              </a:p>
            </c:rich>
          </c:tx>
          <c:overlay val="0"/>
        </c:title>
        <c:numFmt formatCode="0.00" sourceLinked="1"/>
        <c:majorTickMark val="none"/>
        <c:minorTickMark val="none"/>
        <c:tickLblPos val="nextTo"/>
        <c:crossAx val="10786508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spPr>
            <a:solidFill>
              <a:schemeClr val="bg1">
                <a:lumMod val="65000"/>
              </a:schemeClr>
            </a:solidFill>
          </c:spPr>
          <c:invertIfNegative val="0"/>
          <c:dPt>
            <c:idx val="3"/>
            <c:invertIfNegative val="0"/>
            <c:bubble3D val="0"/>
            <c:spPr>
              <a:solidFill>
                <a:schemeClr val="tx1">
                  <a:lumMod val="65000"/>
                  <a:lumOff val="35000"/>
                </a:schemeClr>
              </a:solidFill>
            </c:spPr>
          </c:dPt>
          <c:dPt>
            <c:idx val="6"/>
            <c:invertIfNegative val="0"/>
            <c:bubble3D val="0"/>
            <c:spPr>
              <a:solidFill>
                <a:schemeClr val="tx1">
                  <a:lumMod val="65000"/>
                  <a:lumOff val="35000"/>
                </a:schemeClr>
              </a:solidFill>
            </c:spPr>
          </c:dPt>
          <c:dPt>
            <c:idx val="9"/>
            <c:invertIfNegative val="0"/>
            <c:bubble3D val="0"/>
            <c:spPr>
              <a:solidFill>
                <a:schemeClr val="tx1">
                  <a:lumMod val="65000"/>
                  <a:lumOff val="35000"/>
                </a:schemeClr>
              </a:solidFill>
            </c:spPr>
          </c:dPt>
          <c:dPt>
            <c:idx val="12"/>
            <c:invertIfNegative val="0"/>
            <c:bubble3D val="0"/>
            <c:spPr>
              <a:solidFill>
                <a:schemeClr val="tx1">
                  <a:lumMod val="65000"/>
                  <a:lumOff val="35000"/>
                </a:schemeClr>
              </a:solidFill>
            </c:spPr>
          </c:dPt>
          <c:dPt>
            <c:idx val="16"/>
            <c:invertIfNegative val="0"/>
            <c:bubble3D val="0"/>
            <c:spPr>
              <a:solidFill>
                <a:schemeClr val="tx1">
                  <a:lumMod val="65000"/>
                  <a:lumOff val="35000"/>
                </a:schemeClr>
              </a:solidFill>
            </c:spPr>
          </c:dPt>
          <c:cat>
            <c:multiLvlStrRef>
              <c:f>Tabelle1!$A$16:$B$32</c:f>
              <c:multiLvlStrCache>
                <c:ptCount val="17"/>
                <c:lvl>
                  <c:pt idx="0">
                    <c:v>Kazakhstan</c:v>
                  </c:pt>
                  <c:pt idx="1">
                    <c:v>Kyrgyzstan</c:v>
                  </c:pt>
                  <c:pt idx="2">
                    <c:v>Tajikistan</c:v>
                  </c:pt>
                  <c:pt idx="3">
                    <c:v>Uzbekistan</c:v>
                  </c:pt>
                  <c:pt idx="4">
                    <c:v>Kazakhstan</c:v>
                  </c:pt>
                  <c:pt idx="5">
                    <c:v>Tajikistan</c:v>
                  </c:pt>
                  <c:pt idx="6">
                    <c:v>Uzbekistan</c:v>
                  </c:pt>
                  <c:pt idx="7">
                    <c:v>Kazakhstan</c:v>
                  </c:pt>
                  <c:pt idx="8">
                    <c:v>Tajikistan</c:v>
                  </c:pt>
                  <c:pt idx="9">
                    <c:v>Uzbekistan</c:v>
                  </c:pt>
                  <c:pt idx="10">
                    <c:v>Kyrgyzstan</c:v>
                  </c:pt>
                  <c:pt idx="11">
                    <c:v>Tajikistan</c:v>
                  </c:pt>
                  <c:pt idx="12">
                    <c:v>Uzbekistan</c:v>
                  </c:pt>
                  <c:pt idx="13">
                    <c:v>Kazakhstan</c:v>
                  </c:pt>
                  <c:pt idx="14">
                    <c:v>Kyrgyzstan</c:v>
                  </c:pt>
                  <c:pt idx="15">
                    <c:v>Tajikistan</c:v>
                  </c:pt>
                  <c:pt idx="16">
                    <c:v>Uzbekistan</c:v>
                  </c:pt>
                </c:lvl>
                <c:lvl>
                  <c:pt idx="0">
                    <c:v>fuel </c:v>
                  </c:pt>
                  <c:pt idx="4">
                    <c:v>ammafos</c:v>
                  </c:pt>
                  <c:pt idx="7">
                    <c:v>nirate</c:v>
                  </c:pt>
                  <c:pt idx="10">
                    <c:v>wheat seed</c:v>
                  </c:pt>
                  <c:pt idx="13">
                    <c:v>potatoes seed</c:v>
                  </c:pt>
                </c:lvl>
              </c:multiLvlStrCache>
            </c:multiLvlStrRef>
          </c:cat>
          <c:val>
            <c:numRef>
              <c:f>Tabelle1!$C$16:$C$32</c:f>
              <c:numCache>
                <c:formatCode>0.00</c:formatCode>
                <c:ptCount val="17"/>
                <c:pt idx="0">
                  <c:v>0.42465750000000002</c:v>
                </c:pt>
                <c:pt idx="1">
                  <c:v>0.61702130000000133</c:v>
                </c:pt>
                <c:pt idx="2">
                  <c:v>0.89887640000000013</c:v>
                </c:pt>
                <c:pt idx="3">
                  <c:v>0.65565560000000289</c:v>
                </c:pt>
                <c:pt idx="4">
                  <c:v>0.34246580000000038</c:v>
                </c:pt>
                <c:pt idx="5">
                  <c:v>0.44943820000000007</c:v>
                </c:pt>
                <c:pt idx="6">
                  <c:v>0.35763030000000001</c:v>
                </c:pt>
                <c:pt idx="7">
                  <c:v>0.22602740000000004</c:v>
                </c:pt>
                <c:pt idx="8">
                  <c:v>0.44943820000000007</c:v>
                </c:pt>
                <c:pt idx="9">
                  <c:v>0.29802530000000038</c:v>
                </c:pt>
                <c:pt idx="10">
                  <c:v>0.25531910000000002</c:v>
                </c:pt>
                <c:pt idx="11">
                  <c:v>0.25842700000000002</c:v>
                </c:pt>
                <c:pt idx="12">
                  <c:v>0.23842020000000036</c:v>
                </c:pt>
                <c:pt idx="13">
                  <c:v>0.4109589000000009</c:v>
                </c:pt>
                <c:pt idx="15">
                  <c:v>0.33707870000000151</c:v>
                </c:pt>
                <c:pt idx="16">
                  <c:v>1.3113109999999999</c:v>
                </c:pt>
              </c:numCache>
            </c:numRef>
          </c:val>
        </c:ser>
        <c:dLbls>
          <c:showLegendKey val="0"/>
          <c:showVal val="1"/>
          <c:showCatName val="0"/>
          <c:showSerName val="0"/>
          <c:showPercent val="0"/>
          <c:showBubbleSize val="0"/>
        </c:dLbls>
        <c:gapWidth val="75"/>
        <c:axId val="107865600"/>
        <c:axId val="85831040"/>
      </c:barChart>
      <c:catAx>
        <c:axId val="107865600"/>
        <c:scaling>
          <c:orientation val="minMax"/>
        </c:scaling>
        <c:delete val="0"/>
        <c:axPos val="b"/>
        <c:majorTickMark val="none"/>
        <c:minorTickMark val="none"/>
        <c:tickLblPos val="nextTo"/>
        <c:crossAx val="85831040"/>
        <c:crosses val="autoZero"/>
        <c:auto val="1"/>
        <c:lblAlgn val="ctr"/>
        <c:lblOffset val="100"/>
        <c:noMultiLvlLbl val="0"/>
      </c:catAx>
      <c:valAx>
        <c:axId val="85831040"/>
        <c:scaling>
          <c:orientation val="minMax"/>
        </c:scaling>
        <c:delete val="0"/>
        <c:axPos val="l"/>
        <c:title>
          <c:tx>
            <c:rich>
              <a:bodyPr rot="-5400000" vert="horz"/>
              <a:lstStyle/>
              <a:p>
                <a:pPr>
                  <a:defRPr/>
                </a:pPr>
                <a:r>
                  <a:rPr lang="de-DE"/>
                  <a:t>USD kg-1</a:t>
                </a:r>
              </a:p>
            </c:rich>
          </c:tx>
          <c:overlay val="0"/>
        </c:title>
        <c:numFmt formatCode="0.00" sourceLinked="1"/>
        <c:majorTickMark val="none"/>
        <c:minorTickMark val="none"/>
        <c:tickLblPos val="nextTo"/>
        <c:crossAx val="107865600"/>
        <c:crosses val="autoZero"/>
        <c:crossBetween val="between"/>
      </c:valAx>
    </c:plotArea>
    <c:plotVisOnly val="1"/>
    <c:dispBlanksAs val="gap"/>
    <c:showDLblsOverMax val="0"/>
  </c:chart>
  <c:spPr>
    <a:ln>
      <a:noFill/>
    </a:ln>
  </c:spPr>
  <c:txPr>
    <a:bodyPr/>
    <a:lstStyle/>
    <a:p>
      <a:pPr>
        <a:defRPr i="0"/>
      </a:pPr>
      <a:endParaRPr lang="de-DE"/>
    </a:p>
  </c:tx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32A4F-1ED8-49C8-8D9E-87A539862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10128</Words>
  <Characters>63807</Characters>
  <Application>Microsoft Office Word</Application>
  <DocSecurity>0</DocSecurity>
  <Lines>531</Lines>
  <Paragraphs>147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Bobojonov, Ihtiyor</dc:creator>
  <cp:lastModifiedBy>Bobojonov, Ihtiyor</cp:lastModifiedBy>
  <cp:revision>38</cp:revision>
  <dcterms:created xsi:type="dcterms:W3CDTF">2013-07-25T09:10:00Z</dcterms:created>
  <dcterms:modified xsi:type="dcterms:W3CDTF">2013-07-26T08:32:00Z</dcterms:modified>
</cp:coreProperties>
</file>