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2.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3.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139" w:rsidRPr="002A4B19" w:rsidRDefault="00574139" w:rsidP="00574139">
      <w:pPr>
        <w:pStyle w:val="MDPI12title"/>
        <w:rPr>
          <w:color w:val="auto"/>
        </w:rPr>
      </w:pPr>
      <w:r w:rsidRPr="002A4B19">
        <w:rPr>
          <w:rFonts w:eastAsiaTheme="minorEastAsia"/>
          <w:color w:val="auto"/>
          <w:lang w:eastAsia="ko-KR"/>
        </w:rPr>
        <w:t xml:space="preserve">Growth </w:t>
      </w:r>
      <w:r w:rsidRPr="002A4B19">
        <w:rPr>
          <w:rFonts w:eastAsiaTheme="minorEastAsia"/>
          <w:i/>
          <w:color w:val="auto"/>
          <w:lang w:eastAsia="ko-KR"/>
        </w:rPr>
        <w:t>versus</w:t>
      </w:r>
      <w:r w:rsidRPr="002A4B19">
        <w:rPr>
          <w:rFonts w:eastAsiaTheme="minorEastAsia"/>
          <w:color w:val="auto"/>
          <w:lang w:eastAsia="ko-KR"/>
        </w:rPr>
        <w:t xml:space="preserve"> Equity: A CGE Analysis for </w:t>
      </w:r>
      <w:r w:rsidRPr="002A4B19">
        <w:rPr>
          <w:color w:val="auto"/>
        </w:rPr>
        <w:t>Effects of Factor-biased Technical Progress on Economic Growth and Employment</w:t>
      </w:r>
    </w:p>
    <w:p w:rsidR="007F1940" w:rsidRPr="002A4B19" w:rsidRDefault="007F1940"/>
    <w:p w:rsidR="00574139" w:rsidRPr="002A4B19" w:rsidRDefault="00574139" w:rsidP="00574139">
      <w:pPr>
        <w:pStyle w:val="MDPI17abstract"/>
        <w:spacing w:line="276" w:lineRule="auto"/>
        <w:rPr>
          <w:rFonts w:ascii="Times New Roman" w:eastAsiaTheme="minorEastAsia" w:hAnsi="Times New Roman"/>
          <w:color w:val="auto"/>
          <w:sz w:val="24"/>
          <w:lang w:eastAsia="ko-KR"/>
        </w:rPr>
      </w:pPr>
      <w:r w:rsidRPr="002A4B19">
        <w:rPr>
          <w:rFonts w:ascii="Times New Roman" w:eastAsiaTheme="minorEastAsia" w:hAnsi="Times New Roman"/>
          <w:b/>
          <w:color w:val="auto"/>
          <w:sz w:val="24"/>
          <w:lang w:eastAsia="ko-KR"/>
        </w:rPr>
        <w:t xml:space="preserve">Abstract: </w:t>
      </w:r>
      <w:r w:rsidRPr="002A4B19">
        <w:rPr>
          <w:rFonts w:ascii="Times New Roman" w:eastAsiaTheme="minorEastAsia" w:hAnsi="Times New Roman" w:hint="eastAsia"/>
          <w:color w:val="auto"/>
          <w:sz w:val="24"/>
          <w:lang w:eastAsia="ko-KR"/>
        </w:rPr>
        <w:t xml:space="preserve">With </w:t>
      </w:r>
      <w:r w:rsidRPr="002A4B19">
        <w:rPr>
          <w:rFonts w:ascii="Times New Roman" w:eastAsiaTheme="minorEastAsia" w:hAnsi="Times New Roman"/>
          <w:color w:val="auto"/>
          <w:sz w:val="24"/>
          <w:lang w:eastAsia="ko-KR"/>
        </w:rPr>
        <w:t>factor-biased technical progress</w:t>
      </w:r>
      <w:r w:rsidRPr="002A4B19">
        <w:rPr>
          <w:rFonts w:ascii="Times New Roman" w:eastAsiaTheme="minorEastAsia" w:hAnsi="Times New Roman" w:hint="eastAsia"/>
          <w:color w:val="auto"/>
          <w:sz w:val="24"/>
          <w:lang w:eastAsia="ko-KR"/>
        </w:rPr>
        <w:t xml:space="preserve"> described as labor-saving and skill-biased technical change</w:t>
      </w:r>
      <w:r w:rsidR="00FB66F1" w:rsidRPr="002A4B19">
        <w:rPr>
          <w:rFonts w:ascii="Times New Roman" w:eastAsiaTheme="minorEastAsia" w:hAnsi="Times New Roman"/>
          <w:color w:val="auto"/>
          <w:sz w:val="24"/>
          <w:lang w:eastAsia="ko-KR"/>
        </w:rPr>
        <w:t>s</w:t>
      </w:r>
      <w:r w:rsidRPr="002A4B19">
        <w:rPr>
          <w:rFonts w:ascii="Times New Roman" w:eastAsiaTheme="minorEastAsia" w:hAnsi="Times New Roman"/>
          <w:color w:val="auto"/>
          <w:sz w:val="24"/>
          <w:lang w:eastAsia="ko-KR"/>
        </w:rPr>
        <w:t>, there are concerns that technologi</w:t>
      </w:r>
      <w:bookmarkStart w:id="0" w:name="_GoBack"/>
      <w:bookmarkEnd w:id="0"/>
      <w:r w:rsidRPr="002A4B19">
        <w:rPr>
          <w:rFonts w:ascii="Times New Roman" w:eastAsiaTheme="minorEastAsia" w:hAnsi="Times New Roman"/>
          <w:color w:val="auto"/>
          <w:sz w:val="24"/>
          <w:lang w:eastAsia="ko-KR"/>
        </w:rPr>
        <w:t>cal innovation can lead to unemployment and widen inequality in the economy. This study explores impacts of factor-biased technical change</w:t>
      </w:r>
      <w:r w:rsidR="00FB66F1" w:rsidRPr="002A4B19">
        <w:rPr>
          <w:rFonts w:ascii="Times New Roman" w:eastAsiaTheme="minorEastAsia" w:hAnsi="Times New Roman"/>
          <w:color w:val="auto"/>
          <w:sz w:val="24"/>
          <w:lang w:eastAsia="ko-KR"/>
        </w:rPr>
        <w:t>s</w:t>
      </w:r>
      <w:r w:rsidRPr="002A4B19">
        <w:rPr>
          <w:rFonts w:ascii="Times New Roman" w:eastAsiaTheme="minorEastAsia" w:hAnsi="Times New Roman"/>
          <w:color w:val="auto"/>
          <w:sz w:val="24"/>
          <w:lang w:eastAsia="ko-KR"/>
        </w:rPr>
        <w:t xml:space="preserve"> on the economic system in terms of economic growth, employment, and distribution, using a computable general equilibrium (CGE) model. The results show that technological innovation contributes to higher level of economic growth with productivity improvements. However, our analysis suggests that economic growth accompanied by skill- and capital-biased technical progress disproportionately increases demand for capital and high-skilled labor over skilled and unskilled labor. This shift in the value-added composition is found to deepen income inequality, as more people in higher income groups benefit from skill premium and capital earnings. Our results suggest that policymakers should prepare a wide range of policy measures, such as reforms in educational programs </w:t>
      </w:r>
      <w:r w:rsidRPr="002A4B19">
        <w:rPr>
          <w:rFonts w:ascii="Times New Roman" w:eastAsiaTheme="minorEastAsia" w:hAnsi="Times New Roman" w:hint="eastAsia"/>
          <w:color w:val="auto"/>
          <w:sz w:val="24"/>
          <w:lang w:eastAsia="ko-KR"/>
        </w:rPr>
        <w:t xml:space="preserve">and taxation </w:t>
      </w:r>
      <w:r w:rsidRPr="002A4B19">
        <w:rPr>
          <w:rFonts w:ascii="Times New Roman" w:eastAsiaTheme="minorEastAsia" w:hAnsi="Times New Roman"/>
          <w:color w:val="auto"/>
          <w:sz w:val="24"/>
          <w:lang w:eastAsia="ko-KR"/>
        </w:rPr>
        <w:t>systems, in order to ensure sustainable growth.</w:t>
      </w:r>
    </w:p>
    <w:p w:rsidR="00574139" w:rsidRPr="002A4B19" w:rsidRDefault="00574139" w:rsidP="00574139">
      <w:pPr>
        <w:rPr>
          <w:lang w:bidi="en-US"/>
        </w:rPr>
      </w:pPr>
    </w:p>
    <w:p w:rsidR="00574139" w:rsidRPr="002A4B19" w:rsidRDefault="00574139" w:rsidP="00574139">
      <w:pPr>
        <w:ind w:rightChars="150" w:right="300"/>
        <w:rPr>
          <w:rFonts w:ascii="Times New Roman" w:hAnsi="Times New Roman" w:cs="Times New Roman"/>
          <w:sz w:val="22"/>
          <w:szCs w:val="24"/>
        </w:rPr>
      </w:pPr>
      <w:r w:rsidRPr="002A4B19">
        <w:rPr>
          <w:rFonts w:ascii="Times New Roman" w:hAnsi="Times New Roman" w:cs="Times New Roman"/>
          <w:sz w:val="22"/>
          <w:szCs w:val="24"/>
        </w:rPr>
        <w:t>JEL Classification: C68, D58, O30, O40</w:t>
      </w:r>
    </w:p>
    <w:p w:rsidR="00574139" w:rsidRPr="002A4B19" w:rsidRDefault="00574139" w:rsidP="00574139">
      <w:pPr>
        <w:pStyle w:val="MDPI19line"/>
        <w:pBdr>
          <w:bottom w:val="single" w:sz="4" w:space="1" w:color="auto"/>
        </w:pBdr>
        <w:spacing w:after="480"/>
        <w:rPr>
          <w:color w:val="auto"/>
        </w:rPr>
      </w:pPr>
      <w:r w:rsidRPr="002A4B19">
        <w:rPr>
          <w:rFonts w:ascii="Times New Roman" w:hAnsi="Times New Roman" w:cs="Times New Roman"/>
          <w:i/>
          <w:color w:val="auto"/>
          <w:sz w:val="24"/>
        </w:rPr>
        <w:t>Keywords:</w:t>
      </w:r>
      <w:r w:rsidRPr="002A4B19">
        <w:rPr>
          <w:rFonts w:ascii="Times New Roman" w:hAnsi="Times New Roman" w:cs="Times New Roman"/>
          <w:color w:val="auto"/>
          <w:sz w:val="22"/>
        </w:rPr>
        <w:t xml:space="preserve"> Innovation; Economic growth; Employment; Computable General Equilibrium; South Korea</w:t>
      </w:r>
    </w:p>
    <w:p w:rsidR="00574139" w:rsidRPr="002A4B19" w:rsidRDefault="00574139" w:rsidP="00574139">
      <w:pPr>
        <w:pStyle w:val="Mdeck4heading1"/>
        <w:spacing w:before="0"/>
        <w:rPr>
          <w:rFonts w:cs="Times New Roman"/>
          <w:color w:val="auto"/>
          <w:lang w:eastAsia="zh-CN"/>
        </w:rPr>
      </w:pPr>
      <w:r w:rsidRPr="002A4B19">
        <w:rPr>
          <w:rFonts w:cs="Times New Roman"/>
          <w:color w:val="auto"/>
          <w:lang w:eastAsia="zh-CN"/>
        </w:rPr>
        <w:t>1. Introduction</w:t>
      </w:r>
    </w:p>
    <w:p w:rsidR="00574139" w:rsidRPr="002A4B19" w:rsidRDefault="00574139" w:rsidP="00574139">
      <w:pPr>
        <w:pStyle w:val="Mdeck4text"/>
        <w:rPr>
          <w:rFonts w:eastAsiaTheme="minorEastAsia" w:cs="Times New Roman"/>
          <w:color w:val="auto"/>
          <w:lang w:eastAsia="ko-KR"/>
        </w:rPr>
      </w:pPr>
      <w:r w:rsidRPr="002A4B19">
        <w:rPr>
          <w:rFonts w:eastAsiaTheme="minorEastAsia" w:cs="Times New Roman"/>
          <w:color w:val="auto"/>
          <w:lang w:eastAsia="ko-KR"/>
        </w:rPr>
        <w:t>During the 1990s and the early 2000s, many countries have witnessed “jobless growth,” in which economies experience economic growth while decreasing their employment levels. In other words, increases in economic outputs come predominantly from higher productivities of already employed workers, rather than from the expansion of the labor force. As a result, the unemployment rates show high levels for a prolonged period, despite economic growth (Usanov and Chivot, 2013). There are concerns that jobless growth is not just a cyclical phenomenon, but also a structural problem driven by technological progress.</w:t>
      </w:r>
    </w:p>
    <w:p w:rsidR="00574139" w:rsidRPr="002A4B19" w:rsidRDefault="00574139" w:rsidP="00574139">
      <w:pPr>
        <w:pStyle w:val="Mdeck4text"/>
        <w:rPr>
          <w:rFonts w:eastAsiaTheme="minorEastAsia" w:cs="Times New Roman"/>
          <w:color w:val="auto"/>
          <w:lang w:eastAsia="ko-KR"/>
        </w:rPr>
      </w:pPr>
      <w:r w:rsidRPr="002A4B19">
        <w:rPr>
          <w:rFonts w:eastAsiaTheme="minorEastAsia" w:cs="Times New Roman"/>
          <w:color w:val="auto"/>
          <w:lang w:eastAsia="ko-KR"/>
        </w:rPr>
        <w:t xml:space="preserve">Brynjolfsson and McAfee (2014) pointed out that firms in the United States (U.S.) did not expand hiring after the Great Recession (from 2007 to 2008), and U.S. economy having shown the highest unemployment rate since the postwar period. They stated that wide deployment of new technologies (i.e., digital technologies) is one of the most important driving forces behind higher structural unemployment rates in recent years. They also argued that newly adopted machines and automation devices with higher productivity replace workers, leading to slower job creation. Furthermore, they describe this situation as being one in which many people are </w:t>
      </w:r>
      <w:r w:rsidRPr="002A4B19">
        <w:rPr>
          <w:rFonts w:eastAsiaTheme="minorEastAsia" w:cs="Times New Roman"/>
          <w:color w:val="auto"/>
          <w:lang w:eastAsia="ko-KR"/>
        </w:rPr>
        <w:lastRenderedPageBreak/>
        <w:t>losing the race against the machine (Brynjolfsson and McAfee, 2014; 2012). Stiglitz (2014) also argued that productivity improvements from technological innovations in U.S. manufacturing sectors have been coupled with decreased employment and wages, leading to the current economic slowdown.</w:t>
      </w:r>
    </w:p>
    <w:p w:rsidR="00574139" w:rsidRPr="002A4B19" w:rsidRDefault="00574139" w:rsidP="00574139">
      <w:pPr>
        <w:pStyle w:val="Mdeck4text"/>
        <w:rPr>
          <w:rFonts w:eastAsiaTheme="minorEastAsia" w:cs="Times New Roman"/>
          <w:color w:val="auto"/>
          <w:lang w:eastAsia="ko-KR"/>
        </w:rPr>
      </w:pPr>
      <w:r w:rsidRPr="002A4B19">
        <w:rPr>
          <w:rFonts w:eastAsiaTheme="minorEastAsia" w:cs="Times New Roman"/>
          <w:color w:val="auto"/>
          <w:lang w:eastAsia="ko-KR"/>
        </w:rPr>
        <w:t>Concerns about the role of the technological innovations behind the labor market are not new. The Industrial Revolution during the late 18th and early 19th centuries initially drew attention to the relationship between technology and the labor market, as English workers lost their jobs to newly developed machines during that period (Bessen, 2015; Katz and Margo, 2013). Debates on the impacts of technological innovations on the labor market and employment have been sparked again in recent years, with the advent of emerging technologies, such as robotics and artificial intelligence. However, there are substantial disagreements between studies, in relation to the effects of innovations and technological progress on employment structure.</w:t>
      </w:r>
    </w:p>
    <w:p w:rsidR="00574139" w:rsidRPr="002A4B19" w:rsidRDefault="00574139" w:rsidP="00574139">
      <w:pPr>
        <w:pStyle w:val="Mdeck4text"/>
        <w:rPr>
          <w:rFonts w:eastAsiaTheme="minorEastAsia" w:cs="Times New Roman"/>
          <w:color w:val="auto"/>
          <w:lang w:eastAsia="ko-KR"/>
        </w:rPr>
      </w:pPr>
      <w:r w:rsidRPr="002A4B19">
        <w:rPr>
          <w:rFonts w:eastAsiaTheme="minorEastAsia" w:cs="Times New Roman"/>
          <w:color w:val="auto"/>
          <w:lang w:eastAsia="ko-KR"/>
        </w:rPr>
        <w:t>As described above, there is a growing body of evidence from studies about “technological unemployment” that rapid advances in technologies, and productivity improvements from technological innovations, displace many workers (Marchant et al., 2014). Those studies highlight the fact that technological unemployment in recent years is deeply associated with job polarization and social inequality in the economy. For example, Usanov and Chivot (2013) found that the digital revolution has favored high skilled labor, as technical progress usually replaces tasks traditionally carried out by unskilled labor. Mallick and Sousa (2015) also uncovered a positive relationship between technological progress and the skilled–unskilled labor ratio, which supports “skill-biased” characteristics of technical change. From these findings, they stressed that divergent trends in the wages for skilled and unskilled labor is a main contributor behind income inequality in recent years.</w:t>
      </w:r>
    </w:p>
    <w:p w:rsidR="00574139" w:rsidRPr="002A4B19" w:rsidRDefault="00574139" w:rsidP="00574139">
      <w:pPr>
        <w:pStyle w:val="Mdeck4text"/>
        <w:rPr>
          <w:rFonts w:eastAsiaTheme="minorEastAsia" w:cs="Times New Roman"/>
          <w:color w:val="auto"/>
          <w:lang w:eastAsia="ko-KR"/>
        </w:rPr>
      </w:pPr>
      <w:r w:rsidRPr="002A4B19">
        <w:rPr>
          <w:rFonts w:eastAsiaTheme="minorEastAsia" w:cs="Times New Roman"/>
          <w:color w:val="auto"/>
          <w:lang w:eastAsia="ko-KR"/>
        </w:rPr>
        <w:t>Another strand of the studies emphasized that technological unemployment is the direct effect of technological progress, and that indirect effects or compensating mechanisms should be considered, to fully understand the employment impact of technological change in the economic system (Piva and Vivarelli, 2005). Vivarelli (2014, 2012) highlighted the fact that, from a macroeconomic view, technological progress has several second-order effects on employment, such as income (increase of income) and price mechanisms (decrease of commodities’ prices), which could counterbalance direct employment impacts of technological change (i.e., technological unemployment). Those studies suggest that final impacts of innovations on employment can vary, depending on various economic factors in macroeconomic conditions.</w:t>
      </w:r>
    </w:p>
    <w:p w:rsidR="00574139" w:rsidRPr="002A4B19" w:rsidRDefault="00574139" w:rsidP="00574139">
      <w:pPr>
        <w:pStyle w:val="Mdeck4text"/>
        <w:rPr>
          <w:rFonts w:eastAsiaTheme="minorEastAsia" w:cs="Times New Roman"/>
          <w:color w:val="auto"/>
          <w:lang w:eastAsia="ko-KR"/>
        </w:rPr>
      </w:pPr>
      <w:r w:rsidRPr="002A4B19">
        <w:rPr>
          <w:rFonts w:eastAsiaTheme="minorEastAsia" w:cs="Times New Roman"/>
          <w:color w:val="auto"/>
          <w:lang w:eastAsia="ko-KR"/>
        </w:rPr>
        <w:t xml:space="preserve">In this regard, from an economy-wide perspective, it is essential to consider both direct effects of technological change and market compensation forces in analyzing final outcomes of technological progress in terms of employment. Despite a growing body of theoretical literature on the employment impact of technological change, there is a lack of quantitative analysis for this issue. In particular, most quantitative studies have focused on direct effects of </w:t>
      </w:r>
      <w:r w:rsidRPr="002A4B19">
        <w:rPr>
          <w:rFonts w:eastAsiaTheme="minorEastAsia" w:cs="Times New Roman"/>
          <w:color w:val="auto"/>
          <w:lang w:eastAsia="ko-KR"/>
        </w:rPr>
        <w:lastRenderedPageBreak/>
        <w:t>new technologies on the number of employees and on wages, based on the firm- and industry-level analysis.</w:t>
      </w:r>
    </w:p>
    <w:p w:rsidR="00574139" w:rsidRPr="002A4B19" w:rsidRDefault="00574139" w:rsidP="00574139">
      <w:pPr>
        <w:pStyle w:val="Mdeck4text"/>
        <w:rPr>
          <w:rFonts w:eastAsiaTheme="minorEastAsia" w:cs="Times New Roman"/>
          <w:color w:val="auto"/>
          <w:lang w:eastAsia="ko-KR"/>
        </w:rPr>
      </w:pPr>
      <w:r w:rsidRPr="002A4B19">
        <w:rPr>
          <w:rFonts w:eastAsiaTheme="minorEastAsia" w:cs="Times New Roman"/>
          <w:color w:val="auto"/>
          <w:lang w:eastAsia="ko-KR"/>
        </w:rPr>
        <w:t>This study aims to quantitatively assess the macroeconomic impacts of innovations on employment structure and economic growth, with an economy-wide aspect, using a computable general equilibrium (CGE) model. We focus on the economy in Korea (South Korea), and simulation results for policy scenarios are analyzed in terms of employment structure, economic growth, and social inequality. For the analysis, we reflect innovation-related activities (i.e., endogenously determined R&amp;D investments), characteristics of knowledge (i.e., spillover effects from knowledge accumulation), and factor-biased technological change in the model. The economic intuition behind these methodological approaches is that current labor-saving and skill-biased technological change from innovations shapes the employment structure in the economy by interacting with market mechanisms. Our study is significant, in that it is devoted to a macroeconomic analysis in investigating the link between technological innovations and the labor market, with understanding of both direct and indirect effects of technological change on the economy.</w:t>
      </w:r>
    </w:p>
    <w:p w:rsidR="00574139" w:rsidRPr="002A4B19" w:rsidRDefault="00574139" w:rsidP="00574139">
      <w:pPr>
        <w:pStyle w:val="Mdeck4text"/>
        <w:rPr>
          <w:rFonts w:cs="Times New Roman"/>
          <w:color w:val="auto"/>
          <w:lang w:eastAsia="en-US"/>
        </w:rPr>
      </w:pPr>
      <w:r w:rsidRPr="002A4B19">
        <w:rPr>
          <w:rFonts w:eastAsiaTheme="minorEastAsia" w:cs="Times New Roman"/>
          <w:color w:val="auto"/>
          <w:lang w:eastAsia="ko-KR"/>
        </w:rPr>
        <w:t xml:space="preserve">The rest of the paper is structured as follows: Section 2 provides a brief </w:t>
      </w:r>
      <w:r w:rsidRPr="002A4B19">
        <w:rPr>
          <w:rFonts w:cs="Times New Roman"/>
          <w:color w:val="auto"/>
          <w:lang w:eastAsia="en-US"/>
        </w:rPr>
        <w:t>review of the relevant literature, which focuses on the relationship between innovations and employment; Section 3 contains general descriptions of the CGE model used for the analyses; Section 4 explains the scenario settings; the main results are presented in Section 5; and, lastly, the summary and concluding remarks are provided in Section 6.</w:t>
      </w:r>
    </w:p>
    <w:p w:rsidR="00574139" w:rsidRPr="002A4B19" w:rsidRDefault="00574139"/>
    <w:p w:rsidR="00FA22B7" w:rsidRPr="002A4B19" w:rsidRDefault="00FA22B7"/>
    <w:p w:rsidR="00574139" w:rsidRPr="002A4B19" w:rsidRDefault="00574139" w:rsidP="00574139">
      <w:pPr>
        <w:pStyle w:val="Mdeck4heading1"/>
        <w:spacing w:before="0"/>
        <w:rPr>
          <w:rFonts w:cs="Times New Roman"/>
          <w:color w:val="auto"/>
          <w:lang w:eastAsia="zh-CN"/>
        </w:rPr>
      </w:pPr>
      <w:r w:rsidRPr="002A4B19">
        <w:rPr>
          <w:rFonts w:cs="Times New Roman"/>
          <w:color w:val="auto"/>
          <w:lang w:eastAsia="zh-CN"/>
        </w:rPr>
        <w:t>2. Literature review</w:t>
      </w:r>
    </w:p>
    <w:p w:rsidR="00574139" w:rsidRPr="002A4B19" w:rsidRDefault="00574139" w:rsidP="00574139">
      <w:pPr>
        <w:pStyle w:val="Mdeck4text"/>
        <w:rPr>
          <w:rFonts w:cs="Times New Roman"/>
          <w:color w:val="auto"/>
          <w:lang w:eastAsia="en-US"/>
        </w:rPr>
      </w:pPr>
      <w:r w:rsidRPr="002A4B19">
        <w:rPr>
          <w:rFonts w:cs="Times New Roman"/>
          <w:color w:val="auto"/>
          <w:szCs w:val="24"/>
        </w:rPr>
        <w:t xml:space="preserve">Technological innovations are deeply involved in the issue of growth and distribution, which are like two sides of a coin. Although technological innovation promotes economic growth via productivity improvements, it may favor skilled labor over unskilled labor, which may gradually worsen the labor market conditions. This “factor-biased” technological change suggests a rise in the skill premium, which implies a growing income gap between workers. </w:t>
      </w:r>
      <w:r w:rsidRPr="002A4B19">
        <w:rPr>
          <w:rFonts w:cs="Times New Roman"/>
          <w:color w:val="auto"/>
          <w:lang w:eastAsia="en-US"/>
        </w:rPr>
        <w:t>Research into the relationship between technological innovation and employment has been conducted since the early stages of the Industrial Revolution (during the late 18th and early 19th century), with the introduction of new technologies that threatened textile workers’ jobs. Debates on the impacts of technological innovations on the labor market and on employment have been sparked again in recent years,</w:t>
      </w:r>
      <w:r w:rsidRPr="002A4B19" w:rsidDel="009E42B7">
        <w:rPr>
          <w:rFonts w:cs="Times New Roman"/>
          <w:color w:val="auto"/>
          <w:lang w:eastAsia="en-US"/>
        </w:rPr>
        <w:t xml:space="preserve"> </w:t>
      </w:r>
      <w:r w:rsidRPr="002A4B19">
        <w:rPr>
          <w:rFonts w:cs="Times New Roman"/>
          <w:color w:val="auto"/>
          <w:lang w:eastAsia="en-US"/>
        </w:rPr>
        <w:t>with the emergence of robots and automated devices. To understand debates around innovation and employment, it is essential to investigate key concepts, as follows: compensation effect, skill-biased technical change (SBTC), and capital-biased technical change. A brief review of these concepts is presented in the following subsections, along with relevant literature.</w:t>
      </w:r>
    </w:p>
    <w:p w:rsidR="00574139" w:rsidRPr="002A4B19" w:rsidRDefault="00574139" w:rsidP="00574139">
      <w:pPr>
        <w:pStyle w:val="Mdeck4text"/>
        <w:rPr>
          <w:rFonts w:cs="Times New Roman"/>
          <w:color w:val="auto"/>
          <w:lang w:eastAsia="en-US"/>
        </w:rPr>
      </w:pPr>
    </w:p>
    <w:p w:rsidR="00574139" w:rsidRPr="002A4B19" w:rsidRDefault="00574139" w:rsidP="00574139">
      <w:pPr>
        <w:pStyle w:val="Mdeck4heading2"/>
        <w:spacing w:before="0"/>
        <w:rPr>
          <w:rFonts w:cs="Times New Roman"/>
          <w:b/>
          <w:color w:val="auto"/>
        </w:rPr>
      </w:pPr>
      <w:r w:rsidRPr="002A4B19">
        <w:rPr>
          <w:rFonts w:cs="Times New Roman"/>
          <w:b/>
          <w:color w:val="auto"/>
        </w:rPr>
        <w:lastRenderedPageBreak/>
        <w:t>2.1 Compensation effect</w:t>
      </w:r>
    </w:p>
    <w:p w:rsidR="00574139" w:rsidRPr="002A4B19" w:rsidRDefault="00574139" w:rsidP="00574139">
      <w:pPr>
        <w:pStyle w:val="Mdeck4text"/>
        <w:rPr>
          <w:rFonts w:cs="Times New Roman"/>
          <w:color w:val="auto"/>
          <w:lang w:eastAsia="en-US"/>
        </w:rPr>
      </w:pPr>
      <w:r w:rsidRPr="002A4B19">
        <w:rPr>
          <w:rFonts w:cs="Times New Roman"/>
          <w:color w:val="auto"/>
          <w:lang w:eastAsia="en-US"/>
        </w:rPr>
        <w:t>By definition, technological progress allows us to produce the same amount of goods (outputs) with a</w:t>
      </w:r>
      <w:r w:rsidRPr="002A4B19">
        <w:rPr>
          <w:rFonts w:eastAsiaTheme="minorEastAsia" w:cs="Times New Roman"/>
          <w:color w:val="auto"/>
          <w:lang w:eastAsia="ko-KR"/>
        </w:rPr>
        <w:t xml:space="preserve"> </w:t>
      </w:r>
      <w:r w:rsidRPr="002A4B19">
        <w:rPr>
          <w:rFonts w:cs="Times New Roman"/>
          <w:color w:val="auto"/>
          <w:lang w:eastAsia="en-US"/>
        </w:rPr>
        <w:t>lower amount of production factors (inputs), such as capital and labor. Technological unemployment occurs as a direct effect of innovation. This aspect of technological innovation led to skilled labor working in handicraft losing jobs, which, in turn, led to the destruction of machinery in protest (Luddite Movement in the 19</w:t>
      </w:r>
      <w:r w:rsidRPr="002A4B19">
        <w:rPr>
          <w:rFonts w:cs="Times New Roman"/>
          <w:color w:val="auto"/>
          <w:vertAlign w:val="superscript"/>
          <w:lang w:eastAsia="en-US"/>
        </w:rPr>
        <w:t>th</w:t>
      </w:r>
      <w:r w:rsidRPr="002A4B19">
        <w:rPr>
          <w:rFonts w:cs="Times New Roman"/>
          <w:color w:val="auto"/>
          <w:lang w:eastAsia="en-US"/>
        </w:rPr>
        <w:t xml:space="preserve"> century). From that time on, some people have thought that innovation would have harmful effects on employment, and the relationship between innovation and employment drew increasing attention. Despite such concerns, several economists argued that new jobs are typically created by the “compensation effect,” in various ways, even though employment decreases temporarily due to technological innovations. In other words, they argued that employment reduction driven by innovation causes a decrease in wages, and, in turn, promotes labor-intensive technology and industry (Layard et al., 1994, 1991; Venables, 1985).</w:t>
      </w:r>
    </w:p>
    <w:p w:rsidR="00574139" w:rsidRPr="002A4B19" w:rsidRDefault="00574139" w:rsidP="00574139">
      <w:pPr>
        <w:pStyle w:val="Mdeck4text"/>
        <w:rPr>
          <w:rFonts w:cs="Times New Roman"/>
          <w:color w:val="auto"/>
          <w:lang w:eastAsia="en-US"/>
        </w:rPr>
      </w:pPr>
      <w:r w:rsidRPr="002A4B19">
        <w:rPr>
          <w:rFonts w:cs="Times New Roman"/>
          <w:color w:val="auto"/>
          <w:lang w:eastAsia="en-US"/>
        </w:rPr>
        <w:t>Vivarelli (2012) claimed that it is essential to examine not only direct but also indirect effects of innovation on employment, and introduced different mechanisms of compensation effects that are triggered by technological change itself. According to Vivarelli (2012), the initial labor saving impact of process innovation can be counterbalanced by compensation mechanisms via new machines, decreases in commodity prices, new investments, decreases in wages, and increases in households’ incomes. This compensation theory highlights the premise that technological changes induce market forces that can potentially counterbalance the initial labor saving effect of process innovation, thereby having a positive effect on employment trends.</w:t>
      </w:r>
    </w:p>
    <w:p w:rsidR="00574139" w:rsidRPr="002A4B19" w:rsidRDefault="00574139" w:rsidP="00574139">
      <w:pPr>
        <w:pStyle w:val="Mdeck4text"/>
        <w:rPr>
          <w:rFonts w:cs="Times New Roman"/>
          <w:color w:val="auto"/>
          <w:lang w:eastAsia="en-US"/>
        </w:rPr>
      </w:pPr>
    </w:p>
    <w:p w:rsidR="00574139" w:rsidRPr="002A4B19" w:rsidRDefault="00574139" w:rsidP="00574139">
      <w:pPr>
        <w:pStyle w:val="Mdeck4heading2"/>
        <w:spacing w:before="0"/>
        <w:rPr>
          <w:rFonts w:cs="Times New Roman"/>
          <w:b/>
          <w:color w:val="auto"/>
          <w:lang w:eastAsia="en-US"/>
        </w:rPr>
      </w:pPr>
      <w:r w:rsidRPr="002A4B19">
        <w:rPr>
          <w:rFonts w:cs="Times New Roman"/>
          <w:b/>
          <w:color w:val="auto"/>
        </w:rPr>
        <w:t>2.2 Skill-biased technological change</w:t>
      </w:r>
    </w:p>
    <w:p w:rsidR="00574139" w:rsidRPr="002A4B19" w:rsidRDefault="00574139" w:rsidP="00574139">
      <w:pPr>
        <w:pStyle w:val="Mdeck4text"/>
        <w:rPr>
          <w:rFonts w:eastAsiaTheme="minorEastAsia" w:cs="Times New Roman"/>
          <w:color w:val="auto"/>
          <w:lang w:eastAsia="ko-KR"/>
        </w:rPr>
      </w:pPr>
      <w:r w:rsidRPr="002A4B19">
        <w:rPr>
          <w:rFonts w:eastAsiaTheme="minorEastAsia" w:cs="Times New Roman"/>
          <w:color w:val="auto"/>
          <w:lang w:eastAsia="ko-KR"/>
        </w:rPr>
        <w:t>Technological advance accompanies an increase in skilled workers, leading to advancement of employment structure, as experienced by developed countries. Skill-biased technical change (SBTC) is referred to as a shift in the production technology that favors skilled over unskilled labor by increasing its productivity and, therefore, its relative demand (Baccini and Cioni, 2010; Card and DiNardo, 2002; Dunne et al., 1997; Krusell et al., 2000; Machin et al., 1998). This occurs because of complementarity between the capital inherent in new technology and the workforce capability with advanced technology (or higher level of education) (David et al., 1997; Haskel and Heden, 1999). In other words, new technology requires workers with the appropriate skills, and those without such skills lose jobs (Griliches, 1969).</w:t>
      </w:r>
    </w:p>
    <w:p w:rsidR="00574139" w:rsidRPr="002A4B19" w:rsidRDefault="00574139" w:rsidP="00574139">
      <w:pPr>
        <w:pStyle w:val="Mdeck4text"/>
        <w:rPr>
          <w:rFonts w:eastAsiaTheme="minorEastAsia" w:cs="Times New Roman"/>
          <w:color w:val="auto"/>
          <w:lang w:eastAsia="ko-KR"/>
        </w:rPr>
      </w:pPr>
      <w:r w:rsidRPr="002A4B19">
        <w:rPr>
          <w:rFonts w:cs="Times New Roman"/>
          <w:color w:val="auto"/>
          <w:lang w:eastAsia="en-US"/>
        </w:rPr>
        <w:t xml:space="preserve">Empirical research supporting this claim has been actively conducted. For example, Berman et al. (1994) investigated the changes in the demand for skilled labor in the manufacturing industry in the U.S., and found that the demand for skilled labor was higher when R&amp;D intensity and the high-tech technology ratio were higher. Falk and Seim (2001) conducted an analysis with companies in the service industry from 1994 to 1996, and showed that the </w:t>
      </w:r>
      <w:r w:rsidRPr="002A4B19">
        <w:rPr>
          <w:rFonts w:cs="Times New Roman"/>
          <w:color w:val="auto"/>
          <w:lang w:eastAsia="en-US"/>
        </w:rPr>
        <w:lastRenderedPageBreak/>
        <w:t xml:space="preserve">companies using more information and communication technology </w:t>
      </w:r>
      <w:r w:rsidRPr="002A4B19">
        <w:rPr>
          <w:rFonts w:eastAsiaTheme="minorEastAsia" w:cs="Times New Roman"/>
          <w:color w:val="auto"/>
          <w:lang w:eastAsia="ko-KR"/>
        </w:rPr>
        <w:t>(ICT)</w:t>
      </w:r>
      <w:r w:rsidRPr="002A4B19">
        <w:rPr>
          <w:rFonts w:cs="Times New Roman"/>
          <w:color w:val="auto"/>
          <w:lang w:eastAsia="en-US"/>
        </w:rPr>
        <w:t xml:space="preserve"> had a higher proportion of employees with higher levels of education. Based on an analysis of company data in the U.S., Bresnahan et al. (2002) claimed that use of information and communication technology is a key determinant that causes SBTC. </w:t>
      </w:r>
      <w:r w:rsidRPr="002A4B19">
        <w:rPr>
          <w:rFonts w:eastAsiaTheme="minorEastAsia" w:cs="Times New Roman"/>
          <w:color w:val="auto"/>
          <w:lang w:eastAsia="ko-KR"/>
        </w:rPr>
        <w:t>Moreover, Marouani and Nilsson (2016) analyzed the macro-economic impacts of SBTC, focusing on the Malaysian economy, based on the dynamic general equilibrium model. From the analysis, they showed that SBTC led to structural change, benefiting sectors with a large share of high skilled labor. Traditionally, technological change is regarded as factor-neutral; however, the observed rapid rise in the relative demand and wages of skilled workers implies that recent technological changes have been skill-biased (Acemoglu, 2002, 1998; Violante, 2000; Vivarelli, 2013). Furthermore, Autor et al. (2008) and Krusell et al. (2000) claimed that SBTC is often held for the skill premium, which is the ratio between the wages of skilled and unskilled labor, respectively. They suggested that increased wage inequality among workers results from economic growth, driven by new and efficient technologies. In addition, Buera et al. (2015) showed that a shift in the composition of value-added is intensive in high-skilled labor, resulting in the rise of skill premium. They analyzed the U.S. economy from 1977 to 2005, and concluded that a rise in skill premium implies the widened income polarization between high-skilled labor and other types of labor. In this way, various studies have supported the complementarity between recent technological innovations and skilled labor, and the possibility of inequality among works has resulted from SBTC.</w:t>
      </w:r>
    </w:p>
    <w:p w:rsidR="00574139" w:rsidRPr="002A4B19" w:rsidRDefault="00574139" w:rsidP="00574139">
      <w:pPr>
        <w:pStyle w:val="Mdeck4text"/>
        <w:rPr>
          <w:rFonts w:eastAsiaTheme="minorEastAsia" w:cs="Times New Roman"/>
          <w:color w:val="auto"/>
          <w:lang w:eastAsia="ko-KR"/>
        </w:rPr>
      </w:pPr>
      <w:r w:rsidRPr="002A4B19">
        <w:rPr>
          <w:rFonts w:eastAsiaTheme="minorEastAsia" w:cs="Times New Roman"/>
          <w:color w:val="auto"/>
          <w:lang w:eastAsia="ko-KR"/>
        </w:rPr>
        <w:t>Some researchers argue that investments in education for skill accumulation are important to mitigate the factor-biased technological change characterized by the SBTC. For example, He and Liu (2008) built a quantitative model with endogenous skill accumulation and equipment-skill complementarity, and they examined the quantitative effects of some policy shocks on wage inequality and welfare. With the calibrated model, they found that subsidizing skill accumulation can effectively reduce both the skill premium and the equipment-skill ratio. They also found that subsidizing human capital accumulation tends to improve social welfare. In addition, Grossman et al. (2016) investigated how balanced growth could emerge in the economy with endogenous education, and found that balanced growth is possible if schooling is endogenous and capital is more complementary with schooling than with labor. Grossman et al. (2016) also highlighted the fact that balanced growth occurs when capital accumulation raises the returns to education, and this causes schooling to increase at exactly the rate needed to offset the effect of capital-augmenting technical change on capital’s share of national income. Pan (2014) also developed four-sector general equilibrium models to analyze the linkage between the investments in education and wage inequality among workers. From the analysis, it has been found that increased investments in educational programs from the government can reduce skilled–unskilled wage inequality and promote economic development.</w:t>
      </w:r>
    </w:p>
    <w:p w:rsidR="00574139" w:rsidRPr="002A4B19" w:rsidRDefault="00574139" w:rsidP="00574139">
      <w:pPr>
        <w:pStyle w:val="Mdeck4text"/>
        <w:rPr>
          <w:rFonts w:eastAsiaTheme="minorEastAsia" w:cs="Times New Roman"/>
          <w:color w:val="auto"/>
          <w:lang w:eastAsia="ko-KR"/>
        </w:rPr>
      </w:pPr>
    </w:p>
    <w:p w:rsidR="00574139" w:rsidRPr="002A4B19" w:rsidRDefault="00574139" w:rsidP="00574139">
      <w:pPr>
        <w:pStyle w:val="Mdeck4heading2"/>
        <w:spacing w:before="0"/>
        <w:rPr>
          <w:rFonts w:cs="Times New Roman"/>
          <w:b/>
          <w:color w:val="auto"/>
        </w:rPr>
      </w:pPr>
      <w:r w:rsidRPr="002A4B19">
        <w:rPr>
          <w:rFonts w:cs="Times New Roman"/>
          <w:b/>
          <w:color w:val="auto"/>
        </w:rPr>
        <w:t>2.3 Capital-biased technological change</w:t>
      </w:r>
    </w:p>
    <w:p w:rsidR="00574139" w:rsidRPr="002A4B19" w:rsidRDefault="00574139" w:rsidP="00574139">
      <w:pPr>
        <w:pStyle w:val="Mdeck4text"/>
        <w:rPr>
          <w:rFonts w:cs="Times New Roman"/>
          <w:color w:val="auto"/>
        </w:rPr>
      </w:pPr>
      <w:r w:rsidRPr="002A4B19">
        <w:rPr>
          <w:rFonts w:cs="Times New Roman"/>
          <w:color w:val="auto"/>
        </w:rPr>
        <w:lastRenderedPageBreak/>
        <w:t>Brynjolfsson and McAfee (2014) argued that technological progress from innovations causes not only SBTC but also a capital-biased technological change. This means that the relative influence of capital within the production process becomes even greater, as automated machines (such as robots), which are capital-intensive goods, intrude on the domain of human labor. Consequently, wages fall relative to the cost of capital, and the proportion of labor wages in Gross Domestic Product (GDP) decreases. In the past, the proportion of labor in GDP has remained relatively constant. However, in recent decades, the labor share is in decline.</w:t>
      </w:r>
    </w:p>
    <w:p w:rsidR="00574139" w:rsidRPr="002A4B19" w:rsidRDefault="00574139" w:rsidP="00574139">
      <w:pPr>
        <w:pStyle w:val="Mdeck4text"/>
        <w:rPr>
          <w:rFonts w:cs="Times New Roman"/>
          <w:color w:val="auto"/>
        </w:rPr>
      </w:pPr>
      <w:r w:rsidRPr="002A4B19">
        <w:rPr>
          <w:rFonts w:cs="Times New Roman"/>
          <w:color w:val="auto"/>
        </w:rPr>
        <w:t>Several studies tried to examine a link between capital-biased technical change and the labor share in the economy (Bentolila and Saint-Paul, 2003; Guerriero and Sen, 2012; Karabarbounis and Neiman, 2013). They suggested that the extent of capital-biased technological progress can influence the relative share of labor in the production system. Karabarbounis and Neiman (2013) argued that the labor share has declined in many countries since the early 1980s. Against this background, they tried to demonstrate how the decline of the labor share can be explained by the decline in the relative price of investment goods. They showed that a decrease in the relative price of capital goods with advancements in the ICT induced firms to shift away from labor and move toward capital, which explains half of the observed decline in the labor share. Therefore, it can be inferred that recent technological change from innovations is biased toward capital, leading to an increased share of capital income for products and services.</w:t>
      </w:r>
    </w:p>
    <w:p w:rsidR="00574139" w:rsidRPr="002A4B19" w:rsidRDefault="00574139" w:rsidP="00574139">
      <w:pPr>
        <w:pStyle w:val="Mdeck4text"/>
        <w:rPr>
          <w:rFonts w:cs="Times New Roman"/>
          <w:color w:val="auto"/>
        </w:rPr>
      </w:pPr>
      <w:r w:rsidRPr="002A4B19">
        <w:rPr>
          <w:rFonts w:cs="Times New Roman"/>
          <w:color w:val="auto"/>
        </w:rPr>
        <w:t>These findings suggest that technological innovations result in capital-biased technological change, leading to an increased share of capital income for products and services. The problem is that this capital-biased technological change may deepen income polarization. For example, Piketty (2014)’s study supports this argument by showing that capital-related inequality is always larger than is labor-related inequality. Therefore, based on the studies mentioned above, we can infer that SBTC and capital-biased technical change, associated with newly development machines and technological innovations, tend to benefit only a sub-group of workers, which deepens income polarization.</w:t>
      </w:r>
    </w:p>
    <w:p w:rsidR="00574139" w:rsidRPr="002A4B19" w:rsidRDefault="00574139" w:rsidP="00574139">
      <w:pPr>
        <w:pStyle w:val="Mdeck4text"/>
        <w:rPr>
          <w:rFonts w:cs="Times New Roman"/>
          <w:color w:val="auto"/>
          <w:lang w:eastAsia="en-US"/>
        </w:rPr>
      </w:pPr>
    </w:p>
    <w:p w:rsidR="00574139" w:rsidRPr="002A4B19" w:rsidRDefault="00574139" w:rsidP="00574139">
      <w:pPr>
        <w:pStyle w:val="Mdeck4heading2"/>
        <w:spacing w:before="0"/>
        <w:rPr>
          <w:rFonts w:cs="Times New Roman"/>
          <w:b/>
          <w:color w:val="auto"/>
        </w:rPr>
      </w:pPr>
      <w:r w:rsidRPr="002A4B19">
        <w:rPr>
          <w:rFonts w:cs="Times New Roman"/>
          <w:b/>
          <w:color w:val="auto"/>
        </w:rPr>
        <w:t>2.4 The relationship between the innovation and employment</w:t>
      </w:r>
    </w:p>
    <w:p w:rsidR="00574139" w:rsidRPr="002A4B19" w:rsidRDefault="00574139" w:rsidP="00574139">
      <w:pPr>
        <w:pStyle w:val="Mdeck4text"/>
        <w:rPr>
          <w:rFonts w:cs="Times New Roman"/>
          <w:color w:val="auto"/>
        </w:rPr>
      </w:pPr>
      <w:r w:rsidRPr="002A4B19">
        <w:rPr>
          <w:rFonts w:cs="Times New Roman"/>
          <w:color w:val="auto"/>
        </w:rPr>
        <w:t>Empirical results on the relationship between innovation and employment are still debated. The overall effect of employment due to innovation differs across the scope of analysis, countries, and industries. In addition, a variety of factors are associated with the employment impact of technological change, and it is difficult to determine key mechanisms around this issue in a comprehensive, conclusive manner. For these reasons, the controversy over innovation and employment continues to date, and many empirical studies are still underway.</w:t>
      </w:r>
    </w:p>
    <w:p w:rsidR="00574139" w:rsidRPr="002A4B19" w:rsidRDefault="00574139" w:rsidP="00574139">
      <w:pPr>
        <w:pStyle w:val="Mdeck4text"/>
        <w:rPr>
          <w:rFonts w:cs="Times New Roman"/>
          <w:color w:val="auto"/>
        </w:rPr>
      </w:pPr>
      <w:r w:rsidRPr="002A4B19">
        <w:rPr>
          <w:rFonts w:cs="Times New Roman"/>
          <w:color w:val="auto"/>
        </w:rPr>
        <w:t xml:space="preserve">Several studies suggest a positive employment impact of innovation (Coad and Rao, 2011; Hall et al., 2008; Harrison et al., 2008; Lachenmaier and Rottmann, 2011; Piva and Vivarelli, 2005; Zuniga and Crepsi, 2013). Most of these studies have examined the direct effect of innovation on employment, based on firm-level analysis of firms’ in-house data on innovation and employment. They commonly conclude that employment growth rate is positively </w:t>
      </w:r>
      <w:r w:rsidRPr="002A4B19">
        <w:rPr>
          <w:rFonts w:cs="Times New Roman"/>
          <w:color w:val="auto"/>
        </w:rPr>
        <w:lastRenderedPageBreak/>
        <w:t>correlated with firms’ R&amp;D levels and patents, suggesting that employment expansion is triggered by technological innovations.</w:t>
      </w:r>
    </w:p>
    <w:p w:rsidR="00574139" w:rsidRPr="002A4B19" w:rsidRDefault="00574139" w:rsidP="00574139">
      <w:pPr>
        <w:pStyle w:val="Mdeck4text"/>
        <w:rPr>
          <w:rFonts w:cs="Times New Roman"/>
          <w:color w:val="auto"/>
        </w:rPr>
      </w:pPr>
      <w:r w:rsidRPr="002A4B19">
        <w:rPr>
          <w:rFonts w:cs="Times New Roman"/>
          <w:color w:val="auto"/>
        </w:rPr>
        <w:t>On the other hand, several empirical studies report different results, highlighting the possibility of technological unemployment. Brouwer et al. (1993) studied the relationship between employment growth rate and R&amp;D intensity in 859 German manufacturers, from 1983 to 1988. They showed that R&amp;D intensity had a negative effect on employment. In a study with Norwegian manufacturers, from 1982 to 1992, Klette and Førre (1998) demonstrated that net employment growth was lower in companies with a proportion of R&amp;D expenditure in relation to sales that was more than 1% than it was in companies in which the proportion of R&amp;D to sales was less than 1%. As presented above, numerous empirical studies are based on firm-level analyses, mainly focusing on European countries and the U.S.</w:t>
      </w:r>
    </w:p>
    <w:p w:rsidR="00574139" w:rsidRPr="002A4B19" w:rsidRDefault="00574139" w:rsidP="00574139">
      <w:pPr>
        <w:pStyle w:val="Mdeck4text"/>
        <w:rPr>
          <w:rFonts w:cs="Times New Roman"/>
          <w:color w:val="auto"/>
        </w:rPr>
      </w:pPr>
      <w:r w:rsidRPr="002A4B19">
        <w:rPr>
          <w:rFonts w:cs="Times New Roman"/>
          <w:color w:val="auto"/>
        </w:rPr>
        <w:t xml:space="preserve">As such firm-level quantitative analyses can consider only direct effects of innovation on the employment level, results are likely to be either over- or underestimated (Pianta, 2005). However, to fully understand the relationship between technological change and employment, both direct effects and indirect effects, including compensation effects and other macroeconomic conditions, should be incorporated. Furthermore, the ongoing recent technological change is biased toward specific factors as shown above. Therefore, the bias of technological changes should be taken into consideration when analyzing the employment impacts of innovation. As Vivarelli (2012) mentioned, it is difficult to distinguish the final impact of innovation on employment, since the latter is influenced by many other factors. </w:t>
      </w:r>
    </w:p>
    <w:p w:rsidR="00574139" w:rsidRPr="002A4B19" w:rsidRDefault="00574139" w:rsidP="00574139">
      <w:pPr>
        <w:pStyle w:val="Mdeck4text"/>
        <w:rPr>
          <w:rFonts w:cs="Times New Roman"/>
          <w:color w:val="auto"/>
        </w:rPr>
      </w:pPr>
      <w:r w:rsidRPr="002A4B19">
        <w:rPr>
          <w:rFonts w:cs="Times New Roman"/>
          <w:color w:val="auto"/>
        </w:rPr>
        <w:t>The main mechanisms of the relationship between technological innovations and employment structure can be summarized as follows: direct employment effects, from capital-biased technological change and SBTC; and indirect employment effects, resulting from spillover effects of innovation and compensation. Taking these mechanisms into consideration, this study aims to empirically examine the relationship between technological innovations and employment trends from an economy-wide perspective, based on key concepts drawn from theoretical foundations and macroeconomic settings—referred to as the CGE model.</w:t>
      </w:r>
    </w:p>
    <w:p w:rsidR="00574139" w:rsidRPr="002A4B19" w:rsidRDefault="00574139"/>
    <w:p w:rsidR="00FA22B7" w:rsidRPr="002A4B19" w:rsidRDefault="00FA22B7"/>
    <w:p w:rsidR="00BB24C4" w:rsidRPr="002A4B19" w:rsidRDefault="00BB24C4" w:rsidP="00BB24C4">
      <w:pPr>
        <w:pStyle w:val="Mdeck4heading1"/>
        <w:spacing w:before="0"/>
        <w:rPr>
          <w:rFonts w:cs="Times New Roman"/>
          <w:color w:val="auto"/>
          <w:lang w:eastAsia="zh-CN"/>
        </w:rPr>
      </w:pPr>
      <w:r w:rsidRPr="002A4B19">
        <w:rPr>
          <w:rFonts w:cs="Times New Roman"/>
          <w:color w:val="auto"/>
          <w:lang w:eastAsia="zh-CN"/>
        </w:rPr>
        <w:t>3. CGE Modeling</w:t>
      </w:r>
    </w:p>
    <w:p w:rsidR="00BB24C4" w:rsidRPr="002A4B19" w:rsidRDefault="00BB24C4" w:rsidP="00BB24C4">
      <w:pPr>
        <w:pStyle w:val="Mdeck4text"/>
        <w:rPr>
          <w:rFonts w:cs="Times New Roman"/>
          <w:color w:val="auto"/>
        </w:rPr>
      </w:pPr>
      <w:r w:rsidRPr="002A4B19">
        <w:rPr>
          <w:rFonts w:cs="Times New Roman"/>
          <w:color w:val="auto"/>
        </w:rPr>
        <w:t>In this paper, we use a CGE model to quantitatively assess the macroeconomic impacts of innovations on employment structure and economic growth. It is important to incorporate innovation-related activities (e.g., research and development) and characteristics of knowledge (e.g., knowledge accumulation and knowledge spillover effects) into the CGE model, in order to represent the indirect employment effects resulting from spillover effects of innovation and compensation. In this context, we construct the knowledge-based CGE model by adding R&amp;D descriptions and characteristics of knowledge, with a series of equations based on a knowledge-based Social Accounting Matrix (SAM).</w:t>
      </w:r>
    </w:p>
    <w:p w:rsidR="00BB24C4" w:rsidRPr="002A4B19" w:rsidRDefault="00BB24C4" w:rsidP="00BB24C4">
      <w:pPr>
        <w:pStyle w:val="Mdeck4text"/>
        <w:rPr>
          <w:rFonts w:cs="Times New Roman"/>
          <w:color w:val="auto"/>
        </w:rPr>
      </w:pPr>
      <w:r w:rsidRPr="002A4B19">
        <w:rPr>
          <w:rFonts w:cs="Times New Roman"/>
          <w:color w:val="auto"/>
        </w:rPr>
        <w:lastRenderedPageBreak/>
        <w:t>It is also essential to classify the labor into occupational categories by skill level, to examine the changes in employment structure arising from technological innovations via SBTC and capital-biased technical change. From this perspective, the labor input for production of final goods and knowledge production is classified into three types of labor, based on the educational attainment level: high-skilled, skilled, and unskilled labor. Furthermore, households are classified into 20 quantiles, based on income levels, using micro data of household level survey datasets to investigate the income distribution impacts arising from changes in employment structure. The methodological approaches are presented in brief in Figure 1, and the following subsections show approaches for constructing datasets, including SAM, and modeling equations that reflect those considerations.</w:t>
      </w:r>
    </w:p>
    <w:p w:rsidR="00BB24C4" w:rsidRPr="002A4B19" w:rsidRDefault="00BB24C4" w:rsidP="00BB24C4">
      <w:pPr>
        <w:pStyle w:val="Mdeck4text"/>
        <w:rPr>
          <w:rFonts w:eastAsiaTheme="minorEastAsia" w:cs="Times New Roman"/>
          <w:color w:val="auto"/>
          <w:lang w:eastAsia="ko-KR"/>
        </w:rPr>
      </w:pPr>
    </w:p>
    <w:p w:rsidR="00BB24C4" w:rsidRPr="002A4B19" w:rsidRDefault="00BB24C4" w:rsidP="00BB24C4">
      <w:pPr>
        <w:pStyle w:val="Mdeck4text"/>
        <w:keepNext/>
        <w:ind w:firstLine="0"/>
        <w:jc w:val="center"/>
        <w:rPr>
          <w:rFonts w:cs="Times New Roman"/>
          <w:color w:val="auto"/>
        </w:rPr>
      </w:pPr>
      <w:r w:rsidRPr="002A4B19">
        <w:rPr>
          <w:rFonts w:cs="Times New Roman"/>
          <w:noProof/>
          <w:color w:val="auto"/>
          <w:lang w:eastAsia="ko-KR" w:bidi="ar-SA"/>
        </w:rPr>
        <w:drawing>
          <wp:inline distT="0" distB="0" distL="0" distR="0" wp14:anchorId="255D98BD" wp14:editId="12B955E4">
            <wp:extent cx="5647055" cy="2410691"/>
            <wp:effectExtent l="0" t="0" r="0" b="0"/>
            <wp:docPr id="48" name="그림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2964"/>
                    <a:stretch/>
                  </pic:blipFill>
                  <pic:spPr bwMode="auto">
                    <a:xfrm>
                      <a:off x="0" y="0"/>
                      <a:ext cx="5663663" cy="2417781"/>
                    </a:xfrm>
                    <a:prstGeom prst="rect">
                      <a:avLst/>
                    </a:prstGeom>
                    <a:noFill/>
                    <a:ln>
                      <a:noFill/>
                    </a:ln>
                    <a:extLst>
                      <a:ext uri="{53640926-AAD7-44D8-BBD7-CCE9431645EC}">
                        <a14:shadowObscured xmlns:a14="http://schemas.microsoft.com/office/drawing/2010/main"/>
                      </a:ext>
                    </a:extLst>
                  </pic:spPr>
                </pic:pic>
              </a:graphicData>
            </a:graphic>
          </wp:inline>
        </w:drawing>
      </w:r>
    </w:p>
    <w:p w:rsidR="00BB24C4" w:rsidRPr="002A4B19" w:rsidRDefault="00BB24C4" w:rsidP="00BB24C4">
      <w:pPr>
        <w:pStyle w:val="a6"/>
        <w:jc w:val="center"/>
        <w:rPr>
          <w:rFonts w:cs="Times New Roman"/>
        </w:rPr>
      </w:pPr>
      <w:r w:rsidRPr="002A4B19">
        <w:rPr>
          <w:rFonts w:ascii="Times New Roman" w:hAnsi="Times New Roman" w:cs="Times New Roman"/>
          <w:b w:val="0"/>
          <w:sz w:val="24"/>
        </w:rPr>
        <w:t xml:space="preserve">Figure </w:t>
      </w:r>
      <w:r w:rsidRPr="002A4B19">
        <w:rPr>
          <w:rFonts w:ascii="Times New Roman" w:hAnsi="Times New Roman" w:cs="Times New Roman"/>
          <w:b w:val="0"/>
          <w:sz w:val="24"/>
        </w:rPr>
        <w:fldChar w:fldCharType="begin"/>
      </w:r>
      <w:r w:rsidRPr="002A4B19">
        <w:rPr>
          <w:rFonts w:ascii="Times New Roman" w:hAnsi="Times New Roman" w:cs="Times New Roman"/>
          <w:b w:val="0"/>
          <w:sz w:val="24"/>
        </w:rPr>
        <w:instrText xml:space="preserve"> SEQ Figure \* ARABIC </w:instrText>
      </w:r>
      <w:r w:rsidRPr="002A4B19">
        <w:rPr>
          <w:rFonts w:ascii="Times New Roman" w:hAnsi="Times New Roman" w:cs="Times New Roman"/>
          <w:b w:val="0"/>
          <w:sz w:val="24"/>
        </w:rPr>
        <w:fldChar w:fldCharType="separate"/>
      </w:r>
      <w:r w:rsidRPr="002A4B19">
        <w:rPr>
          <w:rFonts w:ascii="Times New Roman" w:hAnsi="Times New Roman" w:cs="Times New Roman"/>
          <w:b w:val="0"/>
          <w:sz w:val="24"/>
        </w:rPr>
        <w:t>1</w:t>
      </w:r>
      <w:r w:rsidRPr="002A4B19">
        <w:rPr>
          <w:rFonts w:ascii="Times New Roman" w:hAnsi="Times New Roman" w:cs="Times New Roman"/>
          <w:b w:val="0"/>
          <w:sz w:val="24"/>
        </w:rPr>
        <w:fldChar w:fldCharType="end"/>
      </w:r>
      <w:r w:rsidRPr="002A4B19">
        <w:rPr>
          <w:rFonts w:ascii="Times New Roman" w:hAnsi="Times New Roman" w:cs="Times New Roman"/>
          <w:b w:val="0"/>
          <w:sz w:val="24"/>
        </w:rPr>
        <w:t>. Methodological approaches for the analysis</w:t>
      </w:r>
    </w:p>
    <w:p w:rsidR="00574139" w:rsidRPr="002A4B19" w:rsidRDefault="00574139"/>
    <w:p w:rsidR="00BB24C4" w:rsidRPr="002A4B19" w:rsidRDefault="00BB24C4" w:rsidP="00BB24C4">
      <w:pPr>
        <w:pStyle w:val="Mdeck4heading2"/>
        <w:spacing w:before="0"/>
        <w:rPr>
          <w:rFonts w:cs="Times New Roman"/>
          <w:b/>
          <w:color w:val="auto"/>
        </w:rPr>
      </w:pPr>
      <w:r w:rsidRPr="002A4B19">
        <w:rPr>
          <w:rFonts w:cs="Times New Roman"/>
          <w:b/>
          <w:color w:val="auto"/>
        </w:rPr>
        <w:t>3.1 The structure of a Social Accounting Matrix (SAM)</w:t>
      </w:r>
    </w:p>
    <w:p w:rsidR="00BB24C4" w:rsidRPr="002A4B19" w:rsidRDefault="00BB24C4" w:rsidP="00BB24C4">
      <w:pPr>
        <w:pStyle w:val="Mdeck4text"/>
        <w:rPr>
          <w:rFonts w:eastAsiaTheme="minorEastAsia" w:cs="Times New Roman"/>
          <w:color w:val="auto"/>
          <w:lang w:eastAsia="ko-KR"/>
        </w:rPr>
      </w:pPr>
      <w:r w:rsidRPr="002A4B19">
        <w:rPr>
          <w:rFonts w:cs="Times New Roman"/>
          <w:color w:val="auto"/>
        </w:rPr>
        <w:t>In this study, SAM is constructed by collecting data on overall economic activities of the national economy, including production, consumption, imports/exports, intermediate transactions among sectors, and factor incomes from a macroeconomic perspective. This SAM is used to describe baseline economy in the knowledge-based CGE model. To construct a SAM, we utilized a 2010 input–output (I–O) table from the Bank of Korea (the central bank of South Korea), and tax-related data in the 2010 Statistical Yearbook of National Tax, published by the National Tax Service in Korea. In addition, the data on household and government savings were extracted from national accounts.</w:t>
      </w:r>
    </w:p>
    <w:p w:rsidR="00BB24C4" w:rsidRPr="002A4B19" w:rsidRDefault="00BB24C4" w:rsidP="00BB24C4">
      <w:pPr>
        <w:pStyle w:val="Mdeck4text"/>
        <w:rPr>
          <w:rFonts w:eastAsiaTheme="minorEastAsia" w:cs="Times New Roman"/>
          <w:color w:val="auto"/>
          <w:lang w:eastAsia="ko-KR"/>
        </w:rPr>
      </w:pPr>
      <w:r w:rsidRPr="002A4B19">
        <w:rPr>
          <w:rFonts w:eastAsiaTheme="minorEastAsia" w:cs="Times New Roman"/>
          <w:color w:val="auto"/>
          <w:lang w:eastAsia="ko-KR"/>
        </w:rPr>
        <w:t xml:space="preserve">Key differences of the SAM developed in this study, compared to other standard SAMs, are descriptions on R&amp;D activities and specifications of labor and household types. We explicitly represent knowledge as a factor of production and introduce knowledge capital formation in </w:t>
      </w:r>
      <w:r w:rsidRPr="002A4B19">
        <w:rPr>
          <w:rFonts w:eastAsiaTheme="minorEastAsia" w:cs="Times New Roman"/>
          <w:color w:val="auto"/>
          <w:lang w:eastAsia="ko-KR"/>
        </w:rPr>
        <w:lastRenderedPageBreak/>
        <w:t>the investment account.</w:t>
      </w:r>
      <w:r w:rsidRPr="002A4B19">
        <w:rPr>
          <w:rStyle w:val="a8"/>
          <w:rFonts w:eastAsiaTheme="minorEastAsia" w:cs="Times New Roman"/>
          <w:color w:val="auto"/>
          <w:lang w:eastAsia="ko-KR"/>
        </w:rPr>
        <w:footnoteReference w:id="1"/>
      </w:r>
      <w:r w:rsidRPr="002A4B19">
        <w:rPr>
          <w:rFonts w:eastAsiaTheme="minorEastAsia" w:cs="Times New Roman"/>
          <w:color w:val="auto"/>
          <w:lang w:eastAsia="ko-KR"/>
        </w:rPr>
        <w:t xml:space="preserve"> This study also adopts a methodological approach for constructing a knowledge-based SAM, proposed by Yang et al. (2012) and Hong et al. (2014). Within the SAM used for this study, current expenditure on R&amp;D, which was initially included in intermediate goods transactions, has been moved to the production factor account. In addition, capital expenditure on R&amp;D, which was initially included in physical capital formation, has been moved to the knowledge capital formation account. Furthermore, the knowledge capital formation account has been classified into private and public accounts, according to who spent it. The value added from knowledge increases household income, which is a source of additional consumption and of savings that benefit industrial activities.</w:t>
      </w:r>
    </w:p>
    <w:p w:rsidR="00BB24C4" w:rsidRPr="002A4B19" w:rsidRDefault="00BB24C4" w:rsidP="00BB24C4">
      <w:pPr>
        <w:pStyle w:val="Mdeck4text"/>
        <w:rPr>
          <w:rFonts w:eastAsiaTheme="minorEastAsia" w:cs="Times New Roman"/>
          <w:color w:val="auto"/>
          <w:lang w:eastAsia="ko-KR"/>
        </w:rPr>
      </w:pPr>
      <w:r w:rsidRPr="002A4B19">
        <w:rPr>
          <w:rFonts w:eastAsiaTheme="minorEastAsia" w:cs="Times New Roman"/>
          <w:color w:val="auto"/>
          <w:lang w:eastAsia="ko-KR"/>
        </w:rPr>
        <w:t>In addition, we have classified the labor into three types of workers, based on educational attainment levels. To be specific, labor inputs for production of final goods and knowledge production are split into three types: high-skilled, skilled, and unskilled labor. Based on these classifications, we extract information on labor inputs and wages by labor type for production activities from satellite datasets.</w:t>
      </w:r>
      <w:r w:rsidRPr="002A4B19">
        <w:rPr>
          <w:rStyle w:val="a8"/>
          <w:rFonts w:eastAsiaTheme="minorEastAsia" w:cs="Times New Roman"/>
          <w:color w:val="auto"/>
          <w:lang w:eastAsia="ko-KR"/>
        </w:rPr>
        <w:footnoteReference w:id="2"/>
      </w:r>
      <w:r w:rsidRPr="002A4B19">
        <w:rPr>
          <w:rFonts w:eastAsiaTheme="minorEastAsia" w:cs="Times New Roman"/>
          <w:color w:val="auto"/>
          <w:lang w:eastAsia="ko-KR"/>
        </w:rPr>
        <w:t xml:space="preserve"> In terms of the academic degree, we consider master’s and doctor’s degree holders as high-skilled workers. College graduates are considered as skilled workers, while unskilled workers are characterized by lower educational attainment levels, such as high school education or less. Our approaches are distinct from the other studies, which typically consider two skill groups: skilled workers with a college degree, and unskilled workers with high school diplomas (Card and DiNardo, 2002; Mallick and Sousa, 2015). These classifications are based on the current status of the Korean labor market, which is occupied by highly educated workers. Korea has reduced the share of individuals without upper secondary education, while the proportion of tertiary-educated individuals has rapidly increased over the past 30 years. Korea has also shown dramatic increases in enrollment rates at the tertiary education level (from 11.4% in 1980 to 70.1% in 2010), as well as at the upper secondary education level (from 48.8% in 1980 to 91.5% in 2010) (Statistics Korea, 2011). In addition, the relative share of jobs occupied by college graduates, master’s and doctor’s degree holders has shown an increasing trend from 2000 (37.4%) to 2010 (56.7%), while those jobs occupied by people with lower educational attainment levels have shown a decreasing trend (Statistics Korea, 2011). Those indicators allow us to more clearly understand Korea as one of the most highly educated nations in the world.</w:t>
      </w:r>
    </w:p>
    <w:p w:rsidR="00BB24C4" w:rsidRPr="002A4B19" w:rsidRDefault="00BB24C4" w:rsidP="00BB24C4">
      <w:pPr>
        <w:pStyle w:val="Mdeck4text"/>
        <w:rPr>
          <w:rFonts w:eastAsiaTheme="minorEastAsia" w:cs="Times New Roman"/>
          <w:color w:val="auto"/>
          <w:lang w:eastAsia="ko-KR"/>
        </w:rPr>
      </w:pPr>
      <w:r w:rsidRPr="002A4B19">
        <w:rPr>
          <w:rFonts w:eastAsiaTheme="minorEastAsia" w:cs="Times New Roman"/>
          <w:color w:val="auto"/>
          <w:lang w:eastAsia="ko-KR"/>
        </w:rPr>
        <w:t xml:space="preserve">Furthermore, the household is also classified into 20 quantiles based on income levels. We use micro-level data of Household Income and Expenditure (HIE) Survey issued by Statistics </w:t>
      </w:r>
      <w:r w:rsidRPr="002A4B19">
        <w:rPr>
          <w:rFonts w:eastAsiaTheme="minorEastAsia" w:cs="Times New Roman"/>
          <w:color w:val="auto"/>
          <w:lang w:eastAsia="ko-KR"/>
        </w:rPr>
        <w:lastRenderedPageBreak/>
        <w:t>Korea. Based on this dataset, we extract each household’s consumption expenditure,</w:t>
      </w:r>
      <w:r w:rsidRPr="002A4B19">
        <w:rPr>
          <w:rStyle w:val="a8"/>
          <w:rFonts w:eastAsiaTheme="minorEastAsia" w:cs="Times New Roman"/>
          <w:color w:val="auto"/>
          <w:lang w:eastAsia="ko-KR"/>
        </w:rPr>
        <w:footnoteReference w:id="3"/>
      </w:r>
      <w:r w:rsidRPr="002A4B19">
        <w:rPr>
          <w:rFonts w:eastAsiaTheme="minorEastAsia" w:cs="Times New Roman"/>
          <w:color w:val="auto"/>
          <w:lang w:eastAsia="ko-KR"/>
        </w:rPr>
        <w:t xml:space="preserve"> physical capital investment, and R&amp;D investment levels into the SAM. Classifications of households by income level enable us to examine impacts of technological innovation on income distribution. Table 1 shows a final form of the SAM, constructed for the analysis, which incorporates those features: explicit representation of knowledge, classifications of labor by education level, and specifications of households by income level. The numbers in the cells of Table 1 indicate the size of matrix of each account.</w:t>
      </w:r>
    </w:p>
    <w:p w:rsidR="00BB24C4" w:rsidRPr="002A4B19" w:rsidRDefault="00BB24C4" w:rsidP="00BB24C4">
      <w:pPr>
        <w:widowControl/>
        <w:wordWrap/>
        <w:autoSpaceDE/>
        <w:autoSpaceDN/>
        <w:spacing w:after="0" w:line="240" w:lineRule="auto"/>
        <w:jc w:val="left"/>
        <w:rPr>
          <w:rFonts w:ascii="Times New Roman" w:hAnsi="Times New Roman" w:cs="Times New Roman"/>
          <w:snapToGrid w:val="0"/>
          <w:kern w:val="0"/>
          <w:sz w:val="24"/>
          <w:szCs w:val="20"/>
          <w:lang w:bidi="en-US"/>
        </w:rPr>
        <w:sectPr w:rsidR="00BB24C4" w:rsidRPr="002A4B19">
          <w:pgSz w:w="11906" w:h="16838"/>
          <w:pgMar w:top="1701" w:right="1440" w:bottom="1440" w:left="1440" w:header="0" w:footer="113" w:gutter="0"/>
          <w:cols w:space="720"/>
        </w:sectPr>
      </w:pPr>
    </w:p>
    <w:p w:rsidR="00BB24C4" w:rsidRPr="002A4B19" w:rsidRDefault="00BB24C4" w:rsidP="00BB24C4">
      <w:pPr>
        <w:pStyle w:val="a6"/>
        <w:keepNext/>
        <w:jc w:val="center"/>
        <w:rPr>
          <w:rFonts w:ascii="Times New Roman" w:hAnsi="Times New Roman" w:cs="Times New Roman"/>
          <w:b w:val="0"/>
          <w:sz w:val="24"/>
          <w:szCs w:val="24"/>
        </w:rPr>
      </w:pPr>
      <w:r w:rsidRPr="002A4B19">
        <w:rPr>
          <w:rFonts w:ascii="Times New Roman" w:hAnsi="Times New Roman" w:cs="Times New Roman"/>
          <w:b w:val="0"/>
          <w:sz w:val="24"/>
          <w:szCs w:val="24"/>
        </w:rPr>
        <w:lastRenderedPageBreak/>
        <w:t xml:space="preserve">Table </w:t>
      </w:r>
      <w:r w:rsidRPr="002A4B19">
        <w:rPr>
          <w:rFonts w:ascii="Times New Roman" w:hAnsi="Times New Roman" w:cs="Times New Roman"/>
          <w:b w:val="0"/>
          <w:sz w:val="24"/>
          <w:szCs w:val="24"/>
        </w:rPr>
        <w:fldChar w:fldCharType="begin"/>
      </w:r>
      <w:r w:rsidRPr="002A4B19">
        <w:rPr>
          <w:rFonts w:ascii="Times New Roman" w:hAnsi="Times New Roman" w:cs="Times New Roman"/>
          <w:b w:val="0"/>
          <w:sz w:val="24"/>
          <w:szCs w:val="24"/>
        </w:rPr>
        <w:instrText xml:space="preserve"> SEQ Table \* ARABIC </w:instrText>
      </w:r>
      <w:r w:rsidRPr="002A4B19">
        <w:rPr>
          <w:rFonts w:ascii="Times New Roman" w:hAnsi="Times New Roman" w:cs="Times New Roman"/>
          <w:b w:val="0"/>
          <w:sz w:val="24"/>
          <w:szCs w:val="24"/>
        </w:rPr>
        <w:fldChar w:fldCharType="separate"/>
      </w:r>
      <w:r w:rsidRPr="002A4B19">
        <w:rPr>
          <w:rFonts w:ascii="Times New Roman" w:hAnsi="Times New Roman" w:cs="Times New Roman"/>
          <w:b w:val="0"/>
          <w:sz w:val="24"/>
          <w:szCs w:val="24"/>
        </w:rPr>
        <w:t>1</w:t>
      </w:r>
      <w:r w:rsidRPr="002A4B19">
        <w:rPr>
          <w:rFonts w:ascii="Times New Roman" w:hAnsi="Times New Roman" w:cs="Times New Roman"/>
          <w:b w:val="0"/>
          <w:sz w:val="24"/>
          <w:szCs w:val="24"/>
        </w:rPr>
        <w:fldChar w:fldCharType="end"/>
      </w:r>
      <w:r w:rsidRPr="002A4B19">
        <w:rPr>
          <w:rFonts w:ascii="Times New Roman" w:hAnsi="Times New Roman" w:cs="Times New Roman"/>
          <w:b w:val="0"/>
          <w:sz w:val="24"/>
          <w:szCs w:val="24"/>
        </w:rPr>
        <w:t>. Construction of knowledge-based SAM</w:t>
      </w:r>
    </w:p>
    <w:tbl>
      <w:tblPr>
        <w:tblStyle w:val="aa"/>
        <w:tblW w:w="13620" w:type="dxa"/>
        <w:jc w:val="center"/>
        <w:tblLayout w:type="fixed"/>
        <w:tblLook w:val="04A0" w:firstRow="1" w:lastRow="0" w:firstColumn="1" w:lastColumn="0" w:noHBand="0" w:noVBand="1"/>
      </w:tblPr>
      <w:tblGrid>
        <w:gridCol w:w="841"/>
        <w:gridCol w:w="846"/>
        <w:gridCol w:w="851"/>
        <w:gridCol w:w="1129"/>
        <w:gridCol w:w="673"/>
        <w:gridCol w:w="778"/>
        <w:gridCol w:w="1121"/>
        <w:gridCol w:w="1096"/>
        <w:gridCol w:w="1128"/>
        <w:gridCol w:w="908"/>
        <w:gridCol w:w="767"/>
        <w:gridCol w:w="865"/>
        <w:gridCol w:w="562"/>
        <w:gridCol w:w="704"/>
        <w:gridCol w:w="738"/>
        <w:gridCol w:w="613"/>
      </w:tblGrid>
      <w:tr w:rsidR="002A4B19" w:rsidRPr="002A4B19" w:rsidTr="00BB24C4">
        <w:trPr>
          <w:trHeight w:val="311"/>
          <w:jc w:val="center"/>
        </w:trPr>
        <w:tc>
          <w:tcPr>
            <w:tcW w:w="2535" w:type="dxa"/>
            <w:gridSpan w:val="3"/>
            <w:vMerge w:val="restart"/>
            <w:tcBorders>
              <w:top w:val="single" w:sz="4" w:space="0" w:color="auto"/>
              <w:left w:val="single" w:sz="4" w:space="0" w:color="auto"/>
              <w:bottom w:val="single" w:sz="4" w:space="0" w:color="auto"/>
              <w:right w:val="single" w:sz="4" w:space="0" w:color="auto"/>
            </w:tcBorders>
          </w:tcPr>
          <w:p w:rsidR="00BB24C4" w:rsidRPr="002A4B19" w:rsidRDefault="00BB24C4" w:rsidP="00BB24C4">
            <w:pPr>
              <w:jc w:val="center"/>
              <w:rPr>
                <w:rFonts w:ascii="Times New Roman" w:hAnsi="Times New Roman" w:cs="Times New Roman"/>
                <w:szCs w:val="20"/>
              </w:rPr>
            </w:pPr>
          </w:p>
        </w:tc>
        <w:tc>
          <w:tcPr>
            <w:tcW w:w="1128" w:type="dxa"/>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 w:val="18"/>
                <w:szCs w:val="20"/>
              </w:rPr>
            </w:pPr>
            <w:r w:rsidRPr="002A4B19">
              <w:rPr>
                <w:rFonts w:ascii="Times New Roman" w:hAnsi="Times New Roman" w:cs="Times New Roman"/>
                <w:sz w:val="18"/>
                <w:szCs w:val="20"/>
              </w:rPr>
              <w:t>Activity</w:t>
            </w:r>
          </w:p>
        </w:tc>
        <w:tc>
          <w:tcPr>
            <w:tcW w:w="2571" w:type="dxa"/>
            <w:gridSpan w:val="3"/>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 w:val="18"/>
                <w:szCs w:val="20"/>
              </w:rPr>
            </w:pPr>
            <w:r w:rsidRPr="002A4B19">
              <w:rPr>
                <w:rFonts w:ascii="Times New Roman" w:hAnsi="Times New Roman" w:cs="Times New Roman"/>
                <w:sz w:val="18"/>
                <w:szCs w:val="20"/>
              </w:rPr>
              <w:t>Factor inputs</w:t>
            </w:r>
          </w:p>
        </w:tc>
        <w:tc>
          <w:tcPr>
            <w:tcW w:w="2224" w:type="dxa"/>
            <w:gridSpan w:val="2"/>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 w:val="18"/>
                <w:szCs w:val="20"/>
              </w:rPr>
            </w:pPr>
            <w:r w:rsidRPr="002A4B19">
              <w:rPr>
                <w:rFonts w:ascii="Times New Roman" w:hAnsi="Times New Roman" w:cs="Times New Roman"/>
                <w:sz w:val="18"/>
                <w:szCs w:val="20"/>
              </w:rPr>
              <w:t>Institution</w:t>
            </w:r>
          </w:p>
        </w:tc>
        <w:tc>
          <w:tcPr>
            <w:tcW w:w="2540" w:type="dxa"/>
            <w:gridSpan w:val="3"/>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 w:val="18"/>
                <w:szCs w:val="20"/>
              </w:rPr>
            </w:pPr>
            <w:r w:rsidRPr="002A4B19">
              <w:rPr>
                <w:rFonts w:ascii="Times New Roman" w:hAnsi="Times New Roman" w:cs="Times New Roman"/>
                <w:sz w:val="18"/>
                <w:szCs w:val="20"/>
              </w:rPr>
              <w:t>Investments</w:t>
            </w: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 w:val="18"/>
                <w:szCs w:val="20"/>
              </w:rPr>
            </w:pPr>
            <w:r w:rsidRPr="002A4B19">
              <w:rPr>
                <w:rFonts w:ascii="Times New Roman" w:hAnsi="Times New Roman" w:cs="Times New Roman"/>
                <w:sz w:val="18"/>
                <w:szCs w:val="20"/>
              </w:rPr>
              <w:t>Tax</w:t>
            </w:r>
          </w:p>
        </w:tc>
        <w:tc>
          <w:tcPr>
            <w:tcW w:w="1442" w:type="dxa"/>
            <w:gridSpan w:val="2"/>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 w:val="18"/>
                <w:szCs w:val="20"/>
              </w:rPr>
            </w:pPr>
            <w:r w:rsidRPr="002A4B19">
              <w:rPr>
                <w:rFonts w:ascii="Times New Roman" w:hAnsi="Times New Roman" w:cs="Times New Roman"/>
                <w:sz w:val="18"/>
                <w:szCs w:val="20"/>
              </w:rPr>
              <w:t>ROW</w:t>
            </w:r>
          </w:p>
        </w:tc>
        <w:tc>
          <w:tcPr>
            <w:tcW w:w="613" w:type="dxa"/>
            <w:vMerge w:val="restart"/>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b/>
                <w:sz w:val="18"/>
                <w:szCs w:val="20"/>
              </w:rPr>
            </w:pPr>
            <w:r w:rsidRPr="002A4B19">
              <w:rPr>
                <w:rFonts w:ascii="Times New Roman" w:hAnsi="Times New Roman" w:cs="Times New Roman"/>
                <w:b/>
                <w:sz w:val="18"/>
                <w:szCs w:val="20"/>
              </w:rPr>
              <w:t>Total</w:t>
            </w:r>
          </w:p>
        </w:tc>
      </w:tr>
      <w:tr w:rsidR="002A4B19" w:rsidRPr="002A4B19" w:rsidTr="00BB24C4">
        <w:trPr>
          <w:trHeight w:val="338"/>
          <w:jc w:val="center"/>
        </w:trPr>
        <w:tc>
          <w:tcPr>
            <w:tcW w:w="5079" w:type="dxa"/>
            <w:gridSpan w:val="3"/>
            <w:vMerge/>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widowControl/>
              <w:wordWrap/>
              <w:autoSpaceDE/>
              <w:autoSpaceDN/>
              <w:rPr>
                <w:rFonts w:ascii="Times New Roman" w:hAnsi="Times New Roman" w:cs="Times New Roman"/>
                <w:szCs w:val="20"/>
              </w:rPr>
            </w:pPr>
          </w:p>
        </w:tc>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 w:val="18"/>
                <w:szCs w:val="20"/>
              </w:rPr>
            </w:pPr>
            <w:r w:rsidRPr="002A4B19">
              <w:rPr>
                <w:rFonts w:ascii="Times New Roman" w:hAnsi="Times New Roman" w:cs="Times New Roman"/>
                <w:sz w:val="18"/>
                <w:szCs w:val="20"/>
              </w:rPr>
              <w:t>Intermediate</w:t>
            </w:r>
          </w:p>
        </w:tc>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 w:val="18"/>
                <w:szCs w:val="20"/>
              </w:rPr>
            </w:pPr>
            <w:r w:rsidRPr="002A4B19">
              <w:rPr>
                <w:rFonts w:ascii="Times New Roman" w:hAnsi="Times New Roman" w:cs="Times New Roman"/>
                <w:sz w:val="18"/>
                <w:szCs w:val="20"/>
              </w:rPr>
              <w:t>Labor</w:t>
            </w:r>
          </w:p>
        </w:tc>
        <w:tc>
          <w:tcPr>
            <w:tcW w:w="778" w:type="dxa"/>
            <w:vMerge w:val="restart"/>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 w:val="18"/>
                <w:szCs w:val="20"/>
              </w:rPr>
            </w:pPr>
            <w:r w:rsidRPr="002A4B19">
              <w:rPr>
                <w:rFonts w:ascii="Times New Roman" w:hAnsi="Times New Roman" w:cs="Times New Roman"/>
                <w:sz w:val="18"/>
                <w:szCs w:val="20"/>
              </w:rPr>
              <w:t>Capital</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B24C4" w:rsidRPr="002A4B19" w:rsidRDefault="00BB24C4" w:rsidP="00BB24C4">
            <w:pPr>
              <w:jc w:val="center"/>
              <w:rPr>
                <w:rFonts w:ascii="Times New Roman" w:hAnsi="Times New Roman" w:cs="Times New Roman"/>
                <w:sz w:val="18"/>
                <w:szCs w:val="20"/>
              </w:rPr>
            </w:pPr>
            <w:r w:rsidRPr="002A4B19">
              <w:rPr>
                <w:rFonts w:ascii="Times New Roman" w:hAnsi="Times New Roman" w:cs="Times New Roman"/>
                <w:sz w:val="18"/>
                <w:szCs w:val="20"/>
              </w:rPr>
              <w:t>Knowledge</w:t>
            </w:r>
          </w:p>
        </w:tc>
        <w:tc>
          <w:tcPr>
            <w:tcW w:w="1096" w:type="dxa"/>
            <w:vMerge w:val="restart"/>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 w:val="18"/>
                <w:szCs w:val="20"/>
              </w:rPr>
            </w:pPr>
            <w:r w:rsidRPr="002A4B19">
              <w:rPr>
                <w:rFonts w:ascii="Times New Roman" w:hAnsi="Times New Roman" w:cs="Times New Roman"/>
                <w:sz w:val="18"/>
                <w:szCs w:val="20"/>
              </w:rPr>
              <w:t>Household</w:t>
            </w:r>
          </w:p>
        </w:tc>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 w:val="18"/>
                <w:szCs w:val="20"/>
              </w:rPr>
            </w:pPr>
            <w:r w:rsidRPr="002A4B19">
              <w:rPr>
                <w:rFonts w:ascii="Times New Roman" w:hAnsi="Times New Roman" w:cs="Times New Roman"/>
                <w:sz w:val="18"/>
                <w:szCs w:val="20"/>
              </w:rPr>
              <w:t>Government</w:t>
            </w:r>
          </w:p>
        </w:tc>
        <w:tc>
          <w:tcPr>
            <w:tcW w:w="908" w:type="dxa"/>
            <w:vMerge w:val="restart"/>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 w:val="18"/>
                <w:szCs w:val="20"/>
              </w:rPr>
            </w:pPr>
            <w:r w:rsidRPr="002A4B19">
              <w:rPr>
                <w:rFonts w:ascii="Times New Roman" w:hAnsi="Times New Roman" w:cs="Times New Roman"/>
                <w:sz w:val="18"/>
                <w:szCs w:val="20"/>
              </w:rPr>
              <w:t>Physical Capital</w:t>
            </w:r>
          </w:p>
        </w:tc>
        <w:tc>
          <w:tcPr>
            <w:tcW w:w="163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B24C4" w:rsidRPr="002A4B19" w:rsidRDefault="00BB24C4" w:rsidP="00BB24C4">
            <w:pPr>
              <w:jc w:val="center"/>
              <w:rPr>
                <w:rFonts w:ascii="Times New Roman" w:hAnsi="Times New Roman" w:cs="Times New Roman"/>
                <w:sz w:val="18"/>
                <w:szCs w:val="20"/>
              </w:rPr>
            </w:pPr>
            <w:r w:rsidRPr="002A4B19">
              <w:rPr>
                <w:rFonts w:ascii="Times New Roman" w:hAnsi="Times New Roman" w:cs="Times New Roman"/>
                <w:sz w:val="18"/>
                <w:szCs w:val="20"/>
              </w:rPr>
              <w:t>Knowledge capital</w:t>
            </w:r>
            <w:r w:rsidRPr="002A4B19">
              <w:rPr>
                <w:rFonts w:ascii="Times New Roman" w:hAnsi="Times New Roman" w:cs="Times New Roman"/>
                <w:sz w:val="18"/>
                <w:szCs w:val="18"/>
                <w:vertAlign w:val="superscript"/>
              </w:rPr>
              <w:t xml:space="preserve"> e)</w:t>
            </w: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widowControl/>
              <w:wordWrap/>
              <w:autoSpaceDE/>
              <w:autoSpaceDN/>
              <w:rPr>
                <w:rFonts w:ascii="Times New Roman" w:hAnsi="Times New Roman" w:cs="Times New Roman"/>
                <w:sz w:val="18"/>
                <w:szCs w:val="20"/>
              </w:rPr>
            </w:pPr>
          </w:p>
        </w:tc>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 w:val="18"/>
                <w:szCs w:val="20"/>
              </w:rPr>
            </w:pPr>
            <w:r w:rsidRPr="002A4B19">
              <w:rPr>
                <w:rFonts w:ascii="Times New Roman" w:hAnsi="Times New Roman" w:cs="Times New Roman"/>
                <w:sz w:val="18"/>
                <w:szCs w:val="20"/>
              </w:rPr>
              <w:t>Export</w:t>
            </w:r>
          </w:p>
        </w:tc>
        <w:tc>
          <w:tcPr>
            <w:tcW w:w="737" w:type="dxa"/>
            <w:vMerge w:val="restart"/>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 w:val="18"/>
                <w:szCs w:val="20"/>
              </w:rPr>
            </w:pPr>
            <w:r w:rsidRPr="002A4B19">
              <w:rPr>
                <w:rFonts w:ascii="Times New Roman" w:hAnsi="Times New Roman" w:cs="Times New Roman"/>
                <w:sz w:val="18"/>
                <w:szCs w:val="20"/>
              </w:rPr>
              <w:t>Import</w:t>
            </w:r>
          </w:p>
        </w:tc>
        <w:tc>
          <w:tcPr>
            <w:tcW w:w="613" w:type="dxa"/>
            <w:vMerge/>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widowControl/>
              <w:wordWrap/>
              <w:autoSpaceDE/>
              <w:autoSpaceDN/>
              <w:rPr>
                <w:rFonts w:ascii="Times New Roman" w:hAnsi="Times New Roman" w:cs="Times New Roman"/>
                <w:b/>
                <w:sz w:val="18"/>
                <w:szCs w:val="20"/>
              </w:rPr>
            </w:pPr>
          </w:p>
        </w:tc>
      </w:tr>
      <w:tr w:rsidR="002A4B19" w:rsidRPr="002A4B19" w:rsidTr="00BB24C4">
        <w:trPr>
          <w:trHeight w:val="338"/>
          <w:jc w:val="center"/>
        </w:trPr>
        <w:tc>
          <w:tcPr>
            <w:tcW w:w="5079" w:type="dxa"/>
            <w:gridSpan w:val="3"/>
            <w:vMerge/>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widowControl/>
              <w:wordWrap/>
              <w:autoSpaceDE/>
              <w:autoSpaceDN/>
              <w:rPr>
                <w:rFonts w:ascii="Times New Roman" w:hAnsi="Times New Roman" w:cs="Times New Roman"/>
                <w:szCs w:val="20"/>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widowControl/>
              <w:wordWrap/>
              <w:autoSpaceDE/>
              <w:autoSpaceDN/>
              <w:rPr>
                <w:rFonts w:ascii="Times New Roman" w:hAnsi="Times New Roman" w:cs="Times New Roman"/>
                <w:sz w:val="18"/>
                <w:szCs w:val="20"/>
              </w:rPr>
            </w:pPr>
          </w:p>
        </w:tc>
        <w:tc>
          <w:tcPr>
            <w:tcW w:w="2571" w:type="dxa"/>
            <w:vMerge/>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widowControl/>
              <w:wordWrap/>
              <w:autoSpaceDE/>
              <w:autoSpaceDN/>
              <w:rPr>
                <w:rFonts w:ascii="Times New Roman" w:hAnsi="Times New Roman" w:cs="Times New Roman"/>
                <w:sz w:val="18"/>
                <w:szCs w:val="20"/>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widowControl/>
              <w:wordWrap/>
              <w:autoSpaceDE/>
              <w:autoSpaceDN/>
              <w:rPr>
                <w:rFonts w:ascii="Times New Roman" w:hAnsi="Times New Roman" w:cs="Times New Roman"/>
                <w:sz w:val="18"/>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widowControl/>
              <w:wordWrap/>
              <w:autoSpaceDE/>
              <w:autoSpaceDN/>
              <w:rPr>
                <w:rFonts w:ascii="Times New Roman" w:hAnsi="Times New Roman" w:cs="Times New Roman"/>
                <w:sz w:val="18"/>
                <w:szCs w:val="20"/>
              </w:rPr>
            </w:pPr>
          </w:p>
        </w:tc>
        <w:tc>
          <w:tcPr>
            <w:tcW w:w="2224" w:type="dxa"/>
            <w:vMerge/>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widowControl/>
              <w:wordWrap/>
              <w:autoSpaceDE/>
              <w:autoSpaceDN/>
              <w:rPr>
                <w:rFonts w:ascii="Times New Roman" w:hAnsi="Times New Roman" w:cs="Times New Roman"/>
                <w:sz w:val="18"/>
                <w:szCs w:val="20"/>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widowControl/>
              <w:wordWrap/>
              <w:autoSpaceDE/>
              <w:autoSpaceDN/>
              <w:rPr>
                <w:rFonts w:ascii="Times New Roman" w:hAnsi="Times New Roman" w:cs="Times New Roman"/>
                <w:sz w:val="18"/>
                <w:szCs w:val="20"/>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widowControl/>
              <w:wordWrap/>
              <w:autoSpaceDE/>
              <w:autoSpaceDN/>
              <w:rPr>
                <w:rFonts w:ascii="Times New Roman" w:hAnsi="Times New Roman" w:cs="Times New Roman"/>
                <w:sz w:val="18"/>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B24C4" w:rsidRPr="002A4B19" w:rsidRDefault="00BB24C4" w:rsidP="00BB24C4">
            <w:pPr>
              <w:jc w:val="center"/>
              <w:rPr>
                <w:rFonts w:ascii="Times New Roman" w:hAnsi="Times New Roman" w:cs="Times New Roman"/>
                <w:sz w:val="18"/>
                <w:szCs w:val="20"/>
              </w:rPr>
            </w:pPr>
            <w:r w:rsidRPr="002A4B19">
              <w:rPr>
                <w:rFonts w:ascii="Times New Roman" w:hAnsi="Times New Roman" w:cs="Times New Roman"/>
                <w:sz w:val="18"/>
                <w:szCs w:val="20"/>
              </w:rPr>
              <w:t>Private</w:t>
            </w:r>
          </w:p>
        </w:tc>
        <w:tc>
          <w:tcPr>
            <w:tcW w:w="8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B24C4" w:rsidRPr="002A4B19" w:rsidRDefault="00BB24C4" w:rsidP="00BB24C4">
            <w:pPr>
              <w:jc w:val="center"/>
              <w:rPr>
                <w:rFonts w:ascii="Times New Roman" w:hAnsi="Times New Roman" w:cs="Times New Roman"/>
                <w:sz w:val="18"/>
                <w:szCs w:val="20"/>
              </w:rPr>
            </w:pPr>
            <w:r w:rsidRPr="002A4B19">
              <w:rPr>
                <w:rFonts w:ascii="Times New Roman" w:hAnsi="Times New Roman" w:cs="Times New Roman"/>
                <w:sz w:val="18"/>
                <w:szCs w:val="20"/>
              </w:rPr>
              <w:t>Public</w:t>
            </w: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widowControl/>
              <w:wordWrap/>
              <w:autoSpaceDE/>
              <w:autoSpaceDN/>
              <w:rPr>
                <w:rFonts w:ascii="Times New Roman" w:hAnsi="Times New Roman" w:cs="Times New Roman"/>
                <w:sz w:val="18"/>
                <w:szCs w:val="20"/>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widowControl/>
              <w:wordWrap/>
              <w:autoSpaceDE/>
              <w:autoSpaceDN/>
              <w:rPr>
                <w:rFonts w:ascii="Times New Roman" w:hAnsi="Times New Roman" w:cs="Times New Roman"/>
                <w:sz w:val="18"/>
                <w:szCs w:val="20"/>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widowControl/>
              <w:wordWrap/>
              <w:autoSpaceDE/>
              <w:autoSpaceDN/>
              <w:rPr>
                <w:rFonts w:ascii="Times New Roman" w:hAnsi="Times New Roman" w:cs="Times New Roman"/>
                <w:sz w:val="18"/>
                <w:szCs w:val="20"/>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widowControl/>
              <w:wordWrap/>
              <w:autoSpaceDE/>
              <w:autoSpaceDN/>
              <w:rPr>
                <w:rFonts w:ascii="Times New Roman" w:hAnsi="Times New Roman" w:cs="Times New Roman"/>
                <w:b/>
                <w:sz w:val="18"/>
                <w:szCs w:val="20"/>
              </w:rPr>
            </w:pPr>
          </w:p>
        </w:tc>
      </w:tr>
      <w:tr w:rsidR="002A4B19" w:rsidRPr="002A4B19" w:rsidTr="00BB24C4">
        <w:trPr>
          <w:trHeight w:val="338"/>
          <w:jc w:val="center"/>
        </w:trPr>
        <w:tc>
          <w:tcPr>
            <w:tcW w:w="840" w:type="dxa"/>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 w:val="18"/>
                <w:szCs w:val="18"/>
              </w:rPr>
            </w:pPr>
            <w:r w:rsidRPr="002A4B19">
              <w:rPr>
                <w:rFonts w:ascii="Times New Roman" w:hAnsi="Times New Roman" w:cs="Times New Roman"/>
                <w:sz w:val="18"/>
                <w:szCs w:val="18"/>
              </w:rPr>
              <w:t>Activity</w:t>
            </w: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 w:val="18"/>
                <w:szCs w:val="18"/>
              </w:rPr>
            </w:pPr>
            <w:r w:rsidRPr="002A4B19">
              <w:rPr>
                <w:rFonts w:ascii="Times New Roman" w:hAnsi="Times New Roman" w:cs="Times New Roman"/>
                <w:sz w:val="18"/>
                <w:szCs w:val="18"/>
              </w:rPr>
              <w:t>Intermediate</w:t>
            </w:r>
          </w:p>
        </w:tc>
        <w:tc>
          <w:tcPr>
            <w:tcW w:w="1128" w:type="dxa"/>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Cs w:val="20"/>
              </w:rPr>
            </w:pPr>
            <w:r w:rsidRPr="002A4B19">
              <w:rPr>
                <w:rFonts w:ascii="Times New Roman" w:hAnsi="Times New Roman" w:cs="Times New Roman"/>
                <w:szCs w:val="20"/>
              </w:rPr>
              <w:t>27*27</w:t>
            </w:r>
            <w:r w:rsidRPr="002A4B19">
              <w:rPr>
                <w:rFonts w:ascii="Times New Roman" w:hAnsi="Times New Roman" w:cs="Times New Roman"/>
                <w:szCs w:val="20"/>
                <w:vertAlign w:val="superscript"/>
              </w:rPr>
              <w:t>a)</w:t>
            </w:r>
          </w:p>
        </w:tc>
        <w:tc>
          <w:tcPr>
            <w:tcW w:w="672"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778"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1096" w:type="dxa"/>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Cs w:val="20"/>
              </w:rPr>
            </w:pPr>
            <w:r w:rsidRPr="002A4B19">
              <w:rPr>
                <w:rFonts w:ascii="Times New Roman" w:hAnsi="Times New Roman" w:cs="Times New Roman"/>
                <w:szCs w:val="20"/>
              </w:rPr>
              <w:t>27*20</w:t>
            </w:r>
          </w:p>
        </w:tc>
        <w:tc>
          <w:tcPr>
            <w:tcW w:w="1128" w:type="dxa"/>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Cs w:val="20"/>
              </w:rPr>
            </w:pPr>
            <w:r w:rsidRPr="002A4B19">
              <w:rPr>
                <w:rFonts w:ascii="Times New Roman" w:hAnsi="Times New Roman" w:cs="Times New Roman"/>
                <w:szCs w:val="20"/>
              </w:rPr>
              <w:t>27*1</w:t>
            </w:r>
          </w:p>
        </w:tc>
        <w:tc>
          <w:tcPr>
            <w:tcW w:w="908" w:type="dxa"/>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Cs w:val="20"/>
              </w:rPr>
            </w:pPr>
            <w:r w:rsidRPr="002A4B19">
              <w:rPr>
                <w:rFonts w:ascii="Times New Roman" w:hAnsi="Times New Roman" w:cs="Times New Roman"/>
                <w:szCs w:val="20"/>
              </w:rPr>
              <w:t>27*1</w:t>
            </w:r>
          </w:p>
        </w:tc>
        <w:tc>
          <w:tcPr>
            <w:tcW w:w="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B24C4" w:rsidRPr="002A4B19" w:rsidRDefault="00BB24C4" w:rsidP="00BB24C4">
            <w:pPr>
              <w:jc w:val="center"/>
              <w:rPr>
                <w:rFonts w:ascii="Times New Roman" w:hAnsi="Times New Roman" w:cs="Times New Roman"/>
                <w:szCs w:val="20"/>
              </w:rPr>
            </w:pPr>
            <w:r w:rsidRPr="002A4B19">
              <w:rPr>
                <w:rFonts w:ascii="Times New Roman" w:hAnsi="Times New Roman" w:cs="Times New Roman"/>
                <w:szCs w:val="20"/>
              </w:rPr>
              <w:t>27*1</w:t>
            </w:r>
          </w:p>
        </w:tc>
        <w:tc>
          <w:tcPr>
            <w:tcW w:w="8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B24C4" w:rsidRPr="002A4B19" w:rsidRDefault="00BB24C4" w:rsidP="00BB24C4">
            <w:pPr>
              <w:jc w:val="center"/>
              <w:rPr>
                <w:rFonts w:ascii="Times New Roman" w:hAnsi="Times New Roman" w:cs="Times New Roman"/>
                <w:szCs w:val="20"/>
              </w:rPr>
            </w:pPr>
            <w:r w:rsidRPr="002A4B19">
              <w:rPr>
                <w:rFonts w:ascii="Times New Roman" w:hAnsi="Times New Roman" w:cs="Times New Roman"/>
                <w:szCs w:val="20"/>
              </w:rPr>
              <w:t>27*1</w:t>
            </w:r>
          </w:p>
        </w:tc>
        <w:tc>
          <w:tcPr>
            <w:tcW w:w="562"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704" w:type="dxa"/>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Cs w:val="20"/>
              </w:rPr>
            </w:pPr>
            <w:r w:rsidRPr="002A4B19">
              <w:rPr>
                <w:rFonts w:ascii="Times New Roman" w:hAnsi="Times New Roman" w:cs="Times New Roman"/>
                <w:szCs w:val="20"/>
              </w:rPr>
              <w:t>27*1</w:t>
            </w:r>
          </w:p>
        </w:tc>
        <w:tc>
          <w:tcPr>
            <w:tcW w:w="737"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613"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r>
      <w:tr w:rsidR="002A4B19" w:rsidRPr="002A4B19" w:rsidTr="00BB24C4">
        <w:trPr>
          <w:trHeight w:val="363"/>
          <w:jc w:val="center"/>
        </w:trPr>
        <w:tc>
          <w:tcPr>
            <w:tcW w:w="840" w:type="dxa"/>
            <w:vMerge w:val="restart"/>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 w:val="18"/>
                <w:szCs w:val="18"/>
              </w:rPr>
            </w:pPr>
            <w:r w:rsidRPr="002A4B19">
              <w:rPr>
                <w:rFonts w:ascii="Times New Roman" w:hAnsi="Times New Roman" w:cs="Times New Roman"/>
                <w:sz w:val="18"/>
                <w:szCs w:val="18"/>
              </w:rPr>
              <w:t>Factor inputs</w:t>
            </w: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 w:val="18"/>
                <w:szCs w:val="18"/>
              </w:rPr>
            </w:pPr>
            <w:r w:rsidRPr="002A4B19">
              <w:rPr>
                <w:rFonts w:ascii="Times New Roman" w:hAnsi="Times New Roman" w:cs="Times New Roman"/>
                <w:sz w:val="18"/>
                <w:szCs w:val="18"/>
              </w:rPr>
              <w:t>Labor</w:t>
            </w:r>
            <w:r w:rsidRPr="002A4B19">
              <w:rPr>
                <w:rFonts w:ascii="Times New Roman" w:hAnsi="Times New Roman" w:cs="Times New Roman"/>
                <w:sz w:val="18"/>
                <w:szCs w:val="18"/>
                <w:vertAlign w:val="superscript"/>
              </w:rPr>
              <w:t>c)</w:t>
            </w:r>
          </w:p>
        </w:tc>
        <w:tc>
          <w:tcPr>
            <w:tcW w:w="1128" w:type="dxa"/>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Cs w:val="20"/>
              </w:rPr>
            </w:pPr>
            <w:r w:rsidRPr="002A4B19">
              <w:rPr>
                <w:rFonts w:ascii="Times New Roman" w:hAnsi="Times New Roman" w:cs="Times New Roman"/>
                <w:szCs w:val="20"/>
              </w:rPr>
              <w:t>3*27</w:t>
            </w:r>
          </w:p>
        </w:tc>
        <w:tc>
          <w:tcPr>
            <w:tcW w:w="672"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778"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1128"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908"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B24C4" w:rsidRPr="002A4B19" w:rsidRDefault="00BB24C4" w:rsidP="00BB24C4">
            <w:pPr>
              <w:jc w:val="center"/>
              <w:rPr>
                <w:rFonts w:ascii="Times New Roman" w:hAnsi="Times New Roman" w:cs="Times New Roman"/>
                <w:szCs w:val="20"/>
              </w:rPr>
            </w:pPr>
            <w:r w:rsidRPr="002A4B19">
              <w:rPr>
                <w:rFonts w:ascii="Times New Roman" w:hAnsi="Times New Roman" w:cs="Times New Roman"/>
                <w:szCs w:val="20"/>
              </w:rPr>
              <w:t>3*1</w:t>
            </w:r>
          </w:p>
        </w:tc>
        <w:tc>
          <w:tcPr>
            <w:tcW w:w="8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B24C4" w:rsidRPr="002A4B19" w:rsidRDefault="00BB24C4" w:rsidP="00BB24C4">
            <w:pPr>
              <w:jc w:val="center"/>
              <w:rPr>
                <w:rFonts w:ascii="Times New Roman" w:hAnsi="Times New Roman" w:cs="Times New Roman"/>
                <w:szCs w:val="20"/>
              </w:rPr>
            </w:pPr>
            <w:r w:rsidRPr="002A4B19">
              <w:rPr>
                <w:rFonts w:ascii="Times New Roman" w:hAnsi="Times New Roman" w:cs="Times New Roman"/>
                <w:szCs w:val="20"/>
              </w:rPr>
              <w:t>3*1</w:t>
            </w:r>
          </w:p>
        </w:tc>
        <w:tc>
          <w:tcPr>
            <w:tcW w:w="562"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704"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613"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r>
      <w:tr w:rsidR="002A4B19" w:rsidRPr="002A4B19" w:rsidTr="00BB24C4">
        <w:trPr>
          <w:trHeight w:val="363"/>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widowControl/>
              <w:wordWrap/>
              <w:autoSpaceDE/>
              <w:autoSpaceDN/>
              <w:rPr>
                <w:rFonts w:ascii="Times New Roman" w:hAnsi="Times New Roman" w:cs="Times New Roman"/>
                <w:sz w:val="18"/>
                <w:szCs w:val="18"/>
              </w:rPr>
            </w:pP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 w:val="18"/>
                <w:szCs w:val="18"/>
              </w:rPr>
            </w:pPr>
            <w:r w:rsidRPr="002A4B19">
              <w:rPr>
                <w:rFonts w:ascii="Times New Roman" w:hAnsi="Times New Roman" w:cs="Times New Roman"/>
                <w:sz w:val="18"/>
                <w:szCs w:val="18"/>
              </w:rPr>
              <w:t>Capital</w:t>
            </w:r>
          </w:p>
        </w:tc>
        <w:tc>
          <w:tcPr>
            <w:tcW w:w="1128" w:type="dxa"/>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Cs w:val="20"/>
              </w:rPr>
            </w:pPr>
            <w:r w:rsidRPr="002A4B19">
              <w:rPr>
                <w:rFonts w:ascii="Times New Roman" w:hAnsi="Times New Roman" w:cs="Times New Roman"/>
                <w:szCs w:val="20"/>
              </w:rPr>
              <w:t>1*27</w:t>
            </w:r>
          </w:p>
        </w:tc>
        <w:tc>
          <w:tcPr>
            <w:tcW w:w="672"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778"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1128"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908"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B24C4" w:rsidRPr="002A4B19" w:rsidRDefault="00BB24C4" w:rsidP="00BB24C4">
            <w:pPr>
              <w:jc w:val="center"/>
              <w:rPr>
                <w:rFonts w:ascii="Times New Roman" w:hAnsi="Times New Roman" w:cs="Times New Roman"/>
                <w:szCs w:val="20"/>
              </w:rPr>
            </w:pPr>
            <w:r w:rsidRPr="002A4B19">
              <w:rPr>
                <w:rFonts w:ascii="Times New Roman" w:hAnsi="Times New Roman" w:cs="Times New Roman"/>
                <w:szCs w:val="20"/>
              </w:rPr>
              <w:t>3*1</w:t>
            </w:r>
          </w:p>
        </w:tc>
        <w:tc>
          <w:tcPr>
            <w:tcW w:w="8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B24C4" w:rsidRPr="002A4B19" w:rsidRDefault="00BB24C4" w:rsidP="00BB24C4">
            <w:pPr>
              <w:jc w:val="center"/>
              <w:rPr>
                <w:rFonts w:ascii="Times New Roman" w:hAnsi="Times New Roman" w:cs="Times New Roman"/>
                <w:szCs w:val="20"/>
              </w:rPr>
            </w:pPr>
            <w:r w:rsidRPr="002A4B19">
              <w:rPr>
                <w:rFonts w:ascii="Times New Roman" w:hAnsi="Times New Roman" w:cs="Times New Roman"/>
                <w:szCs w:val="20"/>
              </w:rPr>
              <w:t>3*1</w:t>
            </w:r>
          </w:p>
        </w:tc>
        <w:tc>
          <w:tcPr>
            <w:tcW w:w="562"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704"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613"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r>
      <w:tr w:rsidR="002A4B19" w:rsidRPr="002A4B19" w:rsidTr="00BB24C4">
        <w:trPr>
          <w:trHeight w:val="363"/>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widowControl/>
              <w:wordWrap/>
              <w:autoSpaceDE/>
              <w:autoSpaceDN/>
              <w:rPr>
                <w:rFonts w:ascii="Times New Roman" w:hAnsi="Times New Roman" w:cs="Times New Roman"/>
                <w:sz w:val="18"/>
                <w:szCs w:val="18"/>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B24C4" w:rsidRPr="002A4B19" w:rsidRDefault="00BB24C4" w:rsidP="00BB24C4">
            <w:pPr>
              <w:jc w:val="center"/>
              <w:rPr>
                <w:rFonts w:ascii="Times New Roman" w:hAnsi="Times New Roman" w:cs="Times New Roman"/>
                <w:sz w:val="18"/>
                <w:szCs w:val="18"/>
              </w:rPr>
            </w:pPr>
            <w:r w:rsidRPr="002A4B19">
              <w:rPr>
                <w:rFonts w:ascii="Times New Roman" w:hAnsi="Times New Roman" w:cs="Times New Roman"/>
                <w:sz w:val="18"/>
                <w:szCs w:val="18"/>
              </w:rPr>
              <w:t>Knowledge</w:t>
            </w:r>
            <w:r w:rsidRPr="002A4B19">
              <w:rPr>
                <w:rFonts w:ascii="Times New Roman" w:hAnsi="Times New Roman" w:cs="Times New Roman"/>
                <w:sz w:val="18"/>
                <w:szCs w:val="18"/>
                <w:vertAlign w:val="superscript"/>
              </w:rPr>
              <w:t>e)</w:t>
            </w:r>
          </w:p>
        </w:tc>
        <w:tc>
          <w:tcPr>
            <w:tcW w:w="11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B24C4" w:rsidRPr="002A4B19" w:rsidRDefault="00BB24C4" w:rsidP="00BB24C4">
            <w:pPr>
              <w:jc w:val="center"/>
              <w:rPr>
                <w:rFonts w:ascii="Times New Roman" w:hAnsi="Times New Roman" w:cs="Times New Roman"/>
                <w:szCs w:val="20"/>
              </w:rPr>
            </w:pPr>
            <w:r w:rsidRPr="002A4B19">
              <w:rPr>
                <w:rFonts w:ascii="Times New Roman" w:hAnsi="Times New Roman" w:cs="Times New Roman"/>
                <w:szCs w:val="20"/>
              </w:rPr>
              <w:t>1*27</w:t>
            </w:r>
          </w:p>
        </w:tc>
        <w:tc>
          <w:tcPr>
            <w:tcW w:w="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7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10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11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9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8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r>
      <w:tr w:rsidR="002A4B19" w:rsidRPr="002A4B19" w:rsidTr="00BB24C4">
        <w:trPr>
          <w:trHeight w:val="363"/>
          <w:jc w:val="center"/>
        </w:trPr>
        <w:tc>
          <w:tcPr>
            <w:tcW w:w="840" w:type="dxa"/>
            <w:vMerge w:val="restart"/>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 w:val="18"/>
                <w:szCs w:val="18"/>
              </w:rPr>
            </w:pPr>
            <w:r w:rsidRPr="002A4B19">
              <w:rPr>
                <w:rFonts w:ascii="Times New Roman" w:hAnsi="Times New Roman" w:cs="Times New Roman"/>
                <w:sz w:val="18"/>
                <w:szCs w:val="18"/>
              </w:rPr>
              <w:t>Instituti-ons</w:t>
            </w: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 w:val="18"/>
                <w:szCs w:val="18"/>
              </w:rPr>
            </w:pPr>
            <w:r w:rsidRPr="002A4B19">
              <w:rPr>
                <w:rFonts w:ascii="Times New Roman" w:hAnsi="Times New Roman" w:cs="Times New Roman"/>
                <w:sz w:val="18"/>
                <w:szCs w:val="18"/>
              </w:rPr>
              <w:t>Household</w:t>
            </w:r>
            <w:r w:rsidRPr="002A4B19">
              <w:rPr>
                <w:rFonts w:ascii="Times New Roman" w:hAnsi="Times New Roman" w:cs="Times New Roman"/>
                <w:sz w:val="18"/>
                <w:szCs w:val="18"/>
                <w:vertAlign w:val="superscript"/>
              </w:rPr>
              <w:t>d)</w:t>
            </w:r>
          </w:p>
        </w:tc>
        <w:tc>
          <w:tcPr>
            <w:tcW w:w="1128"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672" w:type="dxa"/>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Cs w:val="20"/>
              </w:rPr>
            </w:pPr>
            <w:r w:rsidRPr="002A4B19">
              <w:rPr>
                <w:rFonts w:ascii="Times New Roman" w:hAnsi="Times New Roman" w:cs="Times New Roman"/>
                <w:szCs w:val="20"/>
              </w:rPr>
              <w:t>20*3</w:t>
            </w:r>
          </w:p>
        </w:tc>
        <w:tc>
          <w:tcPr>
            <w:tcW w:w="778" w:type="dxa"/>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Cs w:val="20"/>
              </w:rPr>
            </w:pPr>
            <w:r w:rsidRPr="002A4B19">
              <w:rPr>
                <w:rFonts w:ascii="Times New Roman" w:hAnsi="Times New Roman" w:cs="Times New Roman"/>
                <w:szCs w:val="20"/>
              </w:rPr>
              <w:t>20*1</w:t>
            </w:r>
          </w:p>
        </w:tc>
        <w:tc>
          <w:tcPr>
            <w:tcW w:w="11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B24C4" w:rsidRPr="002A4B19" w:rsidRDefault="00BB24C4" w:rsidP="00BB24C4">
            <w:pPr>
              <w:jc w:val="center"/>
              <w:rPr>
                <w:rFonts w:ascii="Times New Roman" w:hAnsi="Times New Roman" w:cs="Times New Roman"/>
                <w:szCs w:val="20"/>
              </w:rPr>
            </w:pPr>
            <w:r w:rsidRPr="002A4B19">
              <w:rPr>
                <w:rFonts w:ascii="Times New Roman" w:hAnsi="Times New Roman" w:cs="Times New Roman"/>
                <w:szCs w:val="20"/>
              </w:rPr>
              <w:t>20*1</w:t>
            </w:r>
          </w:p>
        </w:tc>
        <w:tc>
          <w:tcPr>
            <w:tcW w:w="1096"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1128"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908"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8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562"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704"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613"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r>
      <w:tr w:rsidR="002A4B19" w:rsidRPr="002A4B19" w:rsidTr="00BB24C4">
        <w:trPr>
          <w:trHeight w:val="363"/>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widowControl/>
              <w:wordWrap/>
              <w:autoSpaceDE/>
              <w:autoSpaceDN/>
              <w:rPr>
                <w:rFonts w:ascii="Times New Roman" w:hAnsi="Times New Roman" w:cs="Times New Roman"/>
                <w:sz w:val="18"/>
                <w:szCs w:val="18"/>
              </w:rPr>
            </w:pP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 w:val="18"/>
                <w:szCs w:val="18"/>
              </w:rPr>
            </w:pPr>
            <w:r w:rsidRPr="002A4B19">
              <w:rPr>
                <w:rFonts w:ascii="Times New Roman" w:hAnsi="Times New Roman" w:cs="Times New Roman"/>
                <w:sz w:val="18"/>
                <w:szCs w:val="18"/>
              </w:rPr>
              <w:t>Government</w:t>
            </w:r>
          </w:p>
        </w:tc>
        <w:tc>
          <w:tcPr>
            <w:tcW w:w="1128"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672"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778"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1096" w:type="dxa"/>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Cs w:val="20"/>
              </w:rPr>
            </w:pPr>
            <w:r w:rsidRPr="002A4B19">
              <w:rPr>
                <w:rFonts w:ascii="Times New Roman" w:hAnsi="Times New Roman" w:cs="Times New Roman"/>
                <w:szCs w:val="20"/>
              </w:rPr>
              <w:t>1*20</w:t>
            </w:r>
          </w:p>
        </w:tc>
        <w:tc>
          <w:tcPr>
            <w:tcW w:w="1128"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908"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8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Cs w:val="20"/>
              </w:rPr>
            </w:pPr>
            <w:r w:rsidRPr="002A4B19">
              <w:rPr>
                <w:rFonts w:ascii="Times New Roman" w:hAnsi="Times New Roman" w:cs="Times New Roman"/>
                <w:szCs w:val="20"/>
              </w:rPr>
              <w:t>1*1</w:t>
            </w:r>
          </w:p>
        </w:tc>
        <w:tc>
          <w:tcPr>
            <w:tcW w:w="704"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613"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r>
      <w:tr w:rsidR="002A4B19" w:rsidRPr="002A4B19" w:rsidTr="00BB24C4">
        <w:trPr>
          <w:trHeight w:val="624"/>
          <w:jc w:val="center"/>
        </w:trPr>
        <w:tc>
          <w:tcPr>
            <w:tcW w:w="840" w:type="dxa"/>
            <w:vMerge w:val="restart"/>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 w:val="18"/>
                <w:szCs w:val="18"/>
              </w:rPr>
            </w:pPr>
            <w:r w:rsidRPr="002A4B19">
              <w:rPr>
                <w:rFonts w:ascii="Times New Roman" w:hAnsi="Times New Roman" w:cs="Times New Roman"/>
                <w:sz w:val="18"/>
                <w:szCs w:val="18"/>
              </w:rPr>
              <w:t>Investm-ents</w:t>
            </w: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 w:val="18"/>
                <w:szCs w:val="18"/>
              </w:rPr>
            </w:pPr>
            <w:r w:rsidRPr="002A4B19">
              <w:rPr>
                <w:rFonts w:ascii="Times New Roman" w:hAnsi="Times New Roman" w:cs="Times New Roman"/>
                <w:sz w:val="18"/>
                <w:szCs w:val="18"/>
              </w:rPr>
              <w:t>Physical</w:t>
            </w:r>
            <w:r w:rsidRPr="002A4B19">
              <w:rPr>
                <w:rFonts w:ascii="Times New Roman" w:hAnsi="Times New Roman" w:cs="Times New Roman"/>
                <w:sz w:val="18"/>
                <w:szCs w:val="18"/>
              </w:rPr>
              <w:br/>
              <w:t>Capital</w:t>
            </w:r>
          </w:p>
        </w:tc>
        <w:tc>
          <w:tcPr>
            <w:tcW w:w="1128"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672"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778"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1096" w:type="dxa"/>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Cs w:val="20"/>
              </w:rPr>
            </w:pPr>
            <w:r w:rsidRPr="002A4B19">
              <w:rPr>
                <w:rFonts w:ascii="Times New Roman" w:hAnsi="Times New Roman" w:cs="Times New Roman"/>
                <w:szCs w:val="20"/>
              </w:rPr>
              <w:t>1*20</w:t>
            </w:r>
          </w:p>
        </w:tc>
        <w:tc>
          <w:tcPr>
            <w:tcW w:w="1128" w:type="dxa"/>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Cs w:val="20"/>
              </w:rPr>
            </w:pPr>
            <w:r w:rsidRPr="002A4B19">
              <w:rPr>
                <w:rFonts w:ascii="Times New Roman" w:hAnsi="Times New Roman" w:cs="Times New Roman"/>
                <w:szCs w:val="20"/>
              </w:rPr>
              <w:t>1*1</w:t>
            </w:r>
          </w:p>
        </w:tc>
        <w:tc>
          <w:tcPr>
            <w:tcW w:w="908"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8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562"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704"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613"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r>
      <w:tr w:rsidR="002A4B19" w:rsidRPr="002A4B19" w:rsidTr="00BB24C4">
        <w:trPr>
          <w:trHeight w:val="389"/>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widowControl/>
              <w:wordWrap/>
              <w:autoSpaceDE/>
              <w:autoSpaceDN/>
              <w:rPr>
                <w:rFonts w:ascii="Times New Roman" w:hAnsi="Times New Roman" w:cs="Times New Roman"/>
                <w:sz w:val="18"/>
                <w:szCs w:val="18"/>
              </w:rPr>
            </w:pPr>
          </w:p>
        </w:tc>
        <w:tc>
          <w:tcPr>
            <w:tcW w:w="84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B24C4" w:rsidRPr="002A4B19" w:rsidRDefault="00BB24C4" w:rsidP="00BB24C4">
            <w:pPr>
              <w:jc w:val="center"/>
              <w:rPr>
                <w:rFonts w:ascii="Times New Roman" w:hAnsi="Times New Roman" w:cs="Times New Roman"/>
                <w:sz w:val="18"/>
                <w:szCs w:val="18"/>
              </w:rPr>
            </w:pPr>
            <w:r w:rsidRPr="002A4B19">
              <w:rPr>
                <w:rFonts w:ascii="Times New Roman" w:hAnsi="Times New Roman" w:cs="Times New Roman"/>
                <w:sz w:val="18"/>
                <w:szCs w:val="18"/>
              </w:rPr>
              <w:t>Know. Capital</w:t>
            </w:r>
          </w:p>
        </w:tc>
        <w:tc>
          <w:tcPr>
            <w:tcW w:w="84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B24C4" w:rsidRPr="002A4B19" w:rsidRDefault="00BB24C4" w:rsidP="00BB24C4">
            <w:pPr>
              <w:jc w:val="center"/>
              <w:rPr>
                <w:rFonts w:ascii="Times New Roman" w:hAnsi="Times New Roman" w:cs="Times New Roman"/>
                <w:sz w:val="18"/>
                <w:szCs w:val="18"/>
              </w:rPr>
            </w:pPr>
            <w:r w:rsidRPr="002A4B19">
              <w:rPr>
                <w:rFonts w:ascii="Times New Roman" w:hAnsi="Times New Roman" w:cs="Times New Roman"/>
                <w:sz w:val="18"/>
                <w:szCs w:val="18"/>
              </w:rPr>
              <w:t>Private</w:t>
            </w:r>
          </w:p>
        </w:tc>
        <w:tc>
          <w:tcPr>
            <w:tcW w:w="11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7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10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B24C4" w:rsidRPr="002A4B19" w:rsidRDefault="00BB24C4" w:rsidP="00BB24C4">
            <w:pPr>
              <w:jc w:val="center"/>
              <w:rPr>
                <w:rFonts w:ascii="Times New Roman" w:hAnsi="Times New Roman" w:cs="Times New Roman"/>
                <w:szCs w:val="20"/>
              </w:rPr>
            </w:pPr>
            <w:r w:rsidRPr="002A4B19">
              <w:rPr>
                <w:rFonts w:ascii="Times New Roman" w:hAnsi="Times New Roman" w:cs="Times New Roman"/>
                <w:szCs w:val="20"/>
              </w:rPr>
              <w:t>1*20</w:t>
            </w:r>
          </w:p>
        </w:tc>
        <w:tc>
          <w:tcPr>
            <w:tcW w:w="11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B24C4" w:rsidRPr="002A4B19" w:rsidRDefault="00BB24C4" w:rsidP="00BB24C4">
            <w:pPr>
              <w:jc w:val="center"/>
              <w:rPr>
                <w:rFonts w:ascii="Times New Roman" w:hAnsi="Times New Roman" w:cs="Times New Roman"/>
                <w:szCs w:val="20"/>
              </w:rPr>
            </w:pPr>
            <w:r w:rsidRPr="002A4B19">
              <w:rPr>
                <w:rFonts w:ascii="Times New Roman" w:hAnsi="Times New Roman" w:cs="Times New Roman"/>
                <w:szCs w:val="20"/>
              </w:rPr>
              <w:t>1*1</w:t>
            </w:r>
          </w:p>
        </w:tc>
        <w:tc>
          <w:tcPr>
            <w:tcW w:w="9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8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r>
      <w:tr w:rsidR="002A4B19" w:rsidRPr="002A4B19" w:rsidTr="00BB24C4">
        <w:trPr>
          <w:trHeight w:val="363"/>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widowControl/>
              <w:wordWrap/>
              <w:autoSpaceDE/>
              <w:autoSpaceDN/>
              <w:rPr>
                <w:rFonts w:ascii="Times New Roman" w:hAnsi="Times New Roman" w:cs="Times New Roman"/>
                <w:sz w:val="18"/>
                <w:szCs w:val="18"/>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widowControl/>
              <w:wordWrap/>
              <w:autoSpaceDE/>
              <w:autoSpaceDN/>
              <w:rPr>
                <w:rFonts w:ascii="Times New Roman" w:hAnsi="Times New Roman" w:cs="Times New Roman"/>
                <w:sz w:val="18"/>
                <w:szCs w:val="18"/>
              </w:rPr>
            </w:pPr>
          </w:p>
        </w:tc>
        <w:tc>
          <w:tcPr>
            <w:tcW w:w="84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B24C4" w:rsidRPr="002A4B19" w:rsidRDefault="00BB24C4" w:rsidP="00BB24C4">
            <w:pPr>
              <w:jc w:val="center"/>
              <w:rPr>
                <w:rFonts w:ascii="Times New Roman" w:hAnsi="Times New Roman" w:cs="Times New Roman"/>
                <w:sz w:val="18"/>
                <w:szCs w:val="18"/>
              </w:rPr>
            </w:pPr>
            <w:r w:rsidRPr="002A4B19">
              <w:rPr>
                <w:rFonts w:ascii="Times New Roman" w:hAnsi="Times New Roman" w:cs="Times New Roman"/>
                <w:sz w:val="18"/>
                <w:szCs w:val="18"/>
              </w:rPr>
              <w:t>Public</w:t>
            </w:r>
          </w:p>
        </w:tc>
        <w:tc>
          <w:tcPr>
            <w:tcW w:w="11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7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10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B24C4" w:rsidRPr="002A4B19" w:rsidRDefault="00BB24C4" w:rsidP="00BB24C4">
            <w:pPr>
              <w:jc w:val="center"/>
              <w:rPr>
                <w:rFonts w:ascii="Times New Roman" w:hAnsi="Times New Roman" w:cs="Times New Roman"/>
                <w:szCs w:val="20"/>
              </w:rPr>
            </w:pPr>
            <w:r w:rsidRPr="002A4B19">
              <w:rPr>
                <w:rFonts w:ascii="Times New Roman" w:hAnsi="Times New Roman" w:cs="Times New Roman"/>
                <w:szCs w:val="20"/>
              </w:rPr>
              <w:t>1*20</w:t>
            </w:r>
          </w:p>
        </w:tc>
        <w:tc>
          <w:tcPr>
            <w:tcW w:w="11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B24C4" w:rsidRPr="002A4B19" w:rsidRDefault="00BB24C4" w:rsidP="00BB24C4">
            <w:pPr>
              <w:jc w:val="center"/>
              <w:rPr>
                <w:rFonts w:ascii="Times New Roman" w:hAnsi="Times New Roman" w:cs="Times New Roman"/>
                <w:szCs w:val="20"/>
              </w:rPr>
            </w:pPr>
            <w:r w:rsidRPr="002A4B19">
              <w:rPr>
                <w:rFonts w:ascii="Times New Roman" w:hAnsi="Times New Roman" w:cs="Times New Roman"/>
                <w:szCs w:val="20"/>
              </w:rPr>
              <w:t>1*1</w:t>
            </w:r>
          </w:p>
        </w:tc>
        <w:tc>
          <w:tcPr>
            <w:tcW w:w="9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8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r>
      <w:tr w:rsidR="002A4B19" w:rsidRPr="002A4B19" w:rsidTr="00BB24C4">
        <w:trPr>
          <w:trHeight w:val="338"/>
          <w:jc w:val="center"/>
        </w:trPr>
        <w:tc>
          <w:tcPr>
            <w:tcW w:w="2535" w:type="dxa"/>
            <w:gridSpan w:val="3"/>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 w:val="18"/>
                <w:szCs w:val="18"/>
              </w:rPr>
            </w:pPr>
            <w:r w:rsidRPr="002A4B19">
              <w:rPr>
                <w:rFonts w:ascii="Times New Roman" w:hAnsi="Times New Roman" w:cs="Times New Roman"/>
                <w:sz w:val="18"/>
                <w:szCs w:val="18"/>
              </w:rPr>
              <w:t>Tax</w:t>
            </w:r>
            <w:r w:rsidRPr="002A4B19">
              <w:rPr>
                <w:rFonts w:ascii="Times New Roman" w:hAnsi="Times New Roman" w:cs="Times New Roman"/>
                <w:sz w:val="18"/>
                <w:szCs w:val="18"/>
                <w:vertAlign w:val="superscript"/>
              </w:rPr>
              <w:t>b)</w:t>
            </w:r>
          </w:p>
        </w:tc>
        <w:tc>
          <w:tcPr>
            <w:tcW w:w="1128" w:type="dxa"/>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Cs w:val="20"/>
              </w:rPr>
            </w:pPr>
            <w:r w:rsidRPr="002A4B19">
              <w:rPr>
                <w:rFonts w:ascii="Times New Roman" w:hAnsi="Times New Roman" w:cs="Times New Roman"/>
                <w:szCs w:val="20"/>
              </w:rPr>
              <w:t>1*27</w:t>
            </w:r>
          </w:p>
        </w:tc>
        <w:tc>
          <w:tcPr>
            <w:tcW w:w="672"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778"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1128"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908"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8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562"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704"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613"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r>
      <w:tr w:rsidR="002A4B19" w:rsidRPr="002A4B19" w:rsidTr="00BB24C4">
        <w:trPr>
          <w:trHeight w:val="363"/>
          <w:jc w:val="center"/>
        </w:trPr>
        <w:tc>
          <w:tcPr>
            <w:tcW w:w="840" w:type="dxa"/>
            <w:vMerge w:val="restart"/>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 w:val="18"/>
                <w:szCs w:val="18"/>
              </w:rPr>
            </w:pPr>
            <w:r w:rsidRPr="002A4B19">
              <w:rPr>
                <w:rFonts w:ascii="Times New Roman" w:hAnsi="Times New Roman" w:cs="Times New Roman"/>
                <w:sz w:val="18"/>
                <w:szCs w:val="18"/>
              </w:rPr>
              <w:t>ROW</w:t>
            </w: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 w:val="18"/>
                <w:szCs w:val="18"/>
              </w:rPr>
            </w:pPr>
            <w:r w:rsidRPr="002A4B19">
              <w:rPr>
                <w:rFonts w:ascii="Times New Roman" w:hAnsi="Times New Roman" w:cs="Times New Roman"/>
                <w:sz w:val="18"/>
                <w:szCs w:val="18"/>
              </w:rPr>
              <w:t>Export</w:t>
            </w:r>
          </w:p>
        </w:tc>
        <w:tc>
          <w:tcPr>
            <w:tcW w:w="1128"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672"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778"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1128"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908"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8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562"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704"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Cs w:val="20"/>
              </w:rPr>
            </w:pPr>
            <w:r w:rsidRPr="002A4B19">
              <w:rPr>
                <w:rFonts w:ascii="Times New Roman" w:hAnsi="Times New Roman" w:cs="Times New Roman"/>
                <w:szCs w:val="20"/>
              </w:rPr>
              <w:t>1*1</w:t>
            </w:r>
          </w:p>
        </w:tc>
        <w:tc>
          <w:tcPr>
            <w:tcW w:w="613"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r>
      <w:tr w:rsidR="002A4B19" w:rsidRPr="002A4B19" w:rsidTr="00BB24C4">
        <w:trPr>
          <w:trHeight w:val="363"/>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widowControl/>
              <w:wordWrap/>
              <w:autoSpaceDE/>
              <w:autoSpaceDN/>
              <w:rPr>
                <w:rFonts w:ascii="Times New Roman" w:hAnsi="Times New Roman" w:cs="Times New Roman"/>
                <w:sz w:val="18"/>
                <w:szCs w:val="18"/>
              </w:rPr>
            </w:pP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 w:val="18"/>
                <w:szCs w:val="18"/>
              </w:rPr>
            </w:pPr>
            <w:r w:rsidRPr="002A4B19">
              <w:rPr>
                <w:rFonts w:ascii="Times New Roman" w:hAnsi="Times New Roman" w:cs="Times New Roman"/>
                <w:sz w:val="18"/>
                <w:szCs w:val="18"/>
              </w:rPr>
              <w:t>Import</w:t>
            </w:r>
          </w:p>
        </w:tc>
        <w:tc>
          <w:tcPr>
            <w:tcW w:w="1128" w:type="dxa"/>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Cs w:val="20"/>
              </w:rPr>
            </w:pPr>
            <w:r w:rsidRPr="002A4B19">
              <w:rPr>
                <w:rFonts w:ascii="Times New Roman" w:hAnsi="Times New Roman" w:cs="Times New Roman"/>
                <w:szCs w:val="20"/>
              </w:rPr>
              <w:t>1*27</w:t>
            </w:r>
          </w:p>
        </w:tc>
        <w:tc>
          <w:tcPr>
            <w:tcW w:w="672"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778"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1128"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szCs w:val="20"/>
              </w:rPr>
            </w:pPr>
            <w:r w:rsidRPr="002A4B19">
              <w:rPr>
                <w:rFonts w:ascii="Times New Roman" w:hAnsi="Times New Roman" w:cs="Times New Roman"/>
                <w:szCs w:val="20"/>
              </w:rPr>
              <w:t>1*1</w:t>
            </w:r>
          </w:p>
        </w:tc>
        <w:tc>
          <w:tcPr>
            <w:tcW w:w="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8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562"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704"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613"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r>
      <w:tr w:rsidR="002A4B19" w:rsidRPr="002A4B19" w:rsidTr="00BB24C4">
        <w:trPr>
          <w:trHeight w:val="338"/>
          <w:jc w:val="center"/>
        </w:trPr>
        <w:tc>
          <w:tcPr>
            <w:tcW w:w="2535" w:type="dxa"/>
            <w:gridSpan w:val="3"/>
            <w:tcBorders>
              <w:top w:val="single" w:sz="4" w:space="0" w:color="auto"/>
              <w:left w:val="single" w:sz="4" w:space="0" w:color="auto"/>
              <w:bottom w:val="single" w:sz="4" w:space="0" w:color="auto"/>
              <w:right w:val="single" w:sz="4" w:space="0" w:color="auto"/>
            </w:tcBorders>
            <w:vAlign w:val="center"/>
            <w:hideMark/>
          </w:tcPr>
          <w:p w:rsidR="00BB24C4" w:rsidRPr="002A4B19" w:rsidRDefault="00BB24C4" w:rsidP="00BB24C4">
            <w:pPr>
              <w:jc w:val="center"/>
              <w:rPr>
                <w:rFonts w:ascii="Times New Roman" w:hAnsi="Times New Roman" w:cs="Times New Roman"/>
                <w:b/>
                <w:sz w:val="18"/>
                <w:szCs w:val="18"/>
              </w:rPr>
            </w:pPr>
            <w:r w:rsidRPr="002A4B19">
              <w:rPr>
                <w:rFonts w:ascii="Times New Roman" w:hAnsi="Times New Roman" w:cs="Times New Roman"/>
                <w:b/>
                <w:sz w:val="18"/>
                <w:szCs w:val="18"/>
              </w:rPr>
              <w:t>Total</w:t>
            </w:r>
          </w:p>
        </w:tc>
        <w:tc>
          <w:tcPr>
            <w:tcW w:w="1128"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672"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778"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11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1128"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908"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8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4C4" w:rsidRPr="002A4B19" w:rsidRDefault="00BB24C4" w:rsidP="00BB24C4">
            <w:pPr>
              <w:jc w:val="center"/>
              <w:rPr>
                <w:rFonts w:ascii="Times New Roman" w:hAnsi="Times New Roman" w:cs="Times New Roman"/>
                <w:szCs w:val="20"/>
              </w:rPr>
            </w:pPr>
          </w:p>
        </w:tc>
        <w:tc>
          <w:tcPr>
            <w:tcW w:w="562"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704"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c>
          <w:tcPr>
            <w:tcW w:w="613" w:type="dxa"/>
            <w:tcBorders>
              <w:top w:val="single" w:sz="4" w:space="0" w:color="auto"/>
              <w:left w:val="single" w:sz="4" w:space="0" w:color="auto"/>
              <w:bottom w:val="single" w:sz="4" w:space="0" w:color="auto"/>
              <w:right w:val="single" w:sz="4" w:space="0" w:color="auto"/>
            </w:tcBorders>
            <w:vAlign w:val="center"/>
          </w:tcPr>
          <w:p w:rsidR="00BB24C4" w:rsidRPr="002A4B19" w:rsidRDefault="00BB24C4" w:rsidP="00BB24C4">
            <w:pPr>
              <w:jc w:val="center"/>
              <w:rPr>
                <w:rFonts w:ascii="Times New Roman" w:hAnsi="Times New Roman" w:cs="Times New Roman"/>
                <w:szCs w:val="20"/>
              </w:rPr>
            </w:pPr>
          </w:p>
        </w:tc>
      </w:tr>
    </w:tbl>
    <w:p w:rsidR="00BB24C4" w:rsidRPr="002A4B19" w:rsidRDefault="00BB24C4" w:rsidP="00BB24C4">
      <w:pPr>
        <w:pStyle w:val="a9"/>
        <w:numPr>
          <w:ilvl w:val="0"/>
          <w:numId w:val="1"/>
        </w:numPr>
        <w:spacing w:line="240" w:lineRule="auto"/>
        <w:ind w:leftChars="0" w:left="400"/>
        <w:rPr>
          <w:rFonts w:ascii="Times New Roman" w:hAnsi="Times New Roman" w:cs="Times New Roman"/>
        </w:rPr>
      </w:pPr>
      <w:r w:rsidRPr="002A4B19">
        <w:rPr>
          <w:rFonts w:ascii="Times New Roman" w:hAnsi="Times New Roman" w:cs="Times New Roman"/>
        </w:rPr>
        <w:t>Within the SAM, sectors are classified into 27 sectors</w:t>
      </w:r>
    </w:p>
    <w:p w:rsidR="00BB24C4" w:rsidRPr="002A4B19" w:rsidRDefault="00BB24C4" w:rsidP="00BB24C4">
      <w:pPr>
        <w:pStyle w:val="a9"/>
        <w:numPr>
          <w:ilvl w:val="0"/>
          <w:numId w:val="1"/>
        </w:numPr>
        <w:spacing w:line="240" w:lineRule="auto"/>
        <w:ind w:leftChars="0" w:left="400"/>
        <w:rPr>
          <w:rFonts w:ascii="Times New Roman" w:hAnsi="Times New Roman" w:cs="Times New Roman"/>
        </w:rPr>
      </w:pPr>
      <w:r w:rsidRPr="002A4B19">
        <w:rPr>
          <w:rFonts w:ascii="Times New Roman" w:hAnsi="Times New Roman" w:cs="Times New Roman"/>
        </w:rPr>
        <w:t>Tax account includes indirect, corporate, income, and tariffs in the SAM</w:t>
      </w:r>
    </w:p>
    <w:p w:rsidR="00BB24C4" w:rsidRPr="002A4B19" w:rsidRDefault="00BB24C4" w:rsidP="00BB24C4">
      <w:pPr>
        <w:pStyle w:val="a9"/>
        <w:numPr>
          <w:ilvl w:val="0"/>
          <w:numId w:val="1"/>
        </w:numPr>
        <w:spacing w:line="240" w:lineRule="auto"/>
        <w:ind w:leftChars="0" w:left="400"/>
        <w:rPr>
          <w:rFonts w:ascii="Times New Roman" w:hAnsi="Times New Roman" w:cs="Times New Roman"/>
        </w:rPr>
      </w:pPr>
      <w:r w:rsidRPr="002A4B19">
        <w:rPr>
          <w:rFonts w:ascii="Times New Roman" w:hAnsi="Times New Roman" w:cs="Times New Roman"/>
        </w:rPr>
        <w:t>Labor inputs for production of final goods and knowledge production are split into three types; high-skilled, skilled, and unskilled labor</w:t>
      </w:r>
    </w:p>
    <w:p w:rsidR="00BB24C4" w:rsidRPr="002A4B19" w:rsidRDefault="00BB24C4" w:rsidP="00BB24C4">
      <w:pPr>
        <w:pStyle w:val="a9"/>
        <w:numPr>
          <w:ilvl w:val="0"/>
          <w:numId w:val="1"/>
        </w:numPr>
        <w:spacing w:line="240" w:lineRule="auto"/>
        <w:ind w:leftChars="0" w:left="400"/>
        <w:rPr>
          <w:rFonts w:ascii="Times New Roman" w:hAnsi="Times New Roman" w:cs="Times New Roman"/>
        </w:rPr>
      </w:pPr>
      <w:r w:rsidRPr="002A4B19">
        <w:rPr>
          <w:rFonts w:ascii="Times New Roman" w:hAnsi="Times New Roman" w:cs="Times New Roman"/>
        </w:rPr>
        <w:t>Household is classified into 20 quantiles based on the income level</w:t>
      </w:r>
    </w:p>
    <w:p w:rsidR="00BB24C4" w:rsidRPr="002A4B19" w:rsidRDefault="00BB24C4" w:rsidP="00BB24C4">
      <w:pPr>
        <w:pStyle w:val="a9"/>
        <w:numPr>
          <w:ilvl w:val="0"/>
          <w:numId w:val="1"/>
        </w:numPr>
        <w:spacing w:line="240" w:lineRule="auto"/>
        <w:ind w:leftChars="0" w:left="400"/>
        <w:rPr>
          <w:rFonts w:cs="Times New Roman"/>
        </w:rPr>
      </w:pPr>
      <w:r w:rsidRPr="002A4B19">
        <w:rPr>
          <w:rFonts w:ascii="Times New Roman" w:hAnsi="Times New Roman" w:cs="Times New Roman"/>
        </w:rPr>
        <w:t>In this knowledge-based SAM, knowledge is explicitly presented as one of the factor inputs, and knowledge capital formation account has been added into an investment account</w:t>
      </w:r>
    </w:p>
    <w:p w:rsidR="00BB24C4" w:rsidRPr="002A4B19" w:rsidRDefault="00BB24C4" w:rsidP="00BB24C4">
      <w:pPr>
        <w:widowControl/>
        <w:wordWrap/>
        <w:autoSpaceDE/>
        <w:autoSpaceDN/>
        <w:spacing w:beforeAutospacing="1" w:after="0" w:afterAutospacing="1" w:line="240" w:lineRule="auto"/>
        <w:jc w:val="left"/>
        <w:rPr>
          <w:rFonts w:ascii="Times New Roman" w:hAnsi="Times New Roman" w:cs="Times New Roman"/>
          <w:snapToGrid w:val="0"/>
          <w:kern w:val="0"/>
          <w:sz w:val="24"/>
          <w:szCs w:val="20"/>
          <w:lang w:bidi="en-US"/>
        </w:rPr>
        <w:sectPr w:rsidR="00BB24C4" w:rsidRPr="002A4B19">
          <w:pgSz w:w="16838" w:h="11906" w:orient="landscape"/>
          <w:pgMar w:top="1440" w:right="1701" w:bottom="1440" w:left="1440" w:header="0" w:footer="113" w:gutter="0"/>
          <w:cols w:space="720"/>
        </w:sectPr>
      </w:pPr>
    </w:p>
    <w:p w:rsidR="00BB24C4" w:rsidRPr="002A4B19" w:rsidRDefault="00BB24C4" w:rsidP="00BB24C4">
      <w:pPr>
        <w:pStyle w:val="Mdeck4heading2"/>
        <w:spacing w:before="0"/>
        <w:rPr>
          <w:rFonts w:cs="Times New Roman"/>
          <w:b/>
          <w:color w:val="auto"/>
        </w:rPr>
      </w:pPr>
      <w:r w:rsidRPr="002A4B19">
        <w:rPr>
          <w:rFonts w:cs="Times New Roman"/>
          <w:b/>
          <w:color w:val="auto"/>
        </w:rPr>
        <w:lastRenderedPageBreak/>
        <w:t>3.2 The structure of the knowledge-based CGE model: Production of final goods</w:t>
      </w:r>
    </w:p>
    <w:p w:rsidR="00BB24C4" w:rsidRPr="002A4B19" w:rsidRDefault="00BB24C4" w:rsidP="00BB24C4">
      <w:pPr>
        <w:pStyle w:val="Mdeck4text"/>
        <w:rPr>
          <w:rFonts w:eastAsiaTheme="minorEastAsia" w:cs="Times New Roman"/>
          <w:color w:val="auto"/>
          <w:lang w:eastAsia="ko-KR"/>
        </w:rPr>
      </w:pPr>
      <w:r w:rsidRPr="002A4B19">
        <w:rPr>
          <w:rFonts w:eastAsiaTheme="minorEastAsia" w:cs="Times New Roman"/>
          <w:color w:val="auto"/>
          <w:lang w:eastAsia="ko-KR"/>
        </w:rPr>
        <w:t>As discussed in the previous section on the knowledge-based SAM, key differences between the knowledge-based CGE model and other CGE models can be summarized as follows: 1) knowledge is considered as one of production factors; 2) knowledge capital stock is accumulated through R&amp;D investments; and 3) investments in knowledge create positive externalities, knowledge spillover effects to other sectors. Those features are reflected into the model structure in the form of a series of equations.</w:t>
      </w:r>
    </w:p>
    <w:p w:rsidR="00BB24C4" w:rsidRPr="002A4B19" w:rsidRDefault="00BB24C4" w:rsidP="00BB24C4">
      <w:pPr>
        <w:pStyle w:val="Mdeck4text"/>
        <w:rPr>
          <w:rFonts w:eastAsiaTheme="minorEastAsia" w:cs="Times New Roman"/>
          <w:color w:val="auto"/>
          <w:lang w:eastAsia="ko-KR"/>
        </w:rPr>
      </w:pPr>
      <w:r w:rsidRPr="002A4B19">
        <w:rPr>
          <w:rFonts w:cs="Times New Roman"/>
          <w:color w:val="auto"/>
        </w:rPr>
        <w:t xml:space="preserve">Our model can be understood in terms of aspects of supply and demand within the economy. From the supply-side aspects, domestic goods are produced from value-added composite and intermediate inputs. Value-added composite inputs consist of labor, physical capital, and knowledge capital. On the other hand, from the demand-side aspect, domestic goods having a substitutional relationship with imported goods are either consumed domestically or exported. Aggregate domestic demand, which is sourced by combination of import goods and domestic goods, consists of investment, intermediate demand, and final consumption by households and government. </w:t>
      </w:r>
      <w:r w:rsidRPr="002A4B19">
        <w:rPr>
          <w:rFonts w:eastAsiaTheme="minorEastAsia" w:cs="Times New Roman"/>
          <w:color w:val="auto"/>
          <w:lang w:eastAsia="ko-KR"/>
        </w:rPr>
        <w:t>To be specific, the final goods (</w:t>
      </w:r>
      <m:oMath>
        <m:sSub>
          <m:sSubPr>
            <m:ctrlPr>
              <w:rPr>
                <w:rFonts w:ascii="Cambria Math" w:eastAsiaTheme="minorEastAsia" w:hAnsi="Cambria Math" w:cs="Times New Roman"/>
                <w:color w:val="auto"/>
              </w:rPr>
            </m:ctrlPr>
          </m:sSubPr>
          <m:e>
            <m:r>
              <w:rPr>
                <w:rFonts w:ascii="Cambria Math" w:eastAsiaTheme="minorEastAsia" w:hAnsi="Cambria Math" w:cs="Times New Roman"/>
                <w:color w:val="auto"/>
                <w:lang w:eastAsia="ko-KR"/>
              </w:rPr>
              <m:t>Z</m:t>
            </m:r>
          </m:e>
          <m:sub>
            <m:r>
              <w:rPr>
                <w:rFonts w:ascii="Cambria Math" w:eastAsiaTheme="minorEastAsia" w:hAnsi="Cambria Math" w:cs="Times New Roman"/>
                <w:color w:val="auto"/>
                <w:lang w:eastAsia="ko-KR"/>
              </w:rPr>
              <m:t>i</m:t>
            </m:r>
          </m:sub>
        </m:sSub>
      </m:oMath>
      <w:r w:rsidRPr="002A4B19">
        <w:rPr>
          <w:rFonts w:eastAsiaTheme="minorEastAsia" w:cs="Times New Roman"/>
          <w:color w:val="auto"/>
          <w:lang w:eastAsia="ko-KR"/>
        </w:rPr>
        <w:t>) of each industry are produced by factors of production, including intermediate inputs (</w:t>
      </w:r>
      <m:oMath>
        <m:sSub>
          <m:sSubPr>
            <m:ctrlPr>
              <w:rPr>
                <w:rFonts w:ascii="Cambria Math" w:eastAsiaTheme="minorEastAsia" w:hAnsi="Cambria Math" w:cs="Times New Roman"/>
                <w:color w:val="auto"/>
              </w:rPr>
            </m:ctrlPr>
          </m:sSubPr>
          <m:e>
            <m:r>
              <w:rPr>
                <w:rFonts w:ascii="Cambria Math" w:eastAsiaTheme="minorEastAsia" w:hAnsi="Cambria Math" w:cs="Times New Roman"/>
                <w:color w:val="auto"/>
                <w:lang w:eastAsia="ko-KR"/>
              </w:rPr>
              <m:t>X</m:t>
            </m:r>
          </m:e>
          <m:sub>
            <m:r>
              <w:rPr>
                <w:rFonts w:ascii="Cambria Math" w:eastAsiaTheme="minorEastAsia" w:hAnsi="Cambria Math" w:cs="Times New Roman"/>
                <w:color w:val="auto"/>
                <w:lang w:eastAsia="ko-KR"/>
              </w:rPr>
              <m:t>j,i</m:t>
            </m:r>
          </m:sub>
        </m:sSub>
      </m:oMath>
      <w:r w:rsidRPr="002A4B19">
        <w:rPr>
          <w:rFonts w:eastAsiaTheme="minorEastAsia" w:cs="Times New Roman"/>
          <w:color w:val="auto"/>
          <w:lang w:eastAsia="ko-KR"/>
        </w:rPr>
        <w:t>), and value-added composite (</w:t>
      </w:r>
      <m:oMath>
        <m:sSub>
          <m:sSubPr>
            <m:ctrlPr>
              <w:rPr>
                <w:rFonts w:ascii="Cambria Math" w:eastAsiaTheme="minorEastAsia" w:hAnsi="Cambria Math" w:cs="Times New Roman"/>
                <w:color w:val="auto"/>
              </w:rPr>
            </m:ctrlPr>
          </m:sSubPr>
          <m:e>
            <m:r>
              <w:rPr>
                <w:rFonts w:ascii="Cambria Math" w:eastAsiaTheme="minorEastAsia" w:hAnsi="Cambria Math" w:cs="Times New Roman"/>
                <w:color w:val="auto"/>
                <w:lang w:eastAsia="ko-KR"/>
              </w:rPr>
              <m:t>VA</m:t>
            </m:r>
          </m:e>
          <m:sub>
            <m:r>
              <w:rPr>
                <w:rFonts w:ascii="Cambria Math" w:eastAsiaTheme="minorEastAsia" w:hAnsi="Cambria Math" w:cs="Times New Roman"/>
                <w:color w:val="auto"/>
                <w:lang w:eastAsia="ko-KR"/>
              </w:rPr>
              <m:t>i</m:t>
            </m:r>
          </m:sub>
        </m:sSub>
      </m:oMath>
      <w:r w:rsidRPr="002A4B19">
        <w:rPr>
          <w:rFonts w:eastAsiaTheme="minorEastAsia" w:cs="Times New Roman"/>
          <w:color w:val="auto"/>
          <w:lang w:eastAsia="ko-KR"/>
        </w:rPr>
        <w:t xml:space="preserve">). The production of final outputs can be described as Equation (1), which follows the Leontief production function. In the equation, </w:t>
      </w:r>
      <m:oMath>
        <m:sSub>
          <m:sSubPr>
            <m:ctrlPr>
              <w:rPr>
                <w:rFonts w:ascii="Cambria Math" w:eastAsiaTheme="minorEastAsia" w:hAnsi="Cambria Math" w:cs="Times New Roman"/>
                <w:color w:val="auto"/>
              </w:rPr>
            </m:ctrlPr>
          </m:sSubPr>
          <m:e>
            <m:r>
              <w:rPr>
                <w:rFonts w:ascii="Cambria Math" w:eastAsiaTheme="minorEastAsia" w:hAnsi="Cambria Math" w:cs="Times New Roman"/>
                <w:color w:val="auto"/>
                <w:lang w:eastAsia="ko-KR"/>
              </w:rPr>
              <m:t>ax0</m:t>
            </m:r>
          </m:e>
          <m:sub>
            <m:r>
              <w:rPr>
                <w:rFonts w:ascii="Cambria Math" w:eastAsiaTheme="minorEastAsia" w:hAnsi="Cambria Math" w:cs="Times New Roman"/>
                <w:color w:val="auto"/>
                <w:lang w:eastAsia="ko-KR"/>
              </w:rPr>
              <m:t>j,i</m:t>
            </m:r>
          </m:sub>
        </m:sSub>
        <m:r>
          <w:rPr>
            <w:rFonts w:ascii="Cambria Math" w:eastAsiaTheme="minorEastAsia" w:hAnsi="Cambria Math" w:cs="Times New Roman"/>
            <w:color w:val="auto"/>
            <w:lang w:eastAsia="ko-KR"/>
          </w:rPr>
          <m:t xml:space="preserve"> </m:t>
        </m:r>
      </m:oMath>
      <w:r w:rsidRPr="002A4B19">
        <w:rPr>
          <w:rFonts w:eastAsiaTheme="minorEastAsia" w:cs="Times New Roman"/>
          <w:color w:val="auto"/>
          <w:vertAlign w:val="superscript"/>
          <w:lang w:eastAsia="ko-KR"/>
        </w:rPr>
        <w:footnoteReference w:id="4"/>
      </w:r>
      <w:r w:rsidRPr="002A4B19">
        <w:rPr>
          <w:rFonts w:eastAsiaTheme="minorEastAsia" w:cs="Times New Roman"/>
          <w:color w:val="auto"/>
          <w:lang w:eastAsia="ko-KR"/>
        </w:rPr>
        <w:t xml:space="preserve"> and </w:t>
      </w:r>
      <m:oMath>
        <m:sSub>
          <m:sSubPr>
            <m:ctrlPr>
              <w:rPr>
                <w:rFonts w:ascii="Cambria Math" w:eastAsiaTheme="minorEastAsia" w:hAnsi="Cambria Math" w:cs="Times New Roman"/>
                <w:color w:val="auto"/>
              </w:rPr>
            </m:ctrlPr>
          </m:sSubPr>
          <m:e>
            <m:r>
              <w:rPr>
                <w:rFonts w:ascii="Cambria Math" w:eastAsiaTheme="minorEastAsia" w:hAnsi="Cambria Math" w:cs="Times New Roman"/>
                <w:color w:val="auto"/>
                <w:lang w:eastAsia="ko-KR"/>
              </w:rPr>
              <m:t>ava0</m:t>
            </m:r>
          </m:e>
          <m:sub>
            <m:r>
              <w:rPr>
                <w:rFonts w:ascii="Cambria Math" w:eastAsiaTheme="minorEastAsia" w:hAnsi="Cambria Math" w:cs="Times New Roman"/>
                <w:color w:val="auto"/>
                <w:lang w:eastAsia="ko-KR"/>
              </w:rPr>
              <m:t>i</m:t>
            </m:r>
          </m:sub>
        </m:sSub>
      </m:oMath>
      <w:r w:rsidRPr="002A4B19">
        <w:rPr>
          <w:rFonts w:eastAsiaTheme="minorEastAsia" w:cs="Times New Roman"/>
          <w:color w:val="auto"/>
          <w:lang w:eastAsia="ko-KR"/>
        </w:rPr>
        <w:t xml:space="preserve">, respectively, represent intermediate inputs and the value-added composite required to produce a unit of output in industry </w:t>
      </w:r>
      <w:r w:rsidRPr="002A4B19">
        <w:rPr>
          <w:rFonts w:eastAsiaTheme="minorEastAsia" w:cs="Times New Roman"/>
          <w:i/>
          <w:color w:val="auto"/>
          <w:lang w:eastAsia="ko-KR"/>
        </w:rPr>
        <w:t xml:space="preserve">i. </w:t>
      </w:r>
      <w:r w:rsidRPr="002A4B19">
        <w:rPr>
          <w:rFonts w:eastAsiaTheme="minorEastAsia" w:cs="Times New Roman"/>
          <w:color w:val="auto"/>
          <w:lang w:eastAsia="ko-KR"/>
        </w:rPr>
        <w:t>For the analysis, we consider 27 production sectors, according to the industrial classification standard in the Korean I–O table.</w:t>
      </w:r>
    </w:p>
    <w:p w:rsidR="00BB24C4" w:rsidRPr="002A4B19" w:rsidRDefault="00BB24C4" w:rsidP="00BB24C4">
      <w:pPr>
        <w:pStyle w:val="Mdeck4text"/>
        <w:rPr>
          <w:rFonts w:eastAsiaTheme="minorEastAsia" w:cs="Times New Roman"/>
          <w:color w:val="auto"/>
          <w:lang w:eastAsia="ko-KR"/>
        </w:rPr>
      </w:pPr>
    </w:p>
    <w:p w:rsidR="00BB24C4" w:rsidRPr="002A4B19" w:rsidRDefault="00BB24C4" w:rsidP="00BB24C4">
      <w:pPr>
        <w:pStyle w:val="Mdeck4text"/>
        <w:ind w:firstLine="0"/>
        <w:jc w:val="center"/>
        <w:rPr>
          <w:rFonts w:eastAsiaTheme="minorEastAsia" w:cs="Times New Roman"/>
          <w:color w:val="auto"/>
          <w:sz w:val="22"/>
          <w:szCs w:val="22"/>
          <w:lang w:eastAsia="ko-KR"/>
        </w:rPr>
      </w:pPr>
      <m:oMath>
        <m:r>
          <w:rPr>
            <w:rFonts w:ascii="Cambria Math" w:eastAsiaTheme="minorEastAsia" w:hAnsi="Cambria Math" w:cs="Times New Roman"/>
            <w:color w:val="auto"/>
            <w:sz w:val="22"/>
            <w:szCs w:val="22"/>
            <w:lang w:eastAsia="ko-KR"/>
          </w:rPr>
          <m:t>Z</m:t>
        </m:r>
        <m:d>
          <m:dPr>
            <m:ctrlPr>
              <w:rPr>
                <w:rFonts w:ascii="Cambria Math" w:eastAsiaTheme="minorEastAsia" w:hAnsi="Cambria Math" w:cs="Times New Roman"/>
                <w:i/>
                <w:color w:val="auto"/>
                <w:sz w:val="22"/>
                <w:szCs w:val="22"/>
              </w:rPr>
            </m:ctrlPr>
          </m:dPr>
          <m:e>
            <m:r>
              <w:rPr>
                <w:rFonts w:ascii="Cambria Math" w:eastAsiaTheme="minorEastAsia" w:hAnsi="Cambria Math" w:cs="Times New Roman"/>
                <w:color w:val="auto"/>
                <w:sz w:val="22"/>
                <w:szCs w:val="22"/>
                <w:lang w:eastAsia="ko-KR"/>
              </w:rPr>
              <m:t>i</m:t>
            </m:r>
          </m:e>
        </m:d>
        <m:r>
          <m:rPr>
            <m:sty m:val="p"/>
          </m:rPr>
          <w:rPr>
            <w:rFonts w:ascii="Cambria Math" w:eastAsiaTheme="minorEastAsia" w:hAnsi="Cambria Math" w:cs="Times New Roman"/>
            <w:color w:val="auto"/>
            <w:sz w:val="22"/>
            <w:szCs w:val="22"/>
            <w:lang w:eastAsia="ko-KR"/>
          </w:rPr>
          <m:t>=</m:t>
        </m:r>
        <m:func>
          <m:funcPr>
            <m:ctrlPr>
              <w:rPr>
                <w:rFonts w:ascii="Cambria Math" w:eastAsiaTheme="minorEastAsia" w:hAnsi="Cambria Math" w:cs="Times New Roman"/>
                <w:color w:val="auto"/>
                <w:sz w:val="22"/>
                <w:szCs w:val="22"/>
              </w:rPr>
            </m:ctrlPr>
          </m:funcPr>
          <m:fName>
            <m:r>
              <m:rPr>
                <m:sty m:val="p"/>
              </m:rPr>
              <w:rPr>
                <w:rFonts w:ascii="Cambria Math" w:eastAsiaTheme="minorEastAsia" w:hAnsi="Cambria Math" w:cs="Times New Roman"/>
                <w:color w:val="auto"/>
                <w:sz w:val="22"/>
                <w:szCs w:val="22"/>
                <w:lang w:eastAsia="ko-KR"/>
              </w:rPr>
              <m:t>min</m:t>
            </m:r>
          </m:fName>
          <m:e>
            <m:r>
              <w:rPr>
                <w:rFonts w:ascii="Cambria Math" w:eastAsiaTheme="minorEastAsia" w:hAnsi="Cambria Math" w:cs="Times New Roman"/>
                <w:color w:val="auto"/>
                <w:sz w:val="22"/>
                <w:szCs w:val="22"/>
                <w:lang w:eastAsia="ko-KR"/>
              </w:rPr>
              <m:t xml:space="preserve">[X(1,i)/ax0(1,i), </m:t>
            </m:r>
          </m:e>
        </m:func>
        <m:r>
          <w:rPr>
            <w:rFonts w:ascii="Cambria Math" w:eastAsiaTheme="minorEastAsia" w:hAnsi="Cambria Math" w:cs="Times New Roman"/>
            <w:color w:val="auto"/>
            <w:sz w:val="22"/>
            <w:szCs w:val="22"/>
            <w:lang w:eastAsia="ko-KR"/>
          </w:rPr>
          <m:t>… X(n,i)/ax0(n,i),</m:t>
        </m:r>
      </m:oMath>
      <w:r w:rsidRPr="002A4B19">
        <w:rPr>
          <w:rFonts w:eastAsiaTheme="minorEastAsia" w:cs="Times New Roman"/>
          <w:color w:val="auto"/>
          <w:sz w:val="22"/>
          <w:szCs w:val="22"/>
          <w:lang w:eastAsia="ko-KR"/>
        </w:rPr>
        <w:t xml:space="preserve"> </w:t>
      </w:r>
      <m:oMath>
        <m:r>
          <w:rPr>
            <w:rFonts w:ascii="Cambria Math" w:eastAsiaTheme="minorEastAsia" w:hAnsi="Cambria Math" w:cs="Times New Roman"/>
            <w:color w:val="auto"/>
            <w:sz w:val="22"/>
            <w:szCs w:val="22"/>
            <w:lang w:eastAsia="ko-KR"/>
          </w:rPr>
          <m:t>VA(i)/ava0(i)</m:t>
        </m:r>
      </m:oMath>
      <w:r w:rsidRPr="002A4B19">
        <w:rPr>
          <w:rFonts w:eastAsiaTheme="minorEastAsia" w:cs="Times New Roman"/>
          <w:color w:val="auto"/>
          <w:sz w:val="22"/>
          <w:szCs w:val="22"/>
          <w:lang w:eastAsia="ko-KR"/>
        </w:rPr>
        <w:t>]        Eq. (1)</w:t>
      </w:r>
    </w:p>
    <w:p w:rsidR="00BB24C4" w:rsidRPr="002A4B19" w:rsidRDefault="00BB24C4" w:rsidP="00BB24C4">
      <w:pPr>
        <w:pStyle w:val="Mdeck4text"/>
        <w:ind w:firstLineChars="329" w:firstLine="724"/>
        <w:jc w:val="left"/>
        <w:rPr>
          <w:rFonts w:eastAsiaTheme="minorEastAsia" w:cs="Times New Roman"/>
          <w:i/>
          <w:color w:val="auto"/>
          <w:sz w:val="22"/>
          <w:szCs w:val="22"/>
          <w:lang w:eastAsia="ko-KR"/>
        </w:rPr>
      </w:pPr>
      <w:r w:rsidRPr="002A4B19">
        <w:rPr>
          <w:rFonts w:eastAsiaTheme="minorEastAsia" w:cs="Times New Roman"/>
          <w:i/>
          <w:color w:val="auto"/>
          <w:sz w:val="22"/>
          <w:szCs w:val="22"/>
          <w:lang w:eastAsia="ko-KR"/>
        </w:rPr>
        <w:t xml:space="preserve">where i = 1,2, … 27 </w:t>
      </w:r>
    </w:p>
    <w:p w:rsidR="00BB24C4" w:rsidRPr="002A4B19" w:rsidRDefault="00BB24C4" w:rsidP="00BB24C4">
      <w:pPr>
        <w:pStyle w:val="Mdeck4text"/>
        <w:jc w:val="center"/>
        <w:rPr>
          <w:rFonts w:eastAsiaTheme="minorEastAsia" w:cs="Times New Roman"/>
          <w:color w:val="auto"/>
          <w:lang w:eastAsia="ko-KR"/>
        </w:rPr>
      </w:pPr>
    </w:p>
    <w:p w:rsidR="00BB24C4" w:rsidRPr="002A4B19" w:rsidRDefault="00BB24C4" w:rsidP="00BB24C4">
      <w:pPr>
        <w:pStyle w:val="Mdeck4text"/>
        <w:rPr>
          <w:rFonts w:eastAsiaTheme="minorEastAsia" w:cs="Times New Roman"/>
          <w:color w:val="auto"/>
          <w:lang w:eastAsia="ko-KR"/>
        </w:rPr>
      </w:pPr>
      <w:r w:rsidRPr="002A4B19">
        <w:rPr>
          <w:rFonts w:eastAsiaTheme="minorEastAsia" w:cs="Times New Roman"/>
          <w:color w:val="auto"/>
          <w:lang w:eastAsia="ko-KR"/>
        </w:rPr>
        <w:t>On the other hand, a value-added composite (</w:t>
      </w:r>
      <m:oMath>
        <m:sSub>
          <m:sSubPr>
            <m:ctrlPr>
              <w:rPr>
                <w:rFonts w:ascii="Cambria Math" w:eastAsiaTheme="minorEastAsia" w:hAnsi="Cambria Math" w:cs="Times New Roman"/>
                <w:color w:val="auto"/>
              </w:rPr>
            </m:ctrlPr>
          </m:sSubPr>
          <m:e>
            <m:r>
              <w:rPr>
                <w:rFonts w:ascii="Cambria Math" w:eastAsiaTheme="minorEastAsia" w:hAnsi="Cambria Math" w:cs="Times New Roman"/>
                <w:color w:val="auto"/>
                <w:lang w:eastAsia="ko-KR"/>
              </w:rPr>
              <m:t>VA</m:t>
            </m:r>
          </m:e>
          <m:sub>
            <m:r>
              <w:rPr>
                <w:rFonts w:ascii="Cambria Math" w:eastAsiaTheme="minorEastAsia" w:hAnsi="Cambria Math" w:cs="Times New Roman"/>
                <w:color w:val="auto"/>
                <w:lang w:eastAsia="ko-KR"/>
              </w:rPr>
              <m:t>i</m:t>
            </m:r>
          </m:sub>
        </m:sSub>
      </m:oMath>
      <w:r w:rsidRPr="002A4B19">
        <w:rPr>
          <w:rFonts w:eastAsiaTheme="minorEastAsia" w:cs="Times New Roman"/>
          <w:color w:val="auto"/>
          <w:lang w:eastAsia="ko-KR"/>
        </w:rPr>
        <w:t>) consists of factor inputs, including labor (</w:t>
      </w:r>
      <m:oMath>
        <m:sSub>
          <m:sSubPr>
            <m:ctrlPr>
              <w:rPr>
                <w:rFonts w:ascii="Cambria Math" w:eastAsiaTheme="minorEastAsia" w:hAnsi="Cambria Math" w:cs="Times New Roman"/>
                <w:color w:val="auto"/>
              </w:rPr>
            </m:ctrlPr>
          </m:sSubPr>
          <m:e>
            <m:r>
              <w:rPr>
                <w:rFonts w:ascii="Cambria Math" w:eastAsiaTheme="minorEastAsia" w:hAnsi="Cambria Math" w:cs="Times New Roman"/>
                <w:color w:val="auto"/>
                <w:lang w:eastAsia="ko-KR"/>
              </w:rPr>
              <m:t>L3</m:t>
            </m:r>
          </m:e>
          <m:sub>
            <m:r>
              <w:rPr>
                <w:rFonts w:ascii="Cambria Math" w:eastAsiaTheme="minorEastAsia" w:hAnsi="Cambria Math" w:cs="Times New Roman"/>
                <w:color w:val="auto"/>
                <w:lang w:eastAsia="ko-KR"/>
              </w:rPr>
              <m:t>i</m:t>
            </m:r>
          </m:sub>
        </m:sSub>
      </m:oMath>
      <w:r w:rsidRPr="002A4B19">
        <w:rPr>
          <w:rFonts w:eastAsiaTheme="minorEastAsia" w:cs="Times New Roman"/>
          <w:color w:val="auto"/>
          <w:lang w:eastAsia="ko-KR"/>
        </w:rPr>
        <w:t xml:space="preserve">: high-skilled labor, </w:t>
      </w:r>
      <m:oMath>
        <m:sSub>
          <m:sSubPr>
            <m:ctrlPr>
              <w:rPr>
                <w:rFonts w:ascii="Cambria Math" w:eastAsiaTheme="minorEastAsia" w:hAnsi="Cambria Math" w:cs="Times New Roman"/>
                <w:color w:val="auto"/>
              </w:rPr>
            </m:ctrlPr>
          </m:sSubPr>
          <m:e>
            <m:r>
              <w:rPr>
                <w:rFonts w:ascii="Cambria Math" w:eastAsiaTheme="minorEastAsia" w:hAnsi="Cambria Math" w:cs="Times New Roman"/>
                <w:color w:val="auto"/>
                <w:lang w:eastAsia="ko-KR"/>
              </w:rPr>
              <m:t>L2</m:t>
            </m:r>
          </m:e>
          <m:sub>
            <m:r>
              <w:rPr>
                <w:rFonts w:ascii="Cambria Math" w:eastAsiaTheme="minorEastAsia" w:hAnsi="Cambria Math" w:cs="Times New Roman"/>
                <w:color w:val="auto"/>
                <w:lang w:eastAsia="ko-KR"/>
              </w:rPr>
              <m:t>i</m:t>
            </m:r>
          </m:sub>
        </m:sSub>
      </m:oMath>
      <w:r w:rsidRPr="002A4B19">
        <w:rPr>
          <w:rFonts w:eastAsiaTheme="minorEastAsia" w:cs="Times New Roman"/>
          <w:color w:val="auto"/>
          <w:lang w:eastAsia="ko-KR"/>
        </w:rPr>
        <w:t xml:space="preserve">: skilled labor, </w:t>
      </w:r>
      <m:oMath>
        <m:sSub>
          <m:sSubPr>
            <m:ctrlPr>
              <w:rPr>
                <w:rFonts w:ascii="Cambria Math" w:eastAsiaTheme="minorEastAsia" w:hAnsi="Cambria Math" w:cs="Times New Roman"/>
                <w:color w:val="auto"/>
              </w:rPr>
            </m:ctrlPr>
          </m:sSubPr>
          <m:e>
            <m:r>
              <w:rPr>
                <w:rFonts w:ascii="Cambria Math" w:eastAsiaTheme="minorEastAsia" w:hAnsi="Cambria Math" w:cs="Times New Roman"/>
                <w:color w:val="auto"/>
                <w:lang w:eastAsia="ko-KR"/>
              </w:rPr>
              <m:t>L1</m:t>
            </m:r>
          </m:e>
          <m:sub>
            <m:r>
              <w:rPr>
                <w:rFonts w:ascii="Cambria Math" w:eastAsiaTheme="minorEastAsia" w:hAnsi="Cambria Math" w:cs="Times New Roman"/>
                <w:color w:val="auto"/>
                <w:lang w:eastAsia="ko-KR"/>
              </w:rPr>
              <m:t>i</m:t>
            </m:r>
          </m:sub>
        </m:sSub>
      </m:oMath>
      <w:r w:rsidRPr="002A4B19">
        <w:rPr>
          <w:rFonts w:eastAsiaTheme="minorEastAsia" w:cs="Times New Roman"/>
          <w:color w:val="auto"/>
          <w:lang w:eastAsia="ko-KR"/>
        </w:rPr>
        <w:t>: unskilled labor), physical capital (</w:t>
      </w:r>
      <m:oMath>
        <m:sSub>
          <m:sSubPr>
            <m:ctrlPr>
              <w:rPr>
                <w:rFonts w:ascii="Cambria Math" w:eastAsiaTheme="minorEastAsia" w:hAnsi="Cambria Math" w:cs="Times New Roman"/>
                <w:color w:val="auto"/>
              </w:rPr>
            </m:ctrlPr>
          </m:sSubPr>
          <m:e>
            <m:r>
              <w:rPr>
                <w:rFonts w:ascii="Cambria Math" w:eastAsiaTheme="minorEastAsia" w:hAnsi="Cambria Math" w:cs="Times New Roman"/>
                <w:color w:val="auto"/>
                <w:lang w:eastAsia="ko-KR"/>
              </w:rPr>
              <m:t>K</m:t>
            </m:r>
          </m:e>
          <m:sub>
            <m:r>
              <w:rPr>
                <w:rFonts w:ascii="Cambria Math" w:eastAsiaTheme="minorEastAsia" w:hAnsi="Cambria Math" w:cs="Times New Roman"/>
                <w:color w:val="auto"/>
                <w:lang w:eastAsia="ko-KR"/>
              </w:rPr>
              <m:t>i</m:t>
            </m:r>
          </m:sub>
        </m:sSub>
      </m:oMath>
      <w:r w:rsidRPr="002A4B19">
        <w:rPr>
          <w:rFonts w:eastAsiaTheme="minorEastAsia" w:cs="Times New Roman"/>
          <w:color w:val="auto"/>
          <w:lang w:eastAsia="ko-KR"/>
        </w:rPr>
        <w:t>), and knowledge capital (</w:t>
      </w:r>
      <m:oMath>
        <m:sSub>
          <m:sSubPr>
            <m:ctrlPr>
              <w:rPr>
                <w:rFonts w:ascii="Cambria Math" w:eastAsiaTheme="minorEastAsia" w:hAnsi="Cambria Math" w:cs="Times New Roman"/>
                <w:color w:val="auto"/>
              </w:rPr>
            </m:ctrlPr>
          </m:sSubPr>
          <m:e>
            <m:r>
              <w:rPr>
                <w:rFonts w:ascii="Cambria Math" w:eastAsiaTheme="minorEastAsia" w:hAnsi="Cambria Math" w:cs="Times New Roman"/>
                <w:color w:val="auto"/>
                <w:lang w:eastAsia="ko-KR"/>
              </w:rPr>
              <m:t>H</m:t>
            </m:r>
          </m:e>
          <m:sub>
            <m:r>
              <w:rPr>
                <w:rFonts w:ascii="Cambria Math" w:eastAsiaTheme="minorEastAsia" w:hAnsi="Cambria Math" w:cs="Times New Roman"/>
                <w:color w:val="auto"/>
                <w:lang w:eastAsia="ko-KR"/>
              </w:rPr>
              <m:t>i</m:t>
            </m:r>
          </m:sub>
        </m:sSub>
      </m:oMath>
      <w:r w:rsidRPr="002A4B19">
        <w:rPr>
          <w:rFonts w:eastAsiaTheme="minorEastAsia" w:cs="Times New Roman"/>
          <w:color w:val="auto"/>
          <w:lang w:eastAsia="ko-KR"/>
        </w:rPr>
        <w:t>). In the formation of the value-added composite, constant elasticity of substitution (CES) production function is chosen to capture the substitution possibilities between factor inputs. It is assumed that high-skilled labor (</w:t>
      </w:r>
      <m:oMath>
        <m:sSub>
          <m:sSubPr>
            <m:ctrlPr>
              <w:rPr>
                <w:rFonts w:ascii="Cambria Math" w:eastAsiaTheme="minorEastAsia" w:hAnsi="Cambria Math" w:cs="Times New Roman"/>
                <w:color w:val="auto"/>
              </w:rPr>
            </m:ctrlPr>
          </m:sSubPr>
          <m:e>
            <m:r>
              <w:rPr>
                <w:rFonts w:ascii="Cambria Math" w:eastAsiaTheme="minorEastAsia" w:hAnsi="Cambria Math" w:cs="Times New Roman"/>
                <w:color w:val="auto"/>
                <w:lang w:eastAsia="ko-KR"/>
              </w:rPr>
              <m:t>L3</m:t>
            </m:r>
          </m:e>
          <m:sub>
            <m:r>
              <w:rPr>
                <w:rFonts w:ascii="Cambria Math" w:eastAsiaTheme="minorEastAsia" w:hAnsi="Cambria Math" w:cs="Times New Roman"/>
                <w:color w:val="auto"/>
                <w:lang w:eastAsia="ko-KR"/>
              </w:rPr>
              <m:t>i</m:t>
            </m:r>
          </m:sub>
        </m:sSub>
        <m:r>
          <w:rPr>
            <w:rFonts w:ascii="Cambria Math" w:eastAsiaTheme="minorEastAsia" w:hAnsi="Cambria Math" w:cs="Times New Roman"/>
            <w:color w:val="auto"/>
            <w:lang w:eastAsia="ko-KR"/>
          </w:rPr>
          <m:t>)</m:t>
        </m:r>
      </m:oMath>
      <w:r w:rsidRPr="002A4B19">
        <w:rPr>
          <w:rFonts w:eastAsiaTheme="minorEastAsia" w:cs="Times New Roman"/>
          <w:color w:val="auto"/>
          <w:lang w:eastAsia="ko-KR"/>
        </w:rPr>
        <w:t>, physical capital (</w:t>
      </w:r>
      <m:oMath>
        <m:sSub>
          <m:sSubPr>
            <m:ctrlPr>
              <w:rPr>
                <w:rFonts w:ascii="Cambria Math" w:eastAsiaTheme="minorEastAsia" w:hAnsi="Cambria Math" w:cs="Times New Roman"/>
                <w:color w:val="auto"/>
              </w:rPr>
            </m:ctrlPr>
          </m:sSubPr>
          <m:e>
            <m:r>
              <w:rPr>
                <w:rFonts w:ascii="Cambria Math" w:eastAsiaTheme="minorEastAsia" w:hAnsi="Cambria Math" w:cs="Times New Roman"/>
                <w:color w:val="auto"/>
                <w:lang w:eastAsia="ko-KR"/>
              </w:rPr>
              <m:t>K</m:t>
            </m:r>
          </m:e>
          <m:sub>
            <m:r>
              <w:rPr>
                <w:rFonts w:ascii="Cambria Math" w:eastAsiaTheme="minorEastAsia" w:hAnsi="Cambria Math" w:cs="Times New Roman"/>
                <w:color w:val="auto"/>
                <w:lang w:eastAsia="ko-KR"/>
              </w:rPr>
              <m:t>i</m:t>
            </m:r>
          </m:sub>
        </m:sSub>
        <m:r>
          <w:rPr>
            <w:rFonts w:ascii="Cambria Math" w:eastAsiaTheme="minorEastAsia" w:hAnsi="Cambria Math" w:cs="Times New Roman"/>
            <w:color w:val="auto"/>
            <w:lang w:eastAsia="ko-KR"/>
          </w:rPr>
          <m:t>)</m:t>
        </m:r>
      </m:oMath>
      <w:r w:rsidRPr="002A4B19">
        <w:rPr>
          <w:rFonts w:eastAsiaTheme="minorEastAsia" w:cs="Times New Roman"/>
          <w:color w:val="auto"/>
          <w:lang w:eastAsia="ko-KR"/>
        </w:rPr>
        <w:t>, and knowledge (</w:t>
      </w:r>
      <m:oMath>
        <m:sSub>
          <m:sSubPr>
            <m:ctrlPr>
              <w:rPr>
                <w:rFonts w:ascii="Cambria Math" w:eastAsiaTheme="minorEastAsia" w:hAnsi="Cambria Math" w:cs="Times New Roman"/>
                <w:color w:val="auto"/>
              </w:rPr>
            </m:ctrlPr>
          </m:sSubPr>
          <m:e>
            <m:r>
              <w:rPr>
                <w:rFonts w:ascii="Cambria Math" w:eastAsiaTheme="minorEastAsia" w:hAnsi="Cambria Math" w:cs="Times New Roman"/>
                <w:color w:val="auto"/>
                <w:lang w:eastAsia="ko-KR"/>
              </w:rPr>
              <m:t>H</m:t>
            </m:r>
          </m:e>
          <m:sub>
            <m:r>
              <w:rPr>
                <w:rFonts w:ascii="Cambria Math" w:eastAsiaTheme="minorEastAsia" w:hAnsi="Cambria Math" w:cs="Times New Roman"/>
                <w:color w:val="auto"/>
                <w:lang w:eastAsia="ko-KR"/>
              </w:rPr>
              <m:t>i</m:t>
            </m:r>
          </m:sub>
        </m:sSub>
        <m:r>
          <w:rPr>
            <w:rFonts w:ascii="Cambria Math" w:eastAsiaTheme="minorEastAsia" w:hAnsi="Cambria Math" w:cs="Times New Roman"/>
            <w:color w:val="auto"/>
            <w:lang w:eastAsia="ko-KR"/>
          </w:rPr>
          <m:t>)</m:t>
        </m:r>
      </m:oMath>
      <w:r w:rsidRPr="002A4B19">
        <w:rPr>
          <w:rFonts w:eastAsiaTheme="minorEastAsia" w:cs="Times New Roman"/>
          <w:color w:val="auto"/>
          <w:lang w:eastAsia="ko-KR"/>
        </w:rPr>
        <w:t xml:space="preserve"> are complements, while a composite of knowledge, high-skilled labor, and capital (</w:t>
      </w:r>
      <m:oMath>
        <m:sSub>
          <m:sSubPr>
            <m:ctrlPr>
              <w:rPr>
                <w:rFonts w:ascii="Cambria Math" w:eastAsiaTheme="minorEastAsia" w:hAnsi="Cambria Math" w:cs="Times New Roman"/>
                <w:color w:val="auto"/>
              </w:rPr>
            </m:ctrlPr>
          </m:sSubPr>
          <m:e>
            <m:r>
              <w:rPr>
                <w:rFonts w:ascii="Cambria Math" w:eastAsiaTheme="minorEastAsia" w:hAnsi="Cambria Math" w:cs="Times New Roman"/>
                <w:color w:val="auto"/>
                <w:lang w:eastAsia="ko-KR"/>
              </w:rPr>
              <m:t>HLK</m:t>
            </m:r>
          </m:e>
          <m:sub>
            <m:r>
              <w:rPr>
                <w:rFonts w:ascii="Cambria Math" w:eastAsiaTheme="minorEastAsia" w:hAnsi="Cambria Math" w:cs="Times New Roman"/>
                <w:color w:val="auto"/>
                <w:lang w:eastAsia="ko-KR"/>
              </w:rPr>
              <m:t>i</m:t>
            </m:r>
          </m:sub>
        </m:sSub>
        <m:r>
          <w:rPr>
            <w:rFonts w:ascii="Cambria Math" w:eastAsiaTheme="minorEastAsia" w:hAnsi="Cambria Math" w:cs="Times New Roman"/>
            <w:color w:val="auto"/>
            <w:lang w:eastAsia="ko-KR"/>
          </w:rPr>
          <m:t>)</m:t>
        </m:r>
      </m:oMath>
      <w:r w:rsidRPr="002A4B19">
        <w:rPr>
          <w:rFonts w:eastAsiaTheme="minorEastAsia" w:cs="Times New Roman"/>
          <w:color w:val="auto"/>
          <w:lang w:eastAsia="ko-KR"/>
        </w:rPr>
        <w:t xml:space="preserve"> has substitutive relationships with skilled and unskilled labor. In Korea, workers with a master’s or a doctor’s degree are key figures in R&amp;D activities and are mainly engaged in highly-skilled work, such as R&amp;D activities in public institutions or technology developments in industrial sectors. The number of master’s and doctor’s degree holders who work as R&amp;D technicians accounted for more than 55% of the total R&amp;D workforce in 2010 </w:t>
      </w:r>
      <w:r w:rsidRPr="002A4B19">
        <w:rPr>
          <w:rFonts w:eastAsiaTheme="minorEastAsia" w:cs="Times New Roman"/>
          <w:color w:val="auto"/>
          <w:lang w:eastAsia="ko-KR"/>
        </w:rPr>
        <w:lastRenderedPageBreak/>
        <w:t>(KISTEP, 2011). Taking this fact into account, we have treated only higher degrees as skilled enough to be complementary to capital within a value-added composite production structure. The structure of the value-added composite production function in our model can be described as Figure 2, which can be also expressed by Equation (2) and (3). Values for substitution elasticities between production factors in each stage of the CES function will be discussed in detail in Section 4.</w:t>
      </w:r>
    </w:p>
    <w:p w:rsidR="00BB24C4" w:rsidRPr="002A4B19" w:rsidRDefault="00BB24C4" w:rsidP="00BB24C4">
      <w:pPr>
        <w:pStyle w:val="ac"/>
        <w:rPr>
          <w:bCs/>
          <w:iCs/>
        </w:rPr>
      </w:pPr>
    </w:p>
    <w:p w:rsidR="00BB24C4" w:rsidRPr="002A4B19" w:rsidRDefault="00BB24C4" w:rsidP="00BB24C4">
      <w:pPr>
        <w:pStyle w:val="ac"/>
        <w:keepNext/>
        <w:ind w:firstLine="0"/>
        <w:jc w:val="center"/>
      </w:pPr>
      <w:r w:rsidRPr="002A4B19">
        <w:rPr>
          <w:noProof/>
        </w:rPr>
        <w:drawing>
          <wp:inline distT="0" distB="0" distL="0" distR="0" wp14:anchorId="570C1109" wp14:editId="04F679F6">
            <wp:extent cx="3391786" cy="2774950"/>
            <wp:effectExtent l="0" t="0" r="0" b="635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9465" cy="2822140"/>
                    </a:xfrm>
                    <a:prstGeom prst="rect">
                      <a:avLst/>
                    </a:prstGeom>
                    <a:noFill/>
                  </pic:spPr>
                </pic:pic>
              </a:graphicData>
            </a:graphic>
          </wp:inline>
        </w:drawing>
      </w:r>
    </w:p>
    <w:p w:rsidR="00BB24C4" w:rsidRPr="002A4B19" w:rsidRDefault="00BB24C4" w:rsidP="00BB24C4">
      <w:pPr>
        <w:pStyle w:val="a6"/>
        <w:jc w:val="center"/>
        <w:rPr>
          <w:rFonts w:ascii="Times New Roman" w:hAnsi="Times New Roman" w:cs="Times New Roman"/>
          <w:b w:val="0"/>
          <w:bCs w:val="0"/>
          <w:iCs/>
          <w:sz w:val="24"/>
          <w:szCs w:val="24"/>
        </w:rPr>
      </w:pPr>
      <w:r w:rsidRPr="002A4B19">
        <w:rPr>
          <w:rFonts w:ascii="Times New Roman" w:hAnsi="Times New Roman" w:cs="Times New Roman"/>
          <w:b w:val="0"/>
          <w:sz w:val="24"/>
          <w:szCs w:val="24"/>
        </w:rPr>
        <w:t xml:space="preserve">Figure </w:t>
      </w:r>
      <w:r w:rsidRPr="002A4B19">
        <w:rPr>
          <w:rFonts w:ascii="Times New Roman" w:hAnsi="Times New Roman" w:cs="Times New Roman"/>
          <w:b w:val="0"/>
          <w:sz w:val="24"/>
          <w:szCs w:val="24"/>
        </w:rPr>
        <w:fldChar w:fldCharType="begin"/>
      </w:r>
      <w:r w:rsidRPr="002A4B19">
        <w:rPr>
          <w:rFonts w:ascii="Times New Roman" w:hAnsi="Times New Roman" w:cs="Times New Roman"/>
          <w:b w:val="0"/>
          <w:sz w:val="24"/>
          <w:szCs w:val="24"/>
        </w:rPr>
        <w:instrText xml:space="preserve"> SEQ Figure \* ARABIC </w:instrText>
      </w:r>
      <w:r w:rsidRPr="002A4B19">
        <w:rPr>
          <w:rFonts w:ascii="Times New Roman" w:hAnsi="Times New Roman" w:cs="Times New Roman"/>
          <w:b w:val="0"/>
          <w:sz w:val="24"/>
          <w:szCs w:val="24"/>
        </w:rPr>
        <w:fldChar w:fldCharType="separate"/>
      </w:r>
      <w:r w:rsidRPr="002A4B19">
        <w:rPr>
          <w:rFonts w:ascii="Times New Roman" w:hAnsi="Times New Roman" w:cs="Times New Roman"/>
          <w:b w:val="0"/>
          <w:sz w:val="24"/>
          <w:szCs w:val="24"/>
        </w:rPr>
        <w:t>2</w:t>
      </w:r>
      <w:r w:rsidRPr="002A4B19">
        <w:rPr>
          <w:rFonts w:ascii="Times New Roman" w:hAnsi="Times New Roman" w:cs="Times New Roman"/>
          <w:b w:val="0"/>
          <w:sz w:val="24"/>
          <w:szCs w:val="24"/>
        </w:rPr>
        <w:fldChar w:fldCharType="end"/>
      </w:r>
      <w:r w:rsidRPr="002A4B19">
        <w:rPr>
          <w:rFonts w:ascii="Times New Roman" w:hAnsi="Times New Roman" w:cs="Times New Roman"/>
          <w:b w:val="0"/>
          <w:sz w:val="24"/>
          <w:szCs w:val="24"/>
        </w:rPr>
        <w:t>. Structure of value-added composite production function</w:t>
      </w:r>
    </w:p>
    <w:p w:rsidR="00BB24C4" w:rsidRPr="002A4B19" w:rsidRDefault="00BB24C4" w:rsidP="00BB24C4">
      <w:pPr>
        <w:pStyle w:val="ac"/>
        <w:rPr>
          <w:bCs/>
          <w:iCs/>
        </w:rPr>
      </w:pPr>
    </w:p>
    <w:p w:rsidR="00BB24C4" w:rsidRPr="002A4B19" w:rsidRDefault="00137228" w:rsidP="00BB24C4">
      <w:pPr>
        <w:pStyle w:val="ac"/>
        <w:ind w:firstLineChars="150" w:firstLine="330"/>
        <w:jc w:val="left"/>
        <w:rPr>
          <w:bCs/>
          <w:iCs/>
          <w:sz w:val="20"/>
        </w:rPr>
      </w:pPr>
      <m:oMath>
        <m:sSub>
          <m:sSubPr>
            <m:ctrlPr>
              <w:rPr>
                <w:rFonts w:ascii="Cambria Math" w:eastAsiaTheme="minorEastAsia" w:hAnsi="Cambria Math"/>
                <w:bCs/>
                <w:i/>
                <w:iCs/>
                <w:snapToGrid w:val="0"/>
                <w:szCs w:val="21"/>
                <w:lang w:bidi="en-US"/>
              </w:rPr>
            </m:ctrlPr>
          </m:sSubPr>
          <m:e>
            <m:r>
              <w:rPr>
                <w:rFonts w:ascii="Cambria Math" w:eastAsiaTheme="minorEastAsia" w:hAnsi="Cambria Math"/>
                <w:szCs w:val="21"/>
              </w:rPr>
              <m:t>HLK</m:t>
            </m:r>
          </m:e>
          <m:sub>
            <m:r>
              <w:rPr>
                <w:rFonts w:ascii="Cambria Math" w:eastAsiaTheme="minorEastAsia" w:hAnsi="Cambria Math"/>
                <w:szCs w:val="21"/>
              </w:rPr>
              <m:t>i</m:t>
            </m:r>
          </m:sub>
        </m:sSub>
        <m:r>
          <w:rPr>
            <w:rFonts w:ascii="Cambria Math" w:eastAsiaTheme="minorEastAsia" w:hAnsi="Cambria Math"/>
            <w:szCs w:val="21"/>
          </w:rPr>
          <m:t>=</m:t>
        </m:r>
        <m:sSup>
          <m:sSupPr>
            <m:ctrlPr>
              <w:rPr>
                <w:rFonts w:ascii="Cambria Math" w:eastAsiaTheme="minorEastAsia" w:hAnsi="Cambria Math"/>
                <w:bCs/>
                <w:i/>
                <w:iCs/>
                <w:snapToGrid w:val="0"/>
                <w:szCs w:val="21"/>
                <w:lang w:bidi="en-US"/>
              </w:rPr>
            </m:ctrlPr>
          </m:sSupPr>
          <m:e>
            <m:r>
              <w:rPr>
                <w:rFonts w:ascii="Cambria Math" w:eastAsiaTheme="minorEastAsia" w:hAnsi="Cambria Math"/>
                <w:szCs w:val="21"/>
              </w:rPr>
              <m:t>θ</m:t>
            </m:r>
            <m:sSub>
              <m:sSubPr>
                <m:ctrlPr>
                  <w:rPr>
                    <w:rFonts w:ascii="Cambria Math" w:eastAsiaTheme="minorEastAsia" w:hAnsi="Cambria Math"/>
                    <w:bCs/>
                    <w:i/>
                    <w:iCs/>
                    <w:snapToGrid w:val="0"/>
                    <w:szCs w:val="21"/>
                    <w:lang w:bidi="en-US"/>
                  </w:rPr>
                </m:ctrlPr>
              </m:sSubPr>
              <m:e>
                <m:r>
                  <w:rPr>
                    <w:rFonts w:ascii="Cambria Math" w:eastAsiaTheme="minorEastAsia" w:hAnsi="Cambria Math"/>
                    <w:szCs w:val="21"/>
                  </w:rPr>
                  <m:t>10</m:t>
                </m:r>
              </m:e>
              <m:sub>
                <m:r>
                  <w:rPr>
                    <w:rFonts w:ascii="Cambria Math" w:eastAsiaTheme="minorEastAsia" w:hAnsi="Cambria Math"/>
                    <w:szCs w:val="21"/>
                  </w:rPr>
                  <m:t>i</m:t>
                </m:r>
              </m:sub>
            </m:sSub>
            <m:r>
              <w:rPr>
                <w:rFonts w:ascii="Cambria Math" w:eastAsiaTheme="minorEastAsia" w:hAnsi="Cambria Math"/>
                <w:szCs w:val="21"/>
              </w:rPr>
              <m:t>∙(</m:t>
            </m:r>
            <m:sSub>
              <m:sSubPr>
                <m:ctrlPr>
                  <w:rPr>
                    <w:rFonts w:ascii="Cambria Math" w:hAnsi="Cambria Math"/>
                    <w:bCs/>
                    <w:i/>
                    <w:iCs/>
                    <w:snapToGrid w:val="0"/>
                    <w:szCs w:val="21"/>
                    <w:lang w:bidi="en-US"/>
                  </w:rPr>
                </m:ctrlPr>
              </m:sSubPr>
              <m:e>
                <m:r>
                  <w:rPr>
                    <w:rFonts w:ascii="Cambria Math" w:eastAsiaTheme="minorEastAsia" w:hAnsi="Cambria Math"/>
                    <w:szCs w:val="21"/>
                  </w:rPr>
                  <m:t>β10</m:t>
                </m:r>
              </m:e>
              <m:sub>
                <m:r>
                  <w:rPr>
                    <w:rFonts w:ascii="Cambria Math" w:eastAsia="맑은 고딕" w:hAnsi="Cambria Math"/>
                    <w:szCs w:val="21"/>
                  </w:rPr>
                  <m:t>i</m:t>
                </m:r>
              </m:sub>
            </m:sSub>
            <m:r>
              <w:rPr>
                <w:rFonts w:ascii="Cambria Math" w:eastAsiaTheme="minorEastAsia" w:hAnsi="Cambria Math"/>
                <w:szCs w:val="21"/>
              </w:rPr>
              <m:t>∙</m:t>
            </m:r>
            <m:sSubSup>
              <m:sSubSupPr>
                <m:ctrlPr>
                  <w:rPr>
                    <w:rFonts w:ascii="Cambria Math" w:eastAsiaTheme="minorEastAsia" w:hAnsi="Cambria Math"/>
                    <w:bCs/>
                    <w:i/>
                    <w:iCs/>
                    <w:snapToGrid w:val="0"/>
                    <w:szCs w:val="21"/>
                    <w:lang w:bidi="en-US"/>
                  </w:rPr>
                </m:ctrlPr>
              </m:sSubSupPr>
              <m:e>
                <m:r>
                  <w:rPr>
                    <w:rFonts w:ascii="Cambria Math" w:eastAsiaTheme="minorEastAsia" w:hAnsi="Cambria Math"/>
                    <w:szCs w:val="21"/>
                  </w:rPr>
                  <m:t>L3</m:t>
                </m:r>
              </m:e>
              <m:sub>
                <m:r>
                  <w:rPr>
                    <w:rFonts w:ascii="Cambria Math" w:eastAsiaTheme="minorEastAsia" w:hAnsi="Cambria Math"/>
                    <w:szCs w:val="21"/>
                  </w:rPr>
                  <m:t>i</m:t>
                </m:r>
              </m:sub>
              <m:sup>
                <m:r>
                  <w:rPr>
                    <w:rFonts w:ascii="Cambria Math" w:eastAsiaTheme="minorEastAsia" w:hAnsi="Cambria Math"/>
                    <w:szCs w:val="21"/>
                  </w:rPr>
                  <m:t>-ρ1</m:t>
                </m:r>
              </m:sup>
            </m:sSubSup>
            <m:r>
              <w:rPr>
                <w:rFonts w:ascii="Cambria Math" w:eastAsiaTheme="minorEastAsia" w:hAnsi="Cambria Math"/>
                <w:szCs w:val="21"/>
              </w:rPr>
              <m:t>+</m:t>
            </m:r>
            <m:sSub>
              <m:sSubPr>
                <m:ctrlPr>
                  <w:rPr>
                    <w:rFonts w:ascii="Cambria Math" w:hAnsi="Cambria Math"/>
                    <w:bCs/>
                    <w:i/>
                    <w:iCs/>
                    <w:snapToGrid w:val="0"/>
                    <w:szCs w:val="21"/>
                    <w:lang w:bidi="en-US"/>
                  </w:rPr>
                </m:ctrlPr>
              </m:sSubPr>
              <m:e>
                <m:r>
                  <w:rPr>
                    <w:rFonts w:ascii="Cambria Math" w:eastAsiaTheme="minorEastAsia" w:hAnsi="Cambria Math"/>
                    <w:szCs w:val="21"/>
                  </w:rPr>
                  <m:t>β20</m:t>
                </m:r>
              </m:e>
              <m:sub>
                <m:r>
                  <w:rPr>
                    <w:rFonts w:ascii="Cambria Math" w:eastAsia="맑은 고딕" w:hAnsi="Cambria Math"/>
                    <w:szCs w:val="21"/>
                  </w:rPr>
                  <m:t>i</m:t>
                </m:r>
              </m:sub>
            </m:sSub>
            <m:r>
              <w:rPr>
                <w:rFonts w:ascii="Cambria Math" w:eastAsiaTheme="minorEastAsia" w:hAnsi="Cambria Math"/>
                <w:szCs w:val="21"/>
              </w:rPr>
              <m:t>∙</m:t>
            </m:r>
            <m:sSubSup>
              <m:sSubSupPr>
                <m:ctrlPr>
                  <w:rPr>
                    <w:rFonts w:ascii="Cambria Math" w:eastAsiaTheme="minorEastAsia" w:hAnsi="Cambria Math"/>
                    <w:bCs/>
                    <w:i/>
                    <w:iCs/>
                    <w:snapToGrid w:val="0"/>
                    <w:szCs w:val="21"/>
                    <w:lang w:bidi="en-US"/>
                  </w:rPr>
                </m:ctrlPr>
              </m:sSubSupPr>
              <m:e>
                <m:r>
                  <w:rPr>
                    <w:rFonts w:ascii="Cambria Math" w:eastAsiaTheme="minorEastAsia" w:hAnsi="Cambria Math"/>
                    <w:szCs w:val="21"/>
                  </w:rPr>
                  <m:t>K</m:t>
                </m:r>
              </m:e>
              <m:sub>
                <m:r>
                  <w:rPr>
                    <w:rFonts w:ascii="Cambria Math" w:eastAsiaTheme="minorEastAsia" w:hAnsi="Cambria Math"/>
                    <w:szCs w:val="21"/>
                  </w:rPr>
                  <m:t>i</m:t>
                </m:r>
              </m:sub>
              <m:sup>
                <m:r>
                  <w:rPr>
                    <w:rFonts w:ascii="Cambria Math" w:eastAsiaTheme="minorEastAsia" w:hAnsi="Cambria Math"/>
                    <w:szCs w:val="21"/>
                  </w:rPr>
                  <m:t>-ρ1</m:t>
                </m:r>
              </m:sup>
            </m:sSubSup>
            <m:r>
              <w:rPr>
                <w:rFonts w:ascii="Cambria Math" w:eastAsia="맑은 고딕" w:hAnsi="Cambria Math"/>
                <w:szCs w:val="21"/>
              </w:rPr>
              <m:t>+(1-</m:t>
            </m:r>
            <m:sSub>
              <m:sSubPr>
                <m:ctrlPr>
                  <w:rPr>
                    <w:rFonts w:ascii="Cambria Math" w:hAnsi="Cambria Math"/>
                    <w:bCs/>
                    <w:i/>
                    <w:iCs/>
                    <w:snapToGrid w:val="0"/>
                    <w:szCs w:val="21"/>
                    <w:lang w:bidi="en-US"/>
                  </w:rPr>
                </m:ctrlPr>
              </m:sSubPr>
              <m:e>
                <m:r>
                  <w:rPr>
                    <w:rFonts w:ascii="Cambria Math" w:eastAsiaTheme="minorEastAsia" w:hAnsi="Cambria Math"/>
                    <w:szCs w:val="21"/>
                  </w:rPr>
                  <m:t>β10</m:t>
                </m:r>
              </m:e>
              <m:sub>
                <m:r>
                  <w:rPr>
                    <w:rFonts w:ascii="Cambria Math" w:eastAsia="맑은 고딕" w:hAnsi="Cambria Math"/>
                    <w:szCs w:val="21"/>
                  </w:rPr>
                  <m:t>i</m:t>
                </m:r>
              </m:sub>
            </m:sSub>
            <m:r>
              <w:rPr>
                <w:rFonts w:ascii="Cambria Math" w:eastAsia="맑은 고딕" w:hAnsi="Cambria Math"/>
                <w:szCs w:val="21"/>
              </w:rPr>
              <m:t>-</m:t>
            </m:r>
            <m:sSub>
              <m:sSubPr>
                <m:ctrlPr>
                  <w:rPr>
                    <w:rFonts w:ascii="Cambria Math" w:hAnsi="Cambria Math"/>
                    <w:bCs/>
                    <w:i/>
                    <w:iCs/>
                    <w:snapToGrid w:val="0"/>
                    <w:szCs w:val="21"/>
                    <w:lang w:bidi="en-US"/>
                  </w:rPr>
                </m:ctrlPr>
              </m:sSubPr>
              <m:e>
                <m:r>
                  <w:rPr>
                    <w:rFonts w:ascii="Cambria Math" w:eastAsiaTheme="minorEastAsia" w:hAnsi="Cambria Math"/>
                    <w:szCs w:val="21"/>
                  </w:rPr>
                  <m:t>β20</m:t>
                </m:r>
              </m:e>
              <m:sub>
                <m:r>
                  <w:rPr>
                    <w:rFonts w:ascii="Cambria Math" w:eastAsia="맑은 고딕" w:hAnsi="Cambria Math"/>
                    <w:szCs w:val="21"/>
                  </w:rPr>
                  <m:t>i</m:t>
                </m:r>
              </m:sub>
            </m:sSub>
            <m:r>
              <w:rPr>
                <w:rFonts w:ascii="Cambria Math" w:eastAsia="맑은 고딕" w:hAnsi="Cambria Math"/>
                <w:szCs w:val="21"/>
              </w:rPr>
              <m:t>)</m:t>
            </m:r>
            <m:r>
              <w:rPr>
                <w:rFonts w:ascii="Cambria Math" w:eastAsiaTheme="minorEastAsia" w:hAnsi="Cambria Math"/>
                <w:szCs w:val="21"/>
              </w:rPr>
              <m:t>∙</m:t>
            </m:r>
            <m:sSubSup>
              <m:sSubSupPr>
                <m:ctrlPr>
                  <w:rPr>
                    <w:rFonts w:ascii="Cambria Math" w:eastAsiaTheme="minorEastAsia" w:hAnsi="Cambria Math"/>
                    <w:bCs/>
                    <w:i/>
                    <w:iCs/>
                    <w:snapToGrid w:val="0"/>
                    <w:szCs w:val="21"/>
                    <w:lang w:bidi="en-US"/>
                  </w:rPr>
                </m:ctrlPr>
              </m:sSubSupPr>
              <m:e>
                <m:r>
                  <w:rPr>
                    <w:rFonts w:ascii="Cambria Math" w:eastAsiaTheme="minorEastAsia" w:hAnsi="Cambria Math"/>
                    <w:szCs w:val="21"/>
                  </w:rPr>
                  <m:t>H</m:t>
                </m:r>
              </m:e>
              <m:sub>
                <m:r>
                  <w:rPr>
                    <w:rFonts w:ascii="Cambria Math" w:eastAsiaTheme="minorEastAsia" w:hAnsi="Cambria Math"/>
                    <w:szCs w:val="21"/>
                  </w:rPr>
                  <m:t>i</m:t>
                </m:r>
              </m:sub>
              <m:sup>
                <m:r>
                  <w:rPr>
                    <w:rFonts w:ascii="Cambria Math" w:eastAsiaTheme="minorEastAsia" w:hAnsi="Cambria Math"/>
                    <w:szCs w:val="21"/>
                  </w:rPr>
                  <m:t>-ρ1</m:t>
                </m:r>
              </m:sup>
            </m:sSubSup>
            <m:r>
              <w:rPr>
                <w:rFonts w:ascii="Cambria Math" w:eastAsiaTheme="minorEastAsia" w:hAnsi="Cambria Math"/>
                <w:szCs w:val="21"/>
              </w:rPr>
              <m:t>)</m:t>
            </m:r>
          </m:e>
          <m:sup>
            <m:r>
              <w:rPr>
                <w:rFonts w:ascii="Cambria Math" w:eastAsiaTheme="minorEastAsia" w:hAnsi="Cambria Math"/>
                <w:szCs w:val="21"/>
              </w:rPr>
              <m:t>-1/ρ1</m:t>
            </m:r>
          </m:sup>
        </m:sSup>
      </m:oMath>
      <w:r w:rsidR="00BB24C4" w:rsidRPr="002A4B19">
        <w:rPr>
          <w:bCs/>
          <w:iCs/>
          <w:snapToGrid w:val="0"/>
          <w:kern w:val="0"/>
          <w:szCs w:val="21"/>
          <w:lang w:bidi="en-US"/>
        </w:rPr>
        <w:t xml:space="preserve">      </w:t>
      </w:r>
      <w:r w:rsidR="00BB24C4" w:rsidRPr="002A4B19">
        <w:rPr>
          <w:bCs/>
          <w:iCs/>
          <w:sz w:val="20"/>
        </w:rPr>
        <w:t>Eq. (2)</w:t>
      </w:r>
    </w:p>
    <w:p w:rsidR="00BB24C4" w:rsidRPr="002A4B19" w:rsidRDefault="00137228" w:rsidP="00BB24C4">
      <w:pPr>
        <w:pStyle w:val="ac"/>
        <w:ind w:leftChars="150" w:left="7120" w:hangingChars="3100" w:hanging="6820"/>
        <w:jc w:val="left"/>
        <w:rPr>
          <w:bCs/>
          <w:iCs/>
          <w:sz w:val="20"/>
        </w:rPr>
      </w:pPr>
      <m:oMath>
        <m:sSub>
          <m:sSubPr>
            <m:ctrlPr>
              <w:rPr>
                <w:rFonts w:ascii="Cambria Math" w:eastAsiaTheme="minorEastAsia" w:hAnsi="Cambria Math"/>
                <w:bCs/>
                <w:i/>
                <w:iCs/>
                <w:snapToGrid w:val="0"/>
                <w:szCs w:val="21"/>
                <w:lang w:bidi="en-US"/>
              </w:rPr>
            </m:ctrlPr>
          </m:sSubPr>
          <m:e>
            <m:r>
              <w:rPr>
                <w:rFonts w:ascii="Cambria Math" w:eastAsiaTheme="minorEastAsia" w:hAnsi="Cambria Math"/>
                <w:szCs w:val="21"/>
              </w:rPr>
              <m:t>VA</m:t>
            </m:r>
          </m:e>
          <m:sub>
            <m:r>
              <w:rPr>
                <w:rFonts w:ascii="Cambria Math" w:eastAsiaTheme="minorEastAsia" w:hAnsi="Cambria Math"/>
                <w:szCs w:val="21"/>
              </w:rPr>
              <m:t>i</m:t>
            </m:r>
          </m:sub>
        </m:sSub>
        <m:r>
          <w:rPr>
            <w:rFonts w:ascii="Cambria Math" w:eastAsiaTheme="minorEastAsia" w:hAnsi="Cambria Math"/>
            <w:szCs w:val="21"/>
          </w:rPr>
          <m:t>=</m:t>
        </m:r>
        <m:sSup>
          <m:sSupPr>
            <m:ctrlPr>
              <w:rPr>
                <w:rFonts w:ascii="Cambria Math" w:eastAsiaTheme="minorEastAsia" w:hAnsi="Cambria Math"/>
                <w:bCs/>
                <w:i/>
                <w:iCs/>
                <w:snapToGrid w:val="0"/>
                <w:szCs w:val="21"/>
                <w:lang w:bidi="en-US"/>
              </w:rPr>
            </m:ctrlPr>
          </m:sSupPr>
          <m:e>
            <m:r>
              <w:rPr>
                <w:rFonts w:ascii="Cambria Math" w:eastAsiaTheme="minorEastAsia" w:hAnsi="Cambria Math"/>
                <w:szCs w:val="21"/>
              </w:rPr>
              <m:t>θ</m:t>
            </m:r>
            <m:sSub>
              <m:sSubPr>
                <m:ctrlPr>
                  <w:rPr>
                    <w:rFonts w:ascii="Cambria Math" w:eastAsiaTheme="minorEastAsia" w:hAnsi="Cambria Math"/>
                    <w:bCs/>
                    <w:i/>
                    <w:iCs/>
                    <w:snapToGrid w:val="0"/>
                    <w:szCs w:val="21"/>
                    <w:lang w:bidi="en-US"/>
                  </w:rPr>
                </m:ctrlPr>
              </m:sSubPr>
              <m:e>
                <m:r>
                  <w:rPr>
                    <w:rFonts w:ascii="Cambria Math" w:eastAsiaTheme="minorEastAsia" w:hAnsi="Cambria Math"/>
                    <w:szCs w:val="21"/>
                  </w:rPr>
                  <m:t>20</m:t>
                </m:r>
              </m:e>
              <m:sub>
                <m:r>
                  <w:rPr>
                    <w:rFonts w:ascii="Cambria Math" w:eastAsiaTheme="minorEastAsia" w:hAnsi="Cambria Math"/>
                    <w:sz w:val="20"/>
                    <w:szCs w:val="21"/>
                  </w:rPr>
                  <m:t>i</m:t>
                </m:r>
              </m:sub>
            </m:sSub>
            <m:r>
              <w:rPr>
                <w:rFonts w:ascii="Cambria Math" w:eastAsiaTheme="minorEastAsia" w:hAnsi="Cambria Math"/>
                <w:szCs w:val="21"/>
              </w:rPr>
              <m:t>∙(</m:t>
            </m:r>
            <m:sSub>
              <m:sSubPr>
                <m:ctrlPr>
                  <w:rPr>
                    <w:rFonts w:ascii="Cambria Math" w:hAnsi="Cambria Math"/>
                    <w:bCs/>
                    <w:i/>
                    <w:iCs/>
                    <w:snapToGrid w:val="0"/>
                    <w:szCs w:val="21"/>
                    <w:lang w:bidi="en-US"/>
                  </w:rPr>
                </m:ctrlPr>
              </m:sSubPr>
              <m:e>
                <m:r>
                  <w:rPr>
                    <w:rFonts w:ascii="Cambria Math" w:eastAsiaTheme="minorEastAsia" w:hAnsi="Cambria Math"/>
                    <w:szCs w:val="21"/>
                  </w:rPr>
                  <m:t>β30</m:t>
                </m:r>
              </m:e>
              <m:sub>
                <m:r>
                  <w:rPr>
                    <w:rFonts w:ascii="Cambria Math" w:eastAsia="맑은 고딕" w:hAnsi="Cambria Math"/>
                    <w:szCs w:val="21"/>
                  </w:rPr>
                  <m:t>i</m:t>
                </m:r>
              </m:sub>
            </m:sSub>
            <m:r>
              <w:rPr>
                <w:rFonts w:ascii="Cambria Math" w:eastAsiaTheme="minorEastAsia" w:hAnsi="Cambria Math"/>
                <w:szCs w:val="21"/>
              </w:rPr>
              <m:t>∙</m:t>
            </m:r>
            <m:sSubSup>
              <m:sSubSupPr>
                <m:ctrlPr>
                  <w:rPr>
                    <w:rFonts w:ascii="Cambria Math" w:eastAsiaTheme="minorEastAsia" w:hAnsi="Cambria Math"/>
                    <w:bCs/>
                    <w:i/>
                    <w:iCs/>
                    <w:snapToGrid w:val="0"/>
                    <w:szCs w:val="21"/>
                    <w:lang w:bidi="en-US"/>
                  </w:rPr>
                </m:ctrlPr>
              </m:sSubSupPr>
              <m:e>
                <m:r>
                  <w:rPr>
                    <w:rFonts w:ascii="Cambria Math" w:eastAsiaTheme="minorEastAsia" w:hAnsi="Cambria Math"/>
                    <w:szCs w:val="21"/>
                  </w:rPr>
                  <m:t>L1</m:t>
                </m:r>
              </m:e>
              <m:sub>
                <m:r>
                  <w:rPr>
                    <w:rFonts w:ascii="Cambria Math" w:eastAsiaTheme="minorEastAsia" w:hAnsi="Cambria Math"/>
                    <w:szCs w:val="21"/>
                  </w:rPr>
                  <m:t>i</m:t>
                </m:r>
              </m:sub>
              <m:sup>
                <m:r>
                  <w:rPr>
                    <w:rFonts w:ascii="Cambria Math" w:eastAsiaTheme="minorEastAsia" w:hAnsi="Cambria Math"/>
                    <w:szCs w:val="21"/>
                  </w:rPr>
                  <m:t>-ρ2</m:t>
                </m:r>
              </m:sup>
            </m:sSubSup>
            <m:r>
              <w:rPr>
                <w:rFonts w:ascii="Cambria Math" w:eastAsiaTheme="minorEastAsia" w:hAnsi="Cambria Math"/>
                <w:szCs w:val="21"/>
              </w:rPr>
              <m:t>+</m:t>
            </m:r>
            <m:sSub>
              <m:sSubPr>
                <m:ctrlPr>
                  <w:rPr>
                    <w:rFonts w:ascii="Cambria Math" w:hAnsi="Cambria Math"/>
                    <w:bCs/>
                    <w:i/>
                    <w:iCs/>
                    <w:snapToGrid w:val="0"/>
                    <w:szCs w:val="21"/>
                    <w:lang w:bidi="en-US"/>
                  </w:rPr>
                </m:ctrlPr>
              </m:sSubPr>
              <m:e>
                <m:r>
                  <w:rPr>
                    <w:rFonts w:ascii="Cambria Math" w:eastAsiaTheme="minorEastAsia" w:hAnsi="Cambria Math"/>
                    <w:szCs w:val="21"/>
                  </w:rPr>
                  <m:t>β40</m:t>
                </m:r>
              </m:e>
              <m:sub>
                <m:r>
                  <w:rPr>
                    <w:rFonts w:ascii="Cambria Math" w:eastAsia="맑은 고딕" w:hAnsi="Cambria Math"/>
                    <w:szCs w:val="21"/>
                  </w:rPr>
                  <m:t>i</m:t>
                </m:r>
              </m:sub>
            </m:sSub>
            <m:r>
              <w:rPr>
                <w:rFonts w:ascii="Cambria Math" w:eastAsiaTheme="minorEastAsia" w:hAnsi="Cambria Math"/>
                <w:szCs w:val="21"/>
              </w:rPr>
              <m:t>∙</m:t>
            </m:r>
            <m:sSubSup>
              <m:sSubSupPr>
                <m:ctrlPr>
                  <w:rPr>
                    <w:rFonts w:ascii="Cambria Math" w:eastAsiaTheme="minorEastAsia" w:hAnsi="Cambria Math"/>
                    <w:bCs/>
                    <w:i/>
                    <w:iCs/>
                    <w:snapToGrid w:val="0"/>
                    <w:szCs w:val="21"/>
                    <w:lang w:bidi="en-US"/>
                  </w:rPr>
                </m:ctrlPr>
              </m:sSubSupPr>
              <m:e>
                <m:r>
                  <w:rPr>
                    <w:rFonts w:ascii="Cambria Math" w:eastAsiaTheme="minorEastAsia" w:hAnsi="Cambria Math"/>
                    <w:szCs w:val="21"/>
                  </w:rPr>
                  <m:t>L2</m:t>
                </m:r>
              </m:e>
              <m:sub>
                <m:r>
                  <w:rPr>
                    <w:rFonts w:ascii="Cambria Math" w:eastAsiaTheme="minorEastAsia" w:hAnsi="Cambria Math"/>
                    <w:szCs w:val="21"/>
                  </w:rPr>
                  <m:t>i</m:t>
                </m:r>
              </m:sub>
              <m:sup>
                <m:r>
                  <w:rPr>
                    <w:rFonts w:ascii="Cambria Math" w:eastAsiaTheme="minorEastAsia" w:hAnsi="Cambria Math"/>
                    <w:szCs w:val="21"/>
                  </w:rPr>
                  <m:t>-ρ2</m:t>
                </m:r>
              </m:sup>
            </m:sSubSup>
            <m:r>
              <w:rPr>
                <w:rFonts w:ascii="Cambria Math" w:eastAsia="맑은 고딕" w:hAnsi="Cambria Math"/>
                <w:szCs w:val="21"/>
              </w:rPr>
              <m:t>+(1-</m:t>
            </m:r>
            <m:sSub>
              <m:sSubPr>
                <m:ctrlPr>
                  <w:rPr>
                    <w:rFonts w:ascii="Cambria Math" w:hAnsi="Cambria Math"/>
                    <w:bCs/>
                    <w:i/>
                    <w:iCs/>
                    <w:snapToGrid w:val="0"/>
                    <w:szCs w:val="21"/>
                    <w:lang w:bidi="en-US"/>
                  </w:rPr>
                </m:ctrlPr>
              </m:sSubPr>
              <m:e>
                <m:r>
                  <w:rPr>
                    <w:rFonts w:ascii="Cambria Math" w:eastAsiaTheme="minorEastAsia" w:hAnsi="Cambria Math"/>
                    <w:szCs w:val="21"/>
                  </w:rPr>
                  <m:t>β30</m:t>
                </m:r>
              </m:e>
              <m:sub>
                <m:r>
                  <w:rPr>
                    <w:rFonts w:ascii="Cambria Math" w:eastAsia="맑은 고딕" w:hAnsi="Cambria Math"/>
                    <w:szCs w:val="21"/>
                  </w:rPr>
                  <m:t>i</m:t>
                </m:r>
              </m:sub>
            </m:sSub>
            <m:r>
              <w:rPr>
                <w:rFonts w:ascii="Cambria Math" w:eastAsia="맑은 고딕" w:hAnsi="Cambria Math"/>
                <w:szCs w:val="21"/>
              </w:rPr>
              <m:t>-</m:t>
            </m:r>
            <m:sSub>
              <m:sSubPr>
                <m:ctrlPr>
                  <w:rPr>
                    <w:rFonts w:ascii="Cambria Math" w:hAnsi="Cambria Math"/>
                    <w:bCs/>
                    <w:i/>
                    <w:iCs/>
                    <w:snapToGrid w:val="0"/>
                    <w:szCs w:val="21"/>
                    <w:lang w:bidi="en-US"/>
                  </w:rPr>
                </m:ctrlPr>
              </m:sSubPr>
              <m:e>
                <m:r>
                  <w:rPr>
                    <w:rFonts w:ascii="Cambria Math" w:eastAsiaTheme="minorEastAsia" w:hAnsi="Cambria Math"/>
                    <w:szCs w:val="21"/>
                  </w:rPr>
                  <m:t>β40</m:t>
                </m:r>
              </m:e>
              <m:sub>
                <m:r>
                  <w:rPr>
                    <w:rFonts w:ascii="Cambria Math" w:eastAsia="맑은 고딕" w:hAnsi="Cambria Math"/>
                    <w:szCs w:val="21"/>
                  </w:rPr>
                  <m:t>i</m:t>
                </m:r>
              </m:sub>
            </m:sSub>
            <m:r>
              <w:rPr>
                <w:rFonts w:ascii="Cambria Math" w:eastAsia="맑은 고딕" w:hAnsi="Cambria Math"/>
                <w:szCs w:val="21"/>
              </w:rPr>
              <m:t>)</m:t>
            </m:r>
            <m:r>
              <w:rPr>
                <w:rFonts w:ascii="Cambria Math" w:eastAsiaTheme="minorEastAsia" w:hAnsi="Cambria Math"/>
                <w:szCs w:val="21"/>
              </w:rPr>
              <m:t>∙</m:t>
            </m:r>
            <m:sSubSup>
              <m:sSubSupPr>
                <m:ctrlPr>
                  <w:rPr>
                    <w:rFonts w:ascii="Cambria Math" w:eastAsiaTheme="minorEastAsia" w:hAnsi="Cambria Math"/>
                    <w:bCs/>
                    <w:i/>
                    <w:iCs/>
                    <w:snapToGrid w:val="0"/>
                    <w:szCs w:val="21"/>
                    <w:lang w:bidi="en-US"/>
                  </w:rPr>
                </m:ctrlPr>
              </m:sSubSupPr>
              <m:e>
                <m:r>
                  <w:rPr>
                    <w:rFonts w:ascii="Cambria Math" w:eastAsiaTheme="minorEastAsia" w:hAnsi="Cambria Math"/>
                    <w:szCs w:val="21"/>
                  </w:rPr>
                  <m:t>HLK</m:t>
                </m:r>
              </m:e>
              <m:sub>
                <m:r>
                  <w:rPr>
                    <w:rFonts w:ascii="Cambria Math" w:eastAsiaTheme="minorEastAsia" w:hAnsi="Cambria Math"/>
                    <w:szCs w:val="21"/>
                  </w:rPr>
                  <m:t>i</m:t>
                </m:r>
              </m:sub>
              <m:sup>
                <m:r>
                  <w:rPr>
                    <w:rFonts w:ascii="Cambria Math" w:eastAsiaTheme="minorEastAsia" w:hAnsi="Cambria Math"/>
                    <w:szCs w:val="21"/>
                  </w:rPr>
                  <m:t>-ρ2</m:t>
                </m:r>
              </m:sup>
            </m:sSubSup>
            <m:r>
              <w:rPr>
                <w:rFonts w:ascii="Cambria Math" w:eastAsiaTheme="minorEastAsia" w:hAnsi="Cambria Math"/>
                <w:szCs w:val="21"/>
              </w:rPr>
              <m:t>)</m:t>
            </m:r>
          </m:e>
          <m:sup>
            <m:r>
              <w:rPr>
                <w:rFonts w:ascii="Cambria Math" w:eastAsiaTheme="minorEastAsia" w:hAnsi="Cambria Math"/>
                <w:szCs w:val="21"/>
              </w:rPr>
              <m:t>-1/ρ2</m:t>
            </m:r>
          </m:sup>
        </m:sSup>
      </m:oMath>
      <w:r w:rsidR="00BB24C4" w:rsidRPr="002A4B19">
        <w:rPr>
          <w:rFonts w:eastAsiaTheme="minorEastAsia"/>
          <w:bCs/>
          <w:iCs/>
          <w:sz w:val="20"/>
          <w:szCs w:val="21"/>
        </w:rPr>
        <w:t xml:space="preserve">     </w:t>
      </w:r>
      <w:r w:rsidR="00BB24C4" w:rsidRPr="002A4B19">
        <w:rPr>
          <w:bCs/>
          <w:iCs/>
          <w:sz w:val="20"/>
        </w:rPr>
        <w:t>Eq. (3)</w:t>
      </w:r>
    </w:p>
    <w:p w:rsidR="00BB24C4" w:rsidRPr="002A4B19" w:rsidRDefault="00BB24C4" w:rsidP="00BB24C4">
      <w:pPr>
        <w:pStyle w:val="Mdeck4text"/>
        <w:ind w:leftChars="150" w:left="960" w:hangingChars="300" w:hanging="660"/>
        <w:jc w:val="left"/>
        <w:rPr>
          <w:rFonts w:eastAsiaTheme="minorEastAsia" w:cs="Times New Roman"/>
          <w:i/>
          <w:color w:val="auto"/>
          <w:sz w:val="22"/>
          <w:szCs w:val="22"/>
          <w:lang w:eastAsia="ko-KR"/>
        </w:rPr>
      </w:pPr>
      <w:r w:rsidRPr="002A4B19">
        <w:rPr>
          <w:rFonts w:eastAsiaTheme="minorEastAsia" w:cs="Times New Roman"/>
          <w:i/>
          <w:color w:val="auto"/>
          <w:sz w:val="22"/>
          <w:szCs w:val="22"/>
          <w:lang w:eastAsia="ko-KR"/>
        </w:rPr>
        <w:t xml:space="preserve">where </w:t>
      </w:r>
      <m:oMath>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β10</m:t>
            </m:r>
          </m:e>
          <m:sub>
            <m:r>
              <w:rPr>
                <w:rFonts w:ascii="Cambria Math" w:eastAsiaTheme="minorEastAsia" w:hAnsi="Cambria Math" w:cs="Times New Roman"/>
                <w:color w:val="auto"/>
                <w:sz w:val="22"/>
                <w:szCs w:val="22"/>
                <w:lang w:eastAsia="ko-KR"/>
              </w:rPr>
              <m:t>i</m:t>
            </m:r>
          </m:sub>
        </m:sSub>
      </m:oMath>
      <w:r w:rsidRPr="002A4B19">
        <w:rPr>
          <w:rFonts w:eastAsiaTheme="minorEastAsia" w:cs="Times New Roman"/>
          <w:i/>
          <w:color w:val="auto"/>
          <w:sz w:val="22"/>
          <w:szCs w:val="22"/>
          <w:lang w:eastAsia="ko-KR"/>
        </w:rPr>
        <w:t xml:space="preserve">, </w:t>
      </w:r>
      <m:oMath>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β20</m:t>
            </m:r>
          </m:e>
          <m:sub>
            <m:r>
              <w:rPr>
                <w:rFonts w:ascii="Cambria Math" w:eastAsiaTheme="minorEastAsia" w:hAnsi="Cambria Math" w:cs="Times New Roman"/>
                <w:color w:val="auto"/>
                <w:sz w:val="22"/>
                <w:szCs w:val="22"/>
                <w:lang w:eastAsia="ko-KR"/>
              </w:rPr>
              <m:t>i</m:t>
            </m:r>
          </m:sub>
        </m:sSub>
        <m:r>
          <w:rPr>
            <w:rFonts w:ascii="Cambria Math" w:eastAsiaTheme="minorEastAsia" w:hAnsi="Cambria Math" w:cs="Times New Roman"/>
            <w:color w:val="auto"/>
            <w:sz w:val="22"/>
            <w:szCs w:val="22"/>
            <w:lang w:eastAsia="ko-KR"/>
          </w:rPr>
          <m:t xml:space="preserve">, </m:t>
        </m:r>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β30</m:t>
            </m:r>
          </m:e>
          <m:sub>
            <m:r>
              <w:rPr>
                <w:rFonts w:ascii="Cambria Math" w:eastAsiaTheme="minorEastAsia" w:hAnsi="Cambria Math" w:cs="Times New Roman"/>
                <w:color w:val="auto"/>
                <w:sz w:val="22"/>
                <w:szCs w:val="22"/>
                <w:lang w:eastAsia="ko-KR"/>
              </w:rPr>
              <m:t>i</m:t>
            </m:r>
          </m:sub>
        </m:sSub>
        <m:r>
          <w:rPr>
            <w:rFonts w:ascii="Cambria Math" w:eastAsiaTheme="minorEastAsia" w:hAnsi="Cambria Math" w:cs="Times New Roman"/>
            <w:color w:val="auto"/>
            <w:sz w:val="22"/>
            <w:szCs w:val="22"/>
            <w:lang w:eastAsia="ko-KR"/>
          </w:rPr>
          <m:t xml:space="preserve">, </m:t>
        </m:r>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β40</m:t>
            </m:r>
          </m:e>
          <m:sub>
            <m:r>
              <w:rPr>
                <w:rFonts w:ascii="Cambria Math" w:eastAsiaTheme="minorEastAsia" w:hAnsi="Cambria Math" w:cs="Times New Roman"/>
                <w:color w:val="auto"/>
                <w:sz w:val="22"/>
                <w:szCs w:val="22"/>
                <w:lang w:eastAsia="ko-KR"/>
              </w:rPr>
              <m:t>i</m:t>
            </m:r>
          </m:sub>
        </m:sSub>
      </m:oMath>
      <w:r w:rsidRPr="002A4B19">
        <w:rPr>
          <w:rFonts w:eastAsiaTheme="minorEastAsia" w:cs="Times New Roman"/>
          <w:i/>
          <w:color w:val="auto"/>
          <w:sz w:val="22"/>
          <w:szCs w:val="22"/>
          <w:lang w:eastAsia="ko-KR"/>
        </w:rPr>
        <w:t>: Share parameter for L3, K, L1, L2 in CES functions;</w:t>
      </w:r>
      <w:r w:rsidRPr="002A4B19">
        <w:rPr>
          <w:rFonts w:eastAsiaTheme="minorEastAsia" w:cs="Times New Roman"/>
          <w:i/>
          <w:color w:val="auto"/>
          <w:sz w:val="22"/>
          <w:szCs w:val="22"/>
          <w:lang w:eastAsia="ko-KR"/>
        </w:rPr>
        <w:br/>
      </w:r>
      <m:oMath>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θ10</m:t>
            </m:r>
          </m:e>
          <m:sub>
            <m:r>
              <w:rPr>
                <w:rFonts w:ascii="Cambria Math" w:eastAsiaTheme="minorEastAsia" w:hAnsi="Cambria Math" w:cs="Times New Roman"/>
                <w:color w:val="auto"/>
                <w:sz w:val="22"/>
                <w:szCs w:val="22"/>
                <w:lang w:eastAsia="ko-KR"/>
              </w:rPr>
              <m:t>i</m:t>
            </m:r>
          </m:sub>
        </m:sSub>
        <m:r>
          <w:rPr>
            <w:rFonts w:ascii="Cambria Math" w:eastAsiaTheme="minorEastAsia" w:hAnsi="Cambria Math" w:cs="Times New Roman"/>
            <w:color w:val="auto"/>
            <w:sz w:val="22"/>
            <w:szCs w:val="22"/>
            <w:lang w:eastAsia="ko-KR"/>
          </w:rPr>
          <m:t xml:space="preserve">, </m:t>
        </m:r>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θ20</m:t>
            </m:r>
          </m:e>
          <m:sub>
            <m:r>
              <w:rPr>
                <w:rFonts w:ascii="Cambria Math" w:eastAsiaTheme="minorEastAsia" w:hAnsi="Cambria Math" w:cs="Times New Roman"/>
                <w:color w:val="auto"/>
                <w:sz w:val="22"/>
                <w:szCs w:val="22"/>
                <w:lang w:eastAsia="ko-KR"/>
              </w:rPr>
              <m:t>i</m:t>
            </m:r>
          </m:sub>
        </m:sSub>
      </m:oMath>
      <w:r w:rsidRPr="002A4B19">
        <w:rPr>
          <w:rFonts w:eastAsiaTheme="minorEastAsia" w:cs="Times New Roman"/>
          <w:i/>
          <w:color w:val="auto"/>
          <w:sz w:val="22"/>
          <w:szCs w:val="22"/>
          <w:lang w:eastAsia="ko-KR"/>
        </w:rPr>
        <w:t>: Scale parameter in each CES function;</w:t>
      </w:r>
      <w:r w:rsidRPr="002A4B19">
        <w:rPr>
          <w:rFonts w:eastAsiaTheme="minorEastAsia" w:cs="Times New Roman"/>
          <w:i/>
          <w:color w:val="auto"/>
          <w:sz w:val="22"/>
          <w:szCs w:val="22"/>
          <w:lang w:eastAsia="ko-KR"/>
        </w:rPr>
        <w:br/>
      </w:r>
      <m:oMath>
        <m:sSub>
          <m:sSubPr>
            <m:ctrlPr>
              <w:rPr>
                <w:rFonts w:ascii="Cambria Math" w:eastAsiaTheme="minorEastAsia" w:hAnsi="Cambria Math" w:cs="Times New Roman"/>
                <w:color w:val="auto"/>
                <w:sz w:val="22"/>
                <w:szCs w:val="22"/>
              </w:rPr>
            </m:ctrlPr>
          </m:sSubPr>
          <m:e>
            <m:r>
              <w:rPr>
                <w:rFonts w:ascii="Cambria Math" w:eastAsiaTheme="minorEastAsia" w:hAnsi="Cambria Math" w:cs="Times New Roman"/>
                <w:color w:val="auto"/>
                <w:sz w:val="22"/>
                <w:szCs w:val="22"/>
                <w:lang w:eastAsia="ko-KR"/>
              </w:rPr>
              <m:t>σ</m:t>
            </m:r>
          </m:e>
          <m:sub>
            <m:r>
              <w:rPr>
                <w:rFonts w:ascii="Cambria Math" w:eastAsiaTheme="minorEastAsia" w:hAnsi="Cambria Math" w:cs="Times New Roman"/>
                <w:color w:val="auto"/>
                <w:sz w:val="22"/>
                <w:szCs w:val="22"/>
                <w:lang w:eastAsia="ko-KR"/>
              </w:rPr>
              <m:t>1</m:t>
            </m:r>
          </m:sub>
        </m:sSub>
      </m:oMath>
      <w:r w:rsidRPr="002A4B19">
        <w:rPr>
          <w:rFonts w:eastAsiaTheme="minorEastAsia" w:cs="Times New Roman"/>
          <w:i/>
          <w:color w:val="auto"/>
          <w:sz w:val="22"/>
          <w:szCs w:val="22"/>
          <w:lang w:eastAsia="ko-KR"/>
        </w:rPr>
        <w:t>,</w:t>
      </w:r>
      <m:oMath>
        <m:r>
          <m:rPr>
            <m:sty m:val="p"/>
          </m:rPr>
          <w:rPr>
            <w:rFonts w:ascii="Cambria Math" w:eastAsiaTheme="minorEastAsia" w:hAnsi="Cambria Math" w:cs="Times New Roman"/>
            <w:color w:val="auto"/>
            <w:sz w:val="22"/>
            <w:szCs w:val="22"/>
            <w:lang w:eastAsia="ko-KR"/>
          </w:rPr>
          <m:t xml:space="preserve"> </m:t>
        </m:r>
        <m:sSub>
          <m:sSubPr>
            <m:ctrlPr>
              <w:rPr>
                <w:rFonts w:ascii="Cambria Math" w:eastAsiaTheme="minorEastAsia" w:hAnsi="Cambria Math" w:cs="Times New Roman"/>
                <w:color w:val="auto"/>
                <w:sz w:val="22"/>
                <w:szCs w:val="22"/>
              </w:rPr>
            </m:ctrlPr>
          </m:sSubPr>
          <m:e>
            <m:r>
              <w:rPr>
                <w:rFonts w:ascii="Cambria Math" w:eastAsiaTheme="minorEastAsia" w:hAnsi="Cambria Math" w:cs="Times New Roman"/>
                <w:color w:val="auto"/>
                <w:sz w:val="22"/>
                <w:szCs w:val="22"/>
                <w:lang w:eastAsia="ko-KR"/>
              </w:rPr>
              <m:t>σ</m:t>
            </m:r>
          </m:e>
          <m:sub>
            <m:r>
              <w:rPr>
                <w:rFonts w:ascii="Cambria Math" w:eastAsiaTheme="minorEastAsia" w:hAnsi="Cambria Math" w:cs="Times New Roman"/>
                <w:color w:val="auto"/>
                <w:sz w:val="22"/>
                <w:szCs w:val="22"/>
                <w:lang w:eastAsia="ko-KR"/>
              </w:rPr>
              <m:t>2</m:t>
            </m:r>
          </m:sub>
        </m:sSub>
        <m:r>
          <w:rPr>
            <w:rFonts w:ascii="Cambria Math" w:eastAsiaTheme="minorEastAsia" w:hAnsi="Cambria Math" w:cs="Times New Roman"/>
            <w:color w:val="auto"/>
            <w:sz w:val="22"/>
            <w:szCs w:val="22"/>
            <w:lang w:eastAsia="ko-KR"/>
          </w:rPr>
          <m:t>:Elasticities of substitution among factors of production</m:t>
        </m:r>
      </m:oMath>
      <w:r w:rsidRPr="002A4B19">
        <w:rPr>
          <w:rFonts w:eastAsiaTheme="minorEastAsia" w:cs="Times New Roman"/>
          <w:i/>
          <w:color w:val="auto"/>
          <w:sz w:val="22"/>
          <w:szCs w:val="22"/>
          <w:lang w:eastAsia="ko-KR"/>
        </w:rPr>
        <w:t xml:space="preserve"> </w:t>
      </w:r>
    </w:p>
    <w:p w:rsidR="00BB24C4" w:rsidRPr="002A4B19" w:rsidRDefault="00BB24C4"/>
    <w:p w:rsidR="00BB24C4" w:rsidRPr="002A4B19" w:rsidRDefault="00BB24C4" w:rsidP="00BB24C4">
      <w:pPr>
        <w:pStyle w:val="Mdeck4heading2"/>
        <w:spacing w:before="0"/>
        <w:rPr>
          <w:rFonts w:cs="Times New Roman"/>
          <w:b/>
          <w:color w:val="auto"/>
        </w:rPr>
      </w:pPr>
      <w:r w:rsidRPr="002A4B19">
        <w:rPr>
          <w:rFonts w:cs="Times New Roman"/>
          <w:b/>
          <w:color w:val="auto"/>
        </w:rPr>
        <w:t>3.3 The structure of knowledge-based CGE model: R&amp;D investments and knowledge accumulation</w:t>
      </w:r>
    </w:p>
    <w:p w:rsidR="00454632" w:rsidRPr="002A4B19" w:rsidRDefault="00BB24C4" w:rsidP="00BB24C4">
      <w:pPr>
        <w:pStyle w:val="Mdeck4text"/>
        <w:rPr>
          <w:rFonts w:cs="Times New Roman"/>
          <w:color w:val="auto"/>
        </w:rPr>
      </w:pPr>
      <w:r w:rsidRPr="002A4B19">
        <w:rPr>
          <w:rFonts w:cs="Times New Roman"/>
          <w:color w:val="auto"/>
        </w:rPr>
        <w:t>Another feature of the model used for this study is that knowledge capital (</w:t>
      </w:r>
      <m:oMath>
        <m:sSub>
          <m:sSubPr>
            <m:ctrlPr>
              <w:rPr>
                <w:rFonts w:ascii="Cambria Math" w:eastAsiaTheme="minorEastAsia" w:hAnsi="Cambria Math" w:cs="Times New Roman"/>
                <w:color w:val="auto"/>
              </w:rPr>
            </m:ctrlPr>
          </m:sSubPr>
          <m:e>
            <m:r>
              <w:rPr>
                <w:rFonts w:ascii="Cambria Math" w:eastAsiaTheme="minorEastAsia" w:hAnsi="Cambria Math" w:cs="Times New Roman"/>
                <w:color w:val="auto"/>
                <w:lang w:eastAsia="ko-KR"/>
              </w:rPr>
              <m:t>H</m:t>
            </m:r>
          </m:e>
          <m:sub>
            <m:r>
              <w:rPr>
                <w:rFonts w:ascii="Cambria Math" w:eastAsiaTheme="minorEastAsia" w:hAnsi="Cambria Math" w:cs="Times New Roman"/>
                <w:color w:val="auto"/>
                <w:lang w:eastAsia="ko-KR"/>
              </w:rPr>
              <m:t>i</m:t>
            </m:r>
          </m:sub>
        </m:sSub>
      </m:oMath>
      <w:r w:rsidRPr="002A4B19">
        <w:rPr>
          <w:rFonts w:eastAsiaTheme="minorEastAsia" w:cs="Times New Roman"/>
          <w:color w:val="auto"/>
          <w:lang w:eastAsia="ko-KR"/>
        </w:rPr>
        <w:t xml:space="preserve">) is set to be accumulated through R&amp;D investment. Therefore, it is essential to have a detailed description for R&amp;D investment. In the model, </w:t>
      </w:r>
      <w:r w:rsidRPr="002A4B19">
        <w:rPr>
          <w:rFonts w:cs="Times New Roman"/>
          <w:color w:val="auto"/>
        </w:rPr>
        <w:t>R&amp;D investment goods are produced through a separate process, as followed by Hong et al. (2014), Křístková (2013), and Visser (2007). It is assumed that both private and public sectors produce R&amp;D investment goods (</w:t>
      </w:r>
      <m:oMath>
        <m:sSub>
          <m:sSubPr>
            <m:ctrlPr>
              <w:rPr>
                <w:rFonts w:ascii="Cambria Math" w:eastAsiaTheme="minorEastAsia" w:hAnsi="Cambria Math" w:cs="Times New Roman"/>
                <w:color w:val="auto"/>
              </w:rPr>
            </m:ctrlPr>
          </m:sSubPr>
          <m:e>
            <m:r>
              <w:rPr>
                <w:rFonts w:ascii="Cambria Math" w:hAnsi="Cambria Math" w:cs="Times New Roman"/>
                <w:color w:val="auto"/>
              </w:rPr>
              <m:t>RDZ</m:t>
            </m:r>
          </m:e>
          <m:sub>
            <m:r>
              <w:rPr>
                <w:rFonts w:ascii="Cambria Math" w:hAnsi="Cambria Math" w:cs="Times New Roman"/>
                <w:color w:val="auto"/>
              </w:rPr>
              <m:t>rdt</m:t>
            </m:r>
          </m:sub>
        </m:sSub>
        <m:r>
          <w:rPr>
            <w:rFonts w:ascii="Cambria Math" w:hAnsi="Cambria Math" w:cs="Times New Roman"/>
            <w:color w:val="auto"/>
          </w:rPr>
          <m:t>,  where rdt:private or public</m:t>
        </m:r>
      </m:oMath>
      <w:r w:rsidRPr="002A4B19">
        <w:rPr>
          <w:rFonts w:cs="Times New Roman"/>
          <w:color w:val="auto"/>
        </w:rPr>
        <w:t>) by combining value-added composite (</w:t>
      </w:r>
      <m:oMath>
        <m:sSub>
          <m:sSubPr>
            <m:ctrlPr>
              <w:rPr>
                <w:rFonts w:ascii="Cambria Math" w:eastAsiaTheme="minorEastAsia" w:hAnsi="Cambria Math" w:cs="Times New Roman"/>
                <w:color w:val="auto"/>
              </w:rPr>
            </m:ctrlPr>
          </m:sSubPr>
          <m:e>
            <m:r>
              <w:rPr>
                <w:rFonts w:ascii="Cambria Math" w:hAnsi="Cambria Math" w:cs="Times New Roman"/>
                <w:color w:val="auto"/>
              </w:rPr>
              <m:t>RVA</m:t>
            </m:r>
          </m:e>
          <m:sub>
            <m:r>
              <w:rPr>
                <w:rFonts w:ascii="Cambria Math" w:hAnsi="Cambria Math" w:cs="Times New Roman"/>
                <w:color w:val="auto"/>
              </w:rPr>
              <m:t>rdt</m:t>
            </m:r>
          </m:sub>
        </m:sSub>
      </m:oMath>
      <w:r w:rsidRPr="002A4B19">
        <w:rPr>
          <w:rFonts w:cs="Times New Roman"/>
          <w:color w:val="auto"/>
        </w:rPr>
        <w:t>) and intermediate inputs (</w:t>
      </w:r>
      <m:oMath>
        <m:sSub>
          <m:sSubPr>
            <m:ctrlPr>
              <w:rPr>
                <w:rFonts w:ascii="Cambria Math" w:eastAsiaTheme="minorEastAsia" w:hAnsi="Cambria Math" w:cs="Times New Roman"/>
                <w:color w:val="auto"/>
              </w:rPr>
            </m:ctrlPr>
          </m:sSubPr>
          <m:e>
            <m:r>
              <w:rPr>
                <w:rFonts w:ascii="Cambria Math" w:hAnsi="Cambria Math" w:cs="Times New Roman"/>
                <w:color w:val="auto"/>
              </w:rPr>
              <m:t>XVRD</m:t>
            </m:r>
          </m:e>
          <m:sub>
            <m:r>
              <w:rPr>
                <w:rFonts w:ascii="Cambria Math" w:hAnsi="Cambria Math" w:cs="Times New Roman"/>
                <w:color w:val="auto"/>
              </w:rPr>
              <m:t>rdt</m:t>
            </m:r>
          </m:sub>
        </m:sSub>
      </m:oMath>
      <w:r w:rsidRPr="002A4B19">
        <w:rPr>
          <w:rFonts w:cs="Times New Roman"/>
          <w:color w:val="auto"/>
        </w:rPr>
        <w:t xml:space="preserve">) for R&amp;D activities. In particular, the value-added composite for </w:t>
      </w:r>
      <w:r w:rsidRPr="002A4B19">
        <w:rPr>
          <w:rFonts w:cs="Times New Roman"/>
          <w:color w:val="auto"/>
        </w:rPr>
        <w:lastRenderedPageBreak/>
        <w:t>R&amp;D (</w:t>
      </w:r>
      <m:oMath>
        <m:sSub>
          <m:sSubPr>
            <m:ctrlPr>
              <w:rPr>
                <w:rFonts w:ascii="Cambria Math" w:eastAsiaTheme="minorEastAsia" w:hAnsi="Cambria Math" w:cs="Times New Roman"/>
                <w:color w:val="auto"/>
              </w:rPr>
            </m:ctrlPr>
          </m:sSubPr>
          <m:e>
            <m:r>
              <w:rPr>
                <w:rFonts w:ascii="Cambria Math" w:hAnsi="Cambria Math" w:cs="Times New Roman"/>
                <w:color w:val="auto"/>
              </w:rPr>
              <m:t>RVA</m:t>
            </m:r>
          </m:e>
          <m:sub>
            <m:r>
              <w:rPr>
                <w:rFonts w:ascii="Cambria Math" w:hAnsi="Cambria Math" w:cs="Times New Roman"/>
                <w:color w:val="auto"/>
              </w:rPr>
              <m:t>rdt</m:t>
            </m:r>
          </m:sub>
        </m:sSub>
      </m:oMath>
      <w:r w:rsidRPr="002A4B19">
        <w:rPr>
          <w:rFonts w:cs="Times New Roman"/>
          <w:color w:val="auto"/>
        </w:rPr>
        <w:t>) is generated thorough combining labor (</w:t>
      </w:r>
      <m:oMath>
        <m:sSub>
          <m:sSubPr>
            <m:ctrlPr>
              <w:rPr>
                <w:rFonts w:ascii="Cambria Math" w:eastAsiaTheme="minorEastAsia" w:hAnsi="Cambria Math" w:cs="Times New Roman"/>
                <w:color w:val="auto"/>
              </w:rPr>
            </m:ctrlPr>
          </m:sSubPr>
          <m:e>
            <m:r>
              <m:rPr>
                <m:sty m:val="p"/>
              </m:rPr>
              <w:rPr>
                <w:rFonts w:ascii="Cambria Math" w:hAnsi="Cambria Math" w:cs="Times New Roman"/>
                <w:color w:val="auto"/>
              </w:rPr>
              <m:t>RLS3</m:t>
            </m:r>
          </m:e>
          <m:sub>
            <m:r>
              <w:rPr>
                <w:rFonts w:ascii="Cambria Math" w:hAnsi="Cambria Math" w:cs="Times New Roman"/>
                <w:color w:val="auto"/>
              </w:rPr>
              <m:t>rdt</m:t>
            </m:r>
          </m:sub>
        </m:sSub>
      </m:oMath>
      <w:r w:rsidRPr="002A4B19">
        <w:rPr>
          <w:rFonts w:cs="Times New Roman"/>
          <w:color w:val="auto"/>
        </w:rPr>
        <w:t xml:space="preserve">: high-skilled labor, </w:t>
      </w:r>
      <m:oMath>
        <m:sSub>
          <m:sSubPr>
            <m:ctrlPr>
              <w:rPr>
                <w:rFonts w:ascii="Cambria Math" w:eastAsiaTheme="minorEastAsia" w:hAnsi="Cambria Math" w:cs="Times New Roman"/>
                <w:color w:val="auto"/>
              </w:rPr>
            </m:ctrlPr>
          </m:sSubPr>
          <m:e>
            <m:r>
              <m:rPr>
                <m:sty m:val="p"/>
              </m:rPr>
              <w:rPr>
                <w:rFonts w:ascii="Cambria Math" w:hAnsi="Cambria Math" w:cs="Times New Roman"/>
                <w:color w:val="auto"/>
              </w:rPr>
              <m:t>RLS2</m:t>
            </m:r>
          </m:e>
          <m:sub>
            <m:r>
              <w:rPr>
                <w:rFonts w:ascii="Cambria Math" w:hAnsi="Cambria Math" w:cs="Times New Roman"/>
                <w:color w:val="auto"/>
              </w:rPr>
              <m:t>rdt</m:t>
            </m:r>
          </m:sub>
        </m:sSub>
      </m:oMath>
      <w:r w:rsidRPr="002A4B19">
        <w:rPr>
          <w:rFonts w:cs="Times New Roman"/>
          <w:color w:val="auto"/>
        </w:rPr>
        <w:t xml:space="preserve">: skilled labor, </w:t>
      </w:r>
      <m:oMath>
        <m:sSub>
          <m:sSubPr>
            <m:ctrlPr>
              <w:rPr>
                <w:rFonts w:ascii="Cambria Math" w:eastAsiaTheme="minorEastAsia" w:hAnsi="Cambria Math" w:cs="Times New Roman"/>
                <w:color w:val="auto"/>
              </w:rPr>
            </m:ctrlPr>
          </m:sSubPr>
          <m:e>
            <m:r>
              <m:rPr>
                <m:sty m:val="p"/>
              </m:rPr>
              <w:rPr>
                <w:rFonts w:ascii="Cambria Math" w:hAnsi="Cambria Math" w:cs="Times New Roman"/>
                <w:color w:val="auto"/>
              </w:rPr>
              <m:t>RLS1</m:t>
            </m:r>
          </m:e>
          <m:sub>
            <m:r>
              <w:rPr>
                <w:rFonts w:ascii="Cambria Math" w:hAnsi="Cambria Math" w:cs="Times New Roman"/>
                <w:color w:val="auto"/>
              </w:rPr>
              <m:t>rdt</m:t>
            </m:r>
          </m:sub>
        </m:sSub>
      </m:oMath>
      <w:r w:rsidRPr="002A4B19">
        <w:rPr>
          <w:rFonts w:cs="Times New Roman"/>
          <w:color w:val="auto"/>
        </w:rPr>
        <w:t>: unskilled labor for R&amp;D investment</w:t>
      </w:r>
      <w:r w:rsidR="00454632" w:rsidRPr="002A4B19">
        <w:rPr>
          <w:rFonts w:cs="Times New Roman"/>
          <w:color w:val="auto"/>
        </w:rPr>
        <w:t>s</w:t>
      </w:r>
      <w:r w:rsidRPr="002A4B19">
        <w:rPr>
          <w:rFonts w:cs="Times New Roman"/>
          <w:color w:val="auto"/>
        </w:rPr>
        <w:t>) and physical capital (</w:t>
      </w:r>
      <m:oMath>
        <m:sSub>
          <m:sSubPr>
            <m:ctrlPr>
              <w:rPr>
                <w:rFonts w:ascii="Cambria Math" w:eastAsiaTheme="minorEastAsia" w:hAnsi="Cambria Math" w:cs="Times New Roman"/>
                <w:color w:val="auto"/>
              </w:rPr>
            </m:ctrlPr>
          </m:sSubPr>
          <m:e>
            <m:r>
              <w:rPr>
                <w:rFonts w:ascii="Cambria Math" w:hAnsi="Cambria Math" w:cs="Times New Roman"/>
                <w:color w:val="auto"/>
              </w:rPr>
              <m:t>RK</m:t>
            </m:r>
          </m:e>
          <m:sub>
            <m:r>
              <w:rPr>
                <w:rFonts w:ascii="Cambria Math" w:hAnsi="Cambria Math" w:cs="Times New Roman"/>
                <w:color w:val="auto"/>
              </w:rPr>
              <m:t>rdt</m:t>
            </m:r>
          </m:sub>
        </m:sSub>
      </m:oMath>
      <w:r w:rsidRPr="002A4B19">
        <w:rPr>
          <w:rFonts w:cs="Times New Roman"/>
          <w:color w:val="auto"/>
        </w:rPr>
        <w:t>) inputs for R&amp;D. This methodological approach reflects the fact that expenditure on R&amp;D activities mainly consists of the following elements: wages for researchers; physical capital for research infrastructure, such as buildings or equipment</w:t>
      </w:r>
      <w:r w:rsidR="00454632" w:rsidRPr="002A4B19">
        <w:rPr>
          <w:rFonts w:cs="Times New Roman"/>
          <w:color w:val="auto"/>
        </w:rPr>
        <w:t>,</w:t>
      </w:r>
      <w:r w:rsidRPr="002A4B19">
        <w:rPr>
          <w:rFonts w:cs="Times New Roman"/>
          <w:color w:val="auto"/>
        </w:rPr>
        <w:t xml:space="preserve"> and other costs (Hong et al., 2014). </w:t>
      </w:r>
    </w:p>
    <w:p w:rsidR="00454632" w:rsidRPr="002A4B19" w:rsidRDefault="00454632" w:rsidP="00454632">
      <w:pPr>
        <w:pStyle w:val="Mdeck4text"/>
        <w:rPr>
          <w:rFonts w:eastAsiaTheme="minorEastAsia" w:cs="Times New Roman"/>
          <w:color w:val="auto"/>
          <w:lang w:eastAsia="ko-KR"/>
        </w:rPr>
      </w:pPr>
      <w:r w:rsidRPr="002A4B19">
        <w:rPr>
          <w:rFonts w:cs="Times New Roman"/>
          <w:color w:val="auto"/>
        </w:rPr>
        <w:t xml:space="preserve">Similar to the final goods production sector, a CES functional form has been chosen as the production function of the R&amp;D sector. </w:t>
      </w:r>
      <w:r w:rsidR="00BB24C4" w:rsidRPr="002A4B19">
        <w:rPr>
          <w:rFonts w:cs="Times New Roman"/>
          <w:color w:val="auto"/>
        </w:rPr>
        <w:t xml:space="preserve">The production structure of R&amp;D investment goods can be expressed by Equations (4) and (5). </w:t>
      </w:r>
      <w:r w:rsidRPr="002A4B19">
        <w:rPr>
          <w:rFonts w:cs="Times New Roman"/>
          <w:color w:val="auto"/>
        </w:rPr>
        <w:t>To be specific, it is assumed that a value-added composite for the R&amp;D sector (</w:t>
      </w:r>
      <m:oMath>
        <m:sSub>
          <m:sSubPr>
            <m:ctrlPr>
              <w:rPr>
                <w:rFonts w:ascii="Cambria Math" w:hAnsi="Cambria Math" w:cs="Times New Roman"/>
                <w:color w:val="auto"/>
              </w:rPr>
            </m:ctrlPr>
          </m:sSubPr>
          <m:e>
            <m:r>
              <w:rPr>
                <w:rFonts w:ascii="Cambria Math" w:hAnsi="Cambria Math" w:cs="Times New Roman"/>
                <w:color w:val="auto"/>
              </w:rPr>
              <m:t>RVA</m:t>
            </m:r>
          </m:e>
          <m:sub>
            <m:r>
              <w:rPr>
                <w:rFonts w:ascii="Cambria Math" w:hAnsi="Cambria Math" w:cs="Times New Roman"/>
                <w:color w:val="auto"/>
              </w:rPr>
              <m:t>rdt</m:t>
            </m:r>
          </m:sub>
        </m:sSub>
      </m:oMath>
      <w:r w:rsidRPr="002A4B19">
        <w:rPr>
          <w:rFonts w:cs="Times New Roman" w:hint="eastAsia"/>
          <w:color w:val="auto"/>
        </w:rPr>
        <w:t xml:space="preserve">) is comprised of a composite of high-skilled labor and </w:t>
      </w:r>
      <w:r w:rsidRPr="002A4B19">
        <w:rPr>
          <w:rFonts w:cs="Times New Roman"/>
          <w:color w:val="auto"/>
        </w:rPr>
        <w:t>physical</w:t>
      </w:r>
      <w:r w:rsidRPr="002A4B19">
        <w:rPr>
          <w:rFonts w:cs="Times New Roman" w:hint="eastAsia"/>
          <w:color w:val="auto"/>
        </w:rPr>
        <w:t xml:space="preserve"> </w:t>
      </w:r>
      <w:r w:rsidRPr="002A4B19">
        <w:rPr>
          <w:rFonts w:cs="Times New Roman"/>
          <w:color w:val="auto"/>
        </w:rPr>
        <w:t>capital (</w:t>
      </w:r>
      <m:oMath>
        <m:sSub>
          <m:sSubPr>
            <m:ctrlPr>
              <w:rPr>
                <w:rFonts w:ascii="Cambria Math" w:hAnsi="Cambria Math" w:cs="Times New Roman"/>
                <w:color w:val="auto"/>
              </w:rPr>
            </m:ctrlPr>
          </m:sSubPr>
          <m:e>
            <m:r>
              <w:rPr>
                <w:rFonts w:ascii="Cambria Math" w:hAnsi="Cambria Math" w:cs="Times New Roman"/>
                <w:color w:val="auto"/>
              </w:rPr>
              <m:t>RHK</m:t>
            </m:r>
          </m:e>
          <m:sub>
            <m:r>
              <w:rPr>
                <w:rFonts w:ascii="Cambria Math" w:hAnsi="Cambria Math" w:cs="Times New Roman"/>
                <w:color w:val="auto"/>
              </w:rPr>
              <m:t>rdt</m:t>
            </m:r>
          </m:sub>
        </m:sSub>
      </m:oMath>
      <w:r w:rsidRPr="002A4B19">
        <w:rPr>
          <w:rFonts w:cs="Times New Roman" w:hint="eastAsia"/>
          <w:color w:val="auto"/>
        </w:rPr>
        <w:t xml:space="preserve">), </w:t>
      </w:r>
      <w:r w:rsidRPr="002A4B19">
        <w:rPr>
          <w:rFonts w:cs="Times New Roman"/>
          <w:color w:val="auto"/>
        </w:rPr>
        <w:t>skilled (</w:t>
      </w:r>
      <m:oMath>
        <m:sSub>
          <m:sSubPr>
            <m:ctrlPr>
              <w:rPr>
                <w:rFonts w:ascii="Cambria Math" w:hAnsi="Cambria Math" w:cs="Times New Roman"/>
                <w:i/>
                <w:color w:val="auto"/>
              </w:rPr>
            </m:ctrlPr>
          </m:sSubPr>
          <m:e>
            <m:r>
              <w:rPr>
                <w:rFonts w:ascii="Cambria Math" w:hAnsi="Cambria Math" w:cs="Times New Roman"/>
                <w:color w:val="auto"/>
              </w:rPr>
              <m:t>RLS2</m:t>
            </m:r>
          </m:e>
          <m:sub>
            <m:r>
              <w:rPr>
                <w:rFonts w:ascii="Cambria Math" w:hAnsi="Cambria Math" w:cs="Times New Roman"/>
                <w:color w:val="auto"/>
              </w:rPr>
              <m:t>rdt</m:t>
            </m:r>
          </m:sub>
        </m:sSub>
        <m:r>
          <m:rPr>
            <m:sty m:val="p"/>
          </m:rPr>
          <w:rPr>
            <w:rFonts w:ascii="Cambria Math" w:hAnsi="Cambria Math" w:cs="Times New Roman"/>
            <w:color w:val="auto"/>
          </w:rPr>
          <m:t>)</m:t>
        </m:r>
      </m:oMath>
      <w:r w:rsidRPr="002A4B19">
        <w:rPr>
          <w:rFonts w:cs="Times New Roman"/>
          <w:color w:val="auto"/>
        </w:rPr>
        <w:t xml:space="preserve"> and unskilled labor for R&amp;D activities (</w:t>
      </w:r>
      <m:oMath>
        <m:sSub>
          <m:sSubPr>
            <m:ctrlPr>
              <w:rPr>
                <w:rFonts w:ascii="Cambria Math" w:hAnsi="Cambria Math" w:cs="Times New Roman"/>
                <w:i/>
                <w:color w:val="auto"/>
              </w:rPr>
            </m:ctrlPr>
          </m:sSubPr>
          <m:e>
            <m:r>
              <w:rPr>
                <w:rFonts w:ascii="Cambria Math" w:hAnsi="Cambria Math" w:cs="Times New Roman"/>
                <w:color w:val="auto"/>
              </w:rPr>
              <m:t>RLS1</m:t>
            </m:r>
          </m:e>
          <m:sub>
            <m:r>
              <w:rPr>
                <w:rFonts w:ascii="Cambria Math" w:hAnsi="Cambria Math" w:cs="Times New Roman"/>
                <w:color w:val="auto"/>
              </w:rPr>
              <m:t>rdt</m:t>
            </m:r>
          </m:sub>
        </m:sSub>
        <m:r>
          <m:rPr>
            <m:sty m:val="p"/>
          </m:rPr>
          <w:rPr>
            <w:rFonts w:ascii="Cambria Math" w:hAnsi="Cambria Math" w:cs="Times New Roman"/>
            <w:color w:val="auto"/>
          </w:rPr>
          <m:t>)</m:t>
        </m:r>
      </m:oMath>
      <w:r w:rsidRPr="002A4B19">
        <w:rPr>
          <w:rFonts w:cs="Times New Roman" w:hint="eastAsia"/>
          <w:color w:val="auto"/>
        </w:rPr>
        <w:t>.</w:t>
      </w:r>
      <w:r w:rsidRPr="002A4B19">
        <w:rPr>
          <w:rFonts w:cs="Times New Roman"/>
          <w:color w:val="auto"/>
        </w:rPr>
        <w:t xml:space="preserve"> Within the production structure, it is also assumed that high-skilled labor (</w:t>
      </w:r>
      <m:oMath>
        <m:sSub>
          <m:sSubPr>
            <m:ctrlPr>
              <w:rPr>
                <w:rFonts w:ascii="Cambria Math" w:hAnsi="Cambria Math" w:cs="Times New Roman"/>
                <w:i/>
                <w:color w:val="auto"/>
              </w:rPr>
            </m:ctrlPr>
          </m:sSubPr>
          <m:e>
            <m:r>
              <w:rPr>
                <w:rFonts w:ascii="Cambria Math" w:hAnsi="Cambria Math" w:cs="Times New Roman"/>
                <w:color w:val="auto"/>
              </w:rPr>
              <m:t>RLS3</m:t>
            </m:r>
          </m:e>
          <m:sub>
            <m:r>
              <w:rPr>
                <w:rFonts w:ascii="Cambria Math" w:hAnsi="Cambria Math" w:cs="Times New Roman"/>
                <w:color w:val="auto"/>
              </w:rPr>
              <m:t>rdt</m:t>
            </m:r>
          </m:sub>
        </m:sSub>
        <m:r>
          <m:rPr>
            <m:sty m:val="p"/>
          </m:rPr>
          <w:rPr>
            <w:rFonts w:ascii="Cambria Math" w:hAnsi="Cambria Math" w:cs="Times New Roman"/>
            <w:color w:val="auto"/>
          </w:rPr>
          <m:t xml:space="preserve">) </m:t>
        </m:r>
      </m:oMath>
      <w:r w:rsidRPr="002A4B19">
        <w:rPr>
          <w:rFonts w:cs="Times New Roman"/>
          <w:color w:val="auto"/>
        </w:rPr>
        <w:t>and physical capital inputs for R&amp;D activities (</w:t>
      </w:r>
      <m:oMath>
        <m:sSub>
          <m:sSubPr>
            <m:ctrlPr>
              <w:rPr>
                <w:rFonts w:ascii="Cambria Math" w:hAnsi="Cambria Math" w:cs="Times New Roman"/>
                <w:color w:val="auto"/>
              </w:rPr>
            </m:ctrlPr>
          </m:sSubPr>
          <m:e>
            <m:r>
              <w:rPr>
                <w:rFonts w:ascii="Cambria Math" w:hAnsi="Cambria Math" w:cs="Times New Roman"/>
                <w:color w:val="auto"/>
              </w:rPr>
              <m:t>RK</m:t>
            </m:r>
          </m:e>
          <m:sub>
            <m:r>
              <w:rPr>
                <w:rFonts w:ascii="Cambria Math" w:hAnsi="Cambria Math" w:cs="Times New Roman"/>
                <w:color w:val="auto"/>
              </w:rPr>
              <m:t>rdt</m:t>
            </m:r>
          </m:sub>
        </m:sSub>
      </m:oMath>
      <w:r w:rsidRPr="002A4B19">
        <w:rPr>
          <w:rFonts w:cs="Times New Roman"/>
          <w:color w:val="auto"/>
        </w:rPr>
        <w:t>) are complements, while the composite of high-skilled labor and physical capital (</w:t>
      </w:r>
      <m:oMath>
        <m:sSub>
          <m:sSubPr>
            <m:ctrlPr>
              <w:rPr>
                <w:rFonts w:ascii="Cambria Math" w:hAnsi="Cambria Math" w:cs="Times New Roman"/>
                <w:color w:val="auto"/>
              </w:rPr>
            </m:ctrlPr>
          </m:sSubPr>
          <m:e>
            <m:r>
              <w:rPr>
                <w:rFonts w:ascii="Cambria Math" w:hAnsi="Cambria Math" w:cs="Times New Roman"/>
                <w:color w:val="auto"/>
              </w:rPr>
              <m:t>RHK</m:t>
            </m:r>
          </m:e>
          <m:sub>
            <m:r>
              <w:rPr>
                <w:rFonts w:ascii="Cambria Math" w:hAnsi="Cambria Math" w:cs="Times New Roman"/>
                <w:color w:val="auto"/>
              </w:rPr>
              <m:t>rdt</m:t>
            </m:r>
          </m:sub>
        </m:sSub>
        <m:r>
          <m:rPr>
            <m:sty m:val="p"/>
          </m:rPr>
          <w:rPr>
            <w:rFonts w:ascii="Cambria Math" w:hAnsi="Cambria Math" w:cs="Times New Roman"/>
            <w:color w:val="auto"/>
          </w:rPr>
          <m:t>)</m:t>
        </m:r>
      </m:oMath>
      <w:r w:rsidRPr="002A4B19">
        <w:rPr>
          <w:rFonts w:cs="Times New Roman" w:hint="eastAsia"/>
          <w:color w:val="auto"/>
        </w:rPr>
        <w:t xml:space="preserve"> has </w:t>
      </w:r>
      <w:r w:rsidRPr="002A4B19">
        <w:rPr>
          <w:rFonts w:cs="Times New Roman"/>
          <w:color w:val="auto"/>
        </w:rPr>
        <w:t>substitutive relationships with skilled (</w:t>
      </w:r>
      <m:oMath>
        <m:sSub>
          <m:sSubPr>
            <m:ctrlPr>
              <w:rPr>
                <w:rFonts w:ascii="Cambria Math" w:hAnsi="Cambria Math" w:cs="Times New Roman"/>
                <w:i/>
                <w:color w:val="auto"/>
              </w:rPr>
            </m:ctrlPr>
          </m:sSubPr>
          <m:e>
            <m:r>
              <w:rPr>
                <w:rFonts w:ascii="Cambria Math" w:hAnsi="Cambria Math" w:cs="Times New Roman"/>
                <w:color w:val="auto"/>
              </w:rPr>
              <m:t>RLS2</m:t>
            </m:r>
          </m:e>
          <m:sub>
            <m:r>
              <w:rPr>
                <w:rFonts w:ascii="Cambria Math" w:hAnsi="Cambria Math" w:cs="Times New Roman"/>
                <w:color w:val="auto"/>
              </w:rPr>
              <m:t>rdt</m:t>
            </m:r>
          </m:sub>
        </m:sSub>
        <m:r>
          <m:rPr>
            <m:sty m:val="p"/>
          </m:rPr>
          <w:rPr>
            <w:rFonts w:ascii="Cambria Math" w:hAnsi="Cambria Math" w:cs="Times New Roman"/>
            <w:color w:val="auto"/>
          </w:rPr>
          <m:t>)</m:t>
        </m:r>
      </m:oMath>
      <w:r w:rsidRPr="002A4B19">
        <w:rPr>
          <w:rFonts w:cs="Times New Roman"/>
          <w:color w:val="auto"/>
        </w:rPr>
        <w:t xml:space="preserve"> and unskilled labor for R&amp;D investments (</w:t>
      </w:r>
      <m:oMath>
        <m:sSub>
          <m:sSubPr>
            <m:ctrlPr>
              <w:rPr>
                <w:rFonts w:ascii="Cambria Math" w:hAnsi="Cambria Math" w:cs="Times New Roman"/>
                <w:i/>
                <w:color w:val="auto"/>
              </w:rPr>
            </m:ctrlPr>
          </m:sSubPr>
          <m:e>
            <m:r>
              <w:rPr>
                <w:rFonts w:ascii="Cambria Math" w:hAnsi="Cambria Math" w:cs="Times New Roman"/>
                <w:color w:val="auto"/>
              </w:rPr>
              <m:t>RLS1</m:t>
            </m:r>
          </m:e>
          <m:sub>
            <m:r>
              <w:rPr>
                <w:rFonts w:ascii="Cambria Math" w:hAnsi="Cambria Math" w:cs="Times New Roman"/>
                <w:color w:val="auto"/>
              </w:rPr>
              <m:t>rdt</m:t>
            </m:r>
          </m:sub>
        </m:sSub>
        <m:r>
          <m:rPr>
            <m:sty m:val="p"/>
          </m:rPr>
          <w:rPr>
            <w:rFonts w:ascii="Cambria Math" w:hAnsi="Cambria Math" w:cs="Times New Roman"/>
            <w:color w:val="auto"/>
          </w:rPr>
          <m:t>)</m:t>
        </m:r>
      </m:oMath>
      <w:r w:rsidRPr="002A4B19">
        <w:rPr>
          <w:rFonts w:cs="Times New Roman" w:hint="eastAsia"/>
          <w:color w:val="auto"/>
        </w:rPr>
        <w:t>.</w:t>
      </w:r>
      <w:r w:rsidRPr="002A4B19">
        <w:rPr>
          <w:rFonts w:cs="Times New Roman"/>
          <w:color w:val="auto"/>
        </w:rPr>
        <w:t xml:space="preserve"> In this regard, the value of the elasticity of substitution between </w:t>
      </w:r>
      <m:oMath>
        <m:sSub>
          <m:sSubPr>
            <m:ctrlPr>
              <w:rPr>
                <w:rFonts w:ascii="Cambria Math" w:hAnsi="Cambria Math" w:cs="Times New Roman"/>
                <w:i/>
                <w:color w:val="auto"/>
              </w:rPr>
            </m:ctrlPr>
          </m:sSubPr>
          <m:e>
            <m:r>
              <w:rPr>
                <w:rFonts w:ascii="Cambria Math" w:hAnsi="Cambria Math" w:cs="Times New Roman"/>
                <w:color w:val="auto"/>
              </w:rPr>
              <m:t>RLS3</m:t>
            </m:r>
          </m:e>
          <m:sub>
            <m:r>
              <w:rPr>
                <w:rFonts w:ascii="Cambria Math" w:hAnsi="Cambria Math" w:cs="Times New Roman"/>
                <w:color w:val="auto"/>
              </w:rPr>
              <m:t>rdt</m:t>
            </m:r>
          </m:sub>
        </m:sSub>
      </m:oMath>
      <w:r w:rsidRPr="002A4B19">
        <w:rPr>
          <w:rFonts w:cs="Times New Roman" w:hint="eastAsia"/>
          <w:color w:val="auto"/>
        </w:rPr>
        <w:t xml:space="preserve"> and </w:t>
      </w:r>
      <m:oMath>
        <m:sSub>
          <m:sSubPr>
            <m:ctrlPr>
              <w:rPr>
                <w:rFonts w:ascii="Cambria Math" w:hAnsi="Cambria Math" w:cs="Times New Roman"/>
                <w:color w:val="auto"/>
              </w:rPr>
            </m:ctrlPr>
          </m:sSubPr>
          <m:e>
            <m:r>
              <w:rPr>
                <w:rFonts w:ascii="Cambria Math" w:hAnsi="Cambria Math" w:cs="Times New Roman"/>
                <w:color w:val="auto"/>
              </w:rPr>
              <m:t>RK</m:t>
            </m:r>
          </m:e>
          <m:sub>
            <m:r>
              <w:rPr>
                <w:rFonts w:ascii="Cambria Math" w:hAnsi="Cambria Math" w:cs="Times New Roman"/>
                <w:color w:val="auto"/>
              </w:rPr>
              <m:t>rdt</m:t>
            </m:r>
          </m:sub>
        </m:sSub>
      </m:oMath>
      <w:r w:rsidRPr="002A4B19">
        <w:rPr>
          <w:rFonts w:cs="Times New Roman" w:hint="eastAsia"/>
          <w:color w:val="auto"/>
        </w:rPr>
        <w:t xml:space="preserve"> is set to be less than 1 (</w:t>
      </w:r>
      <m:oMath>
        <m:sSub>
          <m:sSubPr>
            <m:ctrlPr>
              <w:rPr>
                <w:rFonts w:ascii="Cambria Math" w:hAnsi="Cambria Math" w:cs="Times New Roman"/>
                <w:color w:val="auto"/>
              </w:rPr>
            </m:ctrlPr>
          </m:sSubPr>
          <m:e>
            <m:r>
              <w:rPr>
                <w:rFonts w:ascii="Cambria Math" w:hAnsi="Cambria Math" w:cs="Times New Roman"/>
                <w:color w:val="auto"/>
              </w:rPr>
              <m:t>σ</m:t>
            </m:r>
          </m:e>
          <m:sub>
            <m:r>
              <m:rPr>
                <m:sty m:val="p"/>
              </m:rPr>
              <w:rPr>
                <w:rFonts w:ascii="Cambria Math" w:hAnsi="Cambria Math" w:cs="Times New Roman"/>
                <w:color w:val="auto"/>
              </w:rPr>
              <m:t>3</m:t>
            </m:r>
          </m:sub>
        </m:sSub>
        <m:r>
          <m:rPr>
            <m:sty m:val="p"/>
          </m:rPr>
          <w:rPr>
            <w:rFonts w:ascii="Cambria Math" w:hAnsi="Cambria Math" w:cs="Times New Roman"/>
            <w:color w:val="auto"/>
          </w:rPr>
          <m:t>=0.67</m:t>
        </m:r>
      </m:oMath>
      <w:r w:rsidRPr="002A4B19">
        <w:rPr>
          <w:rFonts w:cs="Times New Roman" w:hint="eastAsia"/>
          <w:color w:val="auto"/>
        </w:rPr>
        <w:t>)</w:t>
      </w:r>
      <w:r w:rsidRPr="002A4B19">
        <w:rPr>
          <w:rFonts w:cs="Times New Roman"/>
          <w:color w:val="auto"/>
        </w:rPr>
        <w:t xml:space="preserve">, while that value among </w:t>
      </w:r>
      <m:oMath>
        <m:sSub>
          <m:sSubPr>
            <m:ctrlPr>
              <w:rPr>
                <w:rFonts w:ascii="Cambria Math" w:hAnsi="Cambria Math" w:cs="Times New Roman"/>
                <w:color w:val="auto"/>
              </w:rPr>
            </m:ctrlPr>
          </m:sSubPr>
          <m:e>
            <m:r>
              <w:rPr>
                <w:rFonts w:ascii="Cambria Math" w:hAnsi="Cambria Math" w:cs="Times New Roman"/>
                <w:color w:val="auto"/>
              </w:rPr>
              <m:t>RHK</m:t>
            </m:r>
          </m:e>
          <m:sub>
            <m:r>
              <w:rPr>
                <w:rFonts w:ascii="Cambria Math" w:hAnsi="Cambria Math" w:cs="Times New Roman"/>
                <w:color w:val="auto"/>
              </w:rPr>
              <m:t>rdt</m:t>
            </m:r>
          </m:sub>
        </m:sSub>
      </m:oMath>
      <w:r w:rsidRPr="002A4B19">
        <w:rPr>
          <w:rFonts w:cs="Times New Roman" w:hint="eastAsia"/>
          <w:color w:val="auto"/>
        </w:rPr>
        <w:t xml:space="preserve">, </w:t>
      </w:r>
      <m:oMath>
        <m:sSub>
          <m:sSubPr>
            <m:ctrlPr>
              <w:rPr>
                <w:rFonts w:ascii="Cambria Math" w:hAnsi="Cambria Math" w:cs="Times New Roman"/>
                <w:i/>
                <w:color w:val="auto"/>
              </w:rPr>
            </m:ctrlPr>
          </m:sSubPr>
          <m:e>
            <m:r>
              <w:rPr>
                <w:rFonts w:ascii="Cambria Math" w:hAnsi="Cambria Math" w:cs="Times New Roman"/>
                <w:color w:val="auto"/>
              </w:rPr>
              <m:t>RLS2</m:t>
            </m:r>
          </m:e>
          <m:sub>
            <m:r>
              <w:rPr>
                <w:rFonts w:ascii="Cambria Math" w:hAnsi="Cambria Math" w:cs="Times New Roman"/>
                <w:color w:val="auto"/>
              </w:rPr>
              <m:t>rdt</m:t>
            </m:r>
          </m:sub>
        </m:sSub>
      </m:oMath>
      <w:r w:rsidRPr="002A4B19">
        <w:rPr>
          <w:rFonts w:cs="Times New Roman" w:hint="eastAsia"/>
          <w:color w:val="auto"/>
        </w:rPr>
        <w:t xml:space="preserve">, and </w:t>
      </w:r>
      <m:oMath>
        <m:sSub>
          <m:sSubPr>
            <m:ctrlPr>
              <w:rPr>
                <w:rFonts w:ascii="Cambria Math" w:hAnsi="Cambria Math" w:cs="Times New Roman"/>
                <w:i/>
                <w:color w:val="auto"/>
              </w:rPr>
            </m:ctrlPr>
          </m:sSubPr>
          <m:e>
            <m:r>
              <w:rPr>
                <w:rFonts w:ascii="Cambria Math" w:hAnsi="Cambria Math" w:cs="Times New Roman"/>
                <w:color w:val="auto"/>
              </w:rPr>
              <m:t>RLS1</m:t>
            </m:r>
          </m:e>
          <m:sub>
            <m:r>
              <w:rPr>
                <w:rFonts w:ascii="Cambria Math" w:hAnsi="Cambria Math" w:cs="Times New Roman"/>
                <w:color w:val="auto"/>
              </w:rPr>
              <m:t>rdt</m:t>
            </m:r>
          </m:sub>
        </m:sSub>
      </m:oMath>
      <w:r w:rsidRPr="002A4B19">
        <w:rPr>
          <w:rFonts w:cs="Times New Roman" w:hint="eastAsia"/>
          <w:color w:val="auto"/>
        </w:rPr>
        <w:t xml:space="preserve"> is set to be larger than 1 (</w:t>
      </w:r>
      <m:oMath>
        <m:sSub>
          <m:sSubPr>
            <m:ctrlPr>
              <w:rPr>
                <w:rFonts w:ascii="Cambria Math" w:hAnsi="Cambria Math" w:cs="Times New Roman"/>
                <w:i/>
                <w:color w:val="auto"/>
              </w:rPr>
            </m:ctrlPr>
          </m:sSubPr>
          <m:e>
            <m:r>
              <w:rPr>
                <w:rFonts w:ascii="Cambria Math" w:hAnsi="Cambria Math" w:cs="Times New Roman"/>
                <w:color w:val="auto"/>
              </w:rPr>
              <m:t>σ</m:t>
            </m:r>
          </m:e>
          <m:sub>
            <m:r>
              <w:rPr>
                <w:rFonts w:ascii="Cambria Math" w:hAnsi="Cambria Math" w:cs="Times New Roman"/>
                <w:color w:val="auto"/>
              </w:rPr>
              <m:t>2</m:t>
            </m:r>
          </m:sub>
        </m:sSub>
        <m:r>
          <m:rPr>
            <m:sty m:val="p"/>
          </m:rPr>
          <w:rPr>
            <w:rFonts w:ascii="Cambria Math" w:hAnsi="Cambria Math" w:cs="Times New Roman"/>
            <w:color w:val="auto"/>
          </w:rPr>
          <m:t>=1.1</m:t>
        </m:r>
      </m:oMath>
      <w:r w:rsidRPr="002A4B19">
        <w:rPr>
          <w:rFonts w:cs="Times New Roman" w:hint="eastAsia"/>
          <w:color w:val="auto"/>
        </w:rPr>
        <w:t>0)</w:t>
      </w:r>
      <w:r w:rsidRPr="002A4B19">
        <w:rPr>
          <w:rFonts w:cs="Times New Roman"/>
          <w:color w:val="auto"/>
        </w:rPr>
        <w:t>. These methodological settings reflect the SBTC and capital-biased technical change within the R&amp;D sector. The values of substitution elasticities are adopted from previous studies (Krusell et al., 2000; Hwang et al., 2008; Hong et al., 2014).</w:t>
      </w:r>
    </w:p>
    <w:p w:rsidR="00454632" w:rsidRPr="002A4B19" w:rsidRDefault="00454632" w:rsidP="00BB24C4">
      <w:pPr>
        <w:pStyle w:val="Mdeck4text"/>
        <w:rPr>
          <w:rFonts w:cs="Times New Roman"/>
          <w:color w:val="auto"/>
        </w:rPr>
      </w:pPr>
    </w:p>
    <w:p w:rsidR="00BB24C4" w:rsidRPr="002A4B19" w:rsidRDefault="00137228" w:rsidP="00BB24C4">
      <w:pPr>
        <w:pStyle w:val="Mdeck4text"/>
        <w:ind w:firstLine="0"/>
        <w:jc w:val="left"/>
        <w:rPr>
          <w:rFonts w:eastAsiaTheme="minorEastAsia" w:cs="Times New Roman"/>
          <w:color w:val="auto"/>
          <w:sz w:val="22"/>
          <w:lang w:eastAsia="ko-KR"/>
        </w:rPr>
      </w:pPr>
      <m:oMath>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lang w:eastAsia="ko-KR"/>
              </w:rPr>
              <m:t>RDZ</m:t>
            </m:r>
          </m:e>
          <m:sub>
            <m:r>
              <w:rPr>
                <w:rFonts w:ascii="Cambria Math" w:eastAsiaTheme="minorEastAsia" w:hAnsi="Cambria Math" w:cs="Times New Roman"/>
                <w:color w:val="auto"/>
                <w:sz w:val="22"/>
                <w:lang w:eastAsia="ko-KR"/>
              </w:rPr>
              <m:t>rdt</m:t>
            </m:r>
          </m:sub>
        </m:sSub>
        <m:r>
          <w:rPr>
            <w:rFonts w:ascii="Cambria Math" w:eastAsiaTheme="minorEastAsia" w:hAnsi="Cambria Math" w:cs="Times New Roman"/>
            <w:color w:val="auto"/>
            <w:sz w:val="22"/>
            <w:lang w:eastAsia="ko-KR"/>
          </w:rPr>
          <m:t>=</m:t>
        </m:r>
        <m:func>
          <m:funcPr>
            <m:ctrlPr>
              <w:rPr>
                <w:rFonts w:ascii="Cambria Math" w:eastAsiaTheme="minorEastAsia" w:hAnsi="Cambria Math" w:cs="Times New Roman"/>
                <w:i/>
                <w:color w:val="auto"/>
                <w:sz w:val="22"/>
                <w:szCs w:val="22"/>
              </w:rPr>
            </m:ctrlPr>
          </m:funcPr>
          <m:fName>
            <m:r>
              <w:rPr>
                <w:rFonts w:ascii="Cambria Math" w:eastAsiaTheme="minorEastAsia" w:hAnsi="Cambria Math" w:cs="Times New Roman"/>
                <w:color w:val="auto"/>
                <w:sz w:val="22"/>
                <w:lang w:eastAsia="ko-KR"/>
              </w:rPr>
              <m:t>min</m:t>
            </m:r>
          </m:fName>
          <m:e>
            <m:r>
              <w:rPr>
                <w:rFonts w:ascii="Cambria Math" w:eastAsiaTheme="minorEastAsia" w:hAnsi="Cambria Math" w:cs="Times New Roman"/>
                <w:color w:val="auto"/>
                <w:sz w:val="22"/>
                <w:lang w:eastAsia="ko-KR"/>
              </w:rPr>
              <m:t>[</m:t>
            </m:r>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lang w:eastAsia="ko-KR"/>
                  </w:rPr>
                  <m:t>XVRD</m:t>
                </m:r>
              </m:e>
              <m:sub>
                <m:r>
                  <w:rPr>
                    <w:rFonts w:ascii="Cambria Math" w:eastAsiaTheme="minorEastAsia" w:hAnsi="Cambria Math" w:cs="Times New Roman"/>
                    <w:color w:val="auto"/>
                    <w:sz w:val="22"/>
                    <w:lang w:eastAsia="ko-KR"/>
                  </w:rPr>
                  <m:t>rdt</m:t>
                </m:r>
              </m:sub>
            </m:sSub>
            <m:r>
              <w:rPr>
                <w:rFonts w:ascii="Cambria Math" w:eastAsiaTheme="minorEastAsia" w:hAnsi="Cambria Math" w:cs="Times New Roman"/>
                <w:color w:val="auto"/>
                <w:sz w:val="22"/>
                <w:lang w:eastAsia="ko-KR"/>
              </w:rPr>
              <m:t>/</m:t>
            </m:r>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lang w:eastAsia="ko-KR"/>
                  </w:rPr>
                  <m:t>axrd</m:t>
                </m:r>
              </m:e>
              <m:sub>
                <m:r>
                  <w:rPr>
                    <w:rFonts w:ascii="Cambria Math" w:eastAsiaTheme="minorEastAsia" w:hAnsi="Cambria Math" w:cs="Times New Roman"/>
                    <w:color w:val="auto"/>
                    <w:sz w:val="22"/>
                    <w:lang w:eastAsia="ko-KR"/>
                  </w:rPr>
                  <m:t>rdt</m:t>
                </m:r>
              </m:sub>
            </m:sSub>
            <m:r>
              <w:rPr>
                <w:rFonts w:ascii="Cambria Math" w:eastAsiaTheme="minorEastAsia" w:hAnsi="Cambria Math" w:cs="Times New Roman"/>
                <w:color w:val="auto"/>
                <w:sz w:val="22"/>
                <w:lang w:eastAsia="ko-KR"/>
              </w:rPr>
              <m:t xml:space="preserve">, </m:t>
            </m:r>
          </m:e>
        </m:func>
        <m:r>
          <w:rPr>
            <w:rFonts w:ascii="Cambria Math" w:eastAsiaTheme="minorEastAsia" w:hAnsi="Cambria Math" w:cs="Times New Roman"/>
            <w:color w:val="auto"/>
            <w:sz w:val="22"/>
            <w:lang w:eastAsia="ko-KR"/>
          </w:rPr>
          <m:t xml:space="preserve"> </m:t>
        </m:r>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lang w:eastAsia="ko-KR"/>
              </w:rPr>
              <m:t>RVA</m:t>
            </m:r>
          </m:e>
          <m:sub>
            <m:r>
              <w:rPr>
                <w:rFonts w:ascii="Cambria Math" w:eastAsiaTheme="minorEastAsia" w:hAnsi="Cambria Math" w:cs="Times New Roman"/>
                <w:color w:val="auto"/>
                <w:sz w:val="22"/>
                <w:lang w:eastAsia="ko-KR"/>
              </w:rPr>
              <m:t>rdt</m:t>
            </m:r>
          </m:sub>
        </m:sSub>
        <m:r>
          <w:rPr>
            <w:rFonts w:ascii="Cambria Math" w:eastAsiaTheme="minorEastAsia" w:hAnsi="Cambria Math" w:cs="Times New Roman"/>
            <w:color w:val="auto"/>
            <w:sz w:val="22"/>
            <w:lang w:eastAsia="ko-KR"/>
          </w:rPr>
          <m:t>/</m:t>
        </m:r>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lang w:eastAsia="ko-KR"/>
              </w:rPr>
              <m:t>arva</m:t>
            </m:r>
          </m:e>
          <m:sub>
            <m:r>
              <w:rPr>
                <w:rFonts w:ascii="Cambria Math" w:eastAsiaTheme="minorEastAsia" w:hAnsi="Cambria Math" w:cs="Times New Roman"/>
                <w:color w:val="auto"/>
                <w:sz w:val="22"/>
                <w:lang w:eastAsia="ko-KR"/>
              </w:rPr>
              <m:t>rdt</m:t>
            </m:r>
          </m:sub>
        </m:sSub>
      </m:oMath>
      <w:r w:rsidR="00BB24C4" w:rsidRPr="002A4B19">
        <w:rPr>
          <w:rFonts w:eastAsiaTheme="minorEastAsia" w:cs="Times New Roman"/>
          <w:i/>
          <w:color w:val="auto"/>
          <w:sz w:val="22"/>
          <w:lang w:eastAsia="ko-KR"/>
        </w:rPr>
        <w:t>]</w:t>
      </w:r>
      <w:r w:rsidR="00BB24C4" w:rsidRPr="002A4B19">
        <w:rPr>
          <w:rFonts w:eastAsiaTheme="minorEastAsia" w:cs="Times New Roman"/>
          <w:color w:val="auto"/>
          <w:sz w:val="22"/>
          <w:lang w:eastAsia="ko-KR"/>
        </w:rPr>
        <w:t xml:space="preserve">                              Eq. (4)</w:t>
      </w:r>
    </w:p>
    <w:p w:rsidR="00BB24C4" w:rsidRPr="002A4B19" w:rsidRDefault="00BB24C4" w:rsidP="00BB24C4">
      <w:pPr>
        <w:pStyle w:val="Mdeck4text"/>
        <w:ind w:firstLine="0"/>
        <w:jc w:val="left"/>
        <w:rPr>
          <w:rFonts w:eastAsiaTheme="minorEastAsia" w:cs="Times New Roman"/>
          <w:color w:val="auto"/>
          <w:lang w:eastAsia="ko-KR"/>
        </w:rPr>
      </w:pPr>
    </w:p>
    <w:p w:rsidR="00BB24C4" w:rsidRPr="002A4B19" w:rsidRDefault="00137228" w:rsidP="00BB24C4">
      <w:pPr>
        <w:pStyle w:val="Mdeck4text"/>
        <w:ind w:firstLineChars="50" w:firstLine="105"/>
        <w:jc w:val="left"/>
        <w:rPr>
          <w:rFonts w:eastAsiaTheme="minorEastAsia" w:cs="Times New Roman"/>
          <w:i/>
          <w:color w:val="auto"/>
          <w:sz w:val="21"/>
          <w:szCs w:val="21"/>
          <w:lang w:eastAsia="ko-KR"/>
        </w:rPr>
      </w:pPr>
      <m:oMathPara>
        <m:oMathParaPr>
          <m:jc m:val="left"/>
        </m:oMathParaPr>
        <m:oMath>
          <m:sSub>
            <m:sSubPr>
              <m:ctrlPr>
                <w:rPr>
                  <w:rFonts w:ascii="Cambria Math" w:eastAsiaTheme="minorEastAsia" w:hAnsi="Cambria Math" w:cs="Times New Roman"/>
                  <w:bCs/>
                  <w:i/>
                  <w:iCs/>
                  <w:color w:val="auto"/>
                  <w:sz w:val="21"/>
                  <w:szCs w:val="21"/>
                </w:rPr>
              </m:ctrlPr>
            </m:sSubPr>
            <m:e>
              <m:r>
                <w:rPr>
                  <w:rFonts w:ascii="Cambria Math" w:eastAsiaTheme="minorEastAsia" w:hAnsi="Cambria Math" w:cs="Times New Roman"/>
                  <w:color w:val="auto"/>
                  <w:sz w:val="21"/>
                  <w:szCs w:val="21"/>
                  <w:lang w:eastAsia="ko-KR"/>
                </w:rPr>
                <m:t>RVA</m:t>
              </m:r>
            </m:e>
            <m:sub>
              <m:r>
                <w:rPr>
                  <w:rFonts w:ascii="Cambria Math" w:eastAsiaTheme="minorEastAsia" w:hAnsi="Cambria Math" w:cs="Times New Roman"/>
                  <w:color w:val="auto"/>
                  <w:sz w:val="21"/>
                  <w:szCs w:val="21"/>
                  <w:lang w:eastAsia="ko-KR"/>
                </w:rPr>
                <m:t>rdt</m:t>
              </m:r>
            </m:sub>
          </m:sSub>
          <m:r>
            <w:rPr>
              <w:rFonts w:ascii="Cambria Math" w:eastAsiaTheme="minorEastAsia" w:hAnsi="Cambria Math" w:cs="Times New Roman"/>
              <w:color w:val="auto"/>
              <w:sz w:val="21"/>
              <w:szCs w:val="21"/>
              <w:lang w:eastAsia="ko-KR"/>
            </w:rPr>
            <m:t>=</m:t>
          </m:r>
          <m:sSup>
            <m:sSupPr>
              <m:ctrlPr>
                <w:rPr>
                  <w:rFonts w:ascii="Cambria Math" w:eastAsiaTheme="minorEastAsia" w:hAnsi="Cambria Math" w:cs="Times New Roman"/>
                  <w:bCs/>
                  <w:i/>
                  <w:iCs/>
                  <w:color w:val="auto"/>
                  <w:sz w:val="21"/>
                  <w:szCs w:val="21"/>
                </w:rPr>
              </m:ctrlPr>
            </m:sSupPr>
            <m:e>
              <m:r>
                <w:rPr>
                  <w:rFonts w:ascii="Cambria Math" w:eastAsiaTheme="minorEastAsia" w:hAnsi="Cambria Math" w:cs="Times New Roman"/>
                  <w:color w:val="auto"/>
                  <w:sz w:val="21"/>
                  <w:szCs w:val="21"/>
                  <w:lang w:eastAsia="ko-KR"/>
                </w:rPr>
                <m:t>φ</m:t>
              </m:r>
              <m:sSub>
                <m:sSubPr>
                  <m:ctrlPr>
                    <w:rPr>
                      <w:rFonts w:ascii="Cambria Math" w:eastAsiaTheme="minorEastAsia" w:hAnsi="Cambria Math" w:cs="Times New Roman"/>
                      <w:bCs/>
                      <w:i/>
                      <w:iCs/>
                      <w:color w:val="auto"/>
                      <w:sz w:val="21"/>
                      <w:szCs w:val="21"/>
                    </w:rPr>
                  </m:ctrlPr>
                </m:sSubPr>
                <m:e>
                  <m:r>
                    <w:rPr>
                      <w:rFonts w:ascii="Cambria Math" w:eastAsiaTheme="minorEastAsia" w:hAnsi="Cambria Math" w:cs="Times New Roman"/>
                      <w:color w:val="auto"/>
                      <w:sz w:val="21"/>
                      <w:szCs w:val="21"/>
                      <w:lang w:eastAsia="ko-KR"/>
                    </w:rPr>
                    <m:t>20</m:t>
                  </m:r>
                </m:e>
                <m:sub>
                  <m:r>
                    <w:rPr>
                      <w:rFonts w:ascii="Cambria Math" w:eastAsiaTheme="minorEastAsia" w:hAnsi="Cambria Math" w:cs="Times New Roman"/>
                      <w:color w:val="auto"/>
                      <w:sz w:val="21"/>
                      <w:szCs w:val="21"/>
                      <w:lang w:eastAsia="ko-KR"/>
                    </w:rPr>
                    <m:t>rdt</m:t>
                  </m:r>
                </m:sub>
              </m:sSub>
              <m:r>
                <w:rPr>
                  <w:rFonts w:ascii="Cambria Math" w:eastAsiaTheme="minorEastAsia" w:hAnsi="Cambria Math" w:cs="Times New Roman"/>
                  <w:color w:val="auto"/>
                  <w:sz w:val="21"/>
                  <w:szCs w:val="21"/>
                  <w:lang w:eastAsia="ko-KR"/>
                </w:rPr>
                <m:t>∙(</m:t>
              </m:r>
              <m:sSub>
                <m:sSubPr>
                  <m:ctrlPr>
                    <w:rPr>
                      <w:rFonts w:ascii="Cambria Math" w:hAnsi="Cambria Math" w:cs="Times New Roman"/>
                      <w:bCs/>
                      <w:i/>
                      <w:iCs/>
                      <w:color w:val="auto"/>
                      <w:sz w:val="21"/>
                      <w:szCs w:val="21"/>
                    </w:rPr>
                  </m:ctrlPr>
                </m:sSubPr>
                <m:e>
                  <m:r>
                    <w:rPr>
                      <w:rFonts w:ascii="Cambria Math" w:eastAsia="맑은 고딕" w:hAnsi="Cambria Math" w:cs="Times New Roman"/>
                      <w:color w:val="auto"/>
                      <w:sz w:val="21"/>
                      <w:szCs w:val="21"/>
                      <w:lang w:eastAsia="ko-KR"/>
                    </w:rPr>
                    <m:t>Ψ</m:t>
                  </m:r>
                  <m:r>
                    <w:rPr>
                      <w:rFonts w:ascii="Cambria Math" w:eastAsiaTheme="minorEastAsia" w:hAnsi="Cambria Math" w:cs="Times New Roman"/>
                      <w:color w:val="auto"/>
                      <w:sz w:val="21"/>
                      <w:szCs w:val="21"/>
                      <w:lang w:eastAsia="ko-KR"/>
                    </w:rPr>
                    <m:t>20</m:t>
                  </m:r>
                </m:e>
                <m:sub>
                  <m:r>
                    <w:rPr>
                      <w:rFonts w:ascii="Cambria Math" w:eastAsia="맑은 고딕" w:hAnsi="Cambria Math" w:cs="Times New Roman"/>
                      <w:color w:val="auto"/>
                      <w:sz w:val="21"/>
                      <w:szCs w:val="21"/>
                      <w:lang w:eastAsia="ko-KR"/>
                    </w:rPr>
                    <m:t>rdt</m:t>
                  </m:r>
                </m:sub>
              </m:sSub>
              <m:r>
                <w:rPr>
                  <w:rFonts w:ascii="Cambria Math" w:eastAsiaTheme="minorEastAsia" w:hAnsi="Cambria Math" w:cs="Times New Roman"/>
                  <w:color w:val="auto"/>
                  <w:sz w:val="21"/>
                  <w:szCs w:val="21"/>
                  <w:lang w:eastAsia="ko-KR"/>
                </w:rPr>
                <m:t>∙</m:t>
              </m:r>
              <m:sSubSup>
                <m:sSubSupPr>
                  <m:ctrlPr>
                    <w:rPr>
                      <w:rFonts w:ascii="Cambria Math" w:eastAsiaTheme="minorEastAsia" w:hAnsi="Cambria Math" w:cs="Times New Roman"/>
                      <w:bCs/>
                      <w:i/>
                      <w:iCs/>
                      <w:color w:val="auto"/>
                      <w:sz w:val="21"/>
                      <w:szCs w:val="21"/>
                    </w:rPr>
                  </m:ctrlPr>
                </m:sSubSupPr>
                <m:e>
                  <m:r>
                    <w:rPr>
                      <w:rFonts w:ascii="Cambria Math" w:eastAsiaTheme="minorEastAsia" w:hAnsi="Cambria Math" w:cs="Times New Roman"/>
                      <w:color w:val="auto"/>
                      <w:sz w:val="21"/>
                      <w:szCs w:val="21"/>
                      <w:lang w:eastAsia="ko-KR"/>
                    </w:rPr>
                    <m:t>RLS1</m:t>
                  </m:r>
                </m:e>
                <m:sub>
                  <m:r>
                    <w:rPr>
                      <w:rFonts w:ascii="Cambria Math" w:eastAsiaTheme="minorEastAsia" w:hAnsi="Cambria Math" w:cs="Times New Roman"/>
                      <w:color w:val="auto"/>
                      <w:sz w:val="21"/>
                      <w:szCs w:val="21"/>
                      <w:lang w:eastAsia="ko-KR"/>
                    </w:rPr>
                    <m:t>rdt</m:t>
                  </m:r>
                </m:sub>
                <m:sup>
                  <m:r>
                    <w:rPr>
                      <w:rFonts w:ascii="Cambria Math" w:eastAsiaTheme="minorEastAsia" w:hAnsi="Cambria Math" w:cs="Times New Roman"/>
                      <w:color w:val="auto"/>
                      <w:sz w:val="21"/>
                      <w:szCs w:val="21"/>
                      <w:lang w:eastAsia="ko-KR"/>
                    </w:rPr>
                    <m:t>-ρ3</m:t>
                  </m:r>
                </m:sup>
              </m:sSubSup>
              <m:r>
                <w:rPr>
                  <w:rFonts w:ascii="Cambria Math" w:eastAsiaTheme="minorEastAsia" w:hAnsi="Cambria Math" w:cs="Times New Roman"/>
                  <w:color w:val="auto"/>
                  <w:sz w:val="21"/>
                  <w:szCs w:val="21"/>
                  <w:lang w:eastAsia="ko-KR"/>
                </w:rPr>
                <m:t>+</m:t>
              </m:r>
              <m:sSub>
                <m:sSubPr>
                  <m:ctrlPr>
                    <w:rPr>
                      <w:rFonts w:ascii="Cambria Math" w:hAnsi="Cambria Math" w:cs="Times New Roman"/>
                      <w:bCs/>
                      <w:i/>
                      <w:iCs/>
                      <w:color w:val="auto"/>
                      <w:sz w:val="21"/>
                      <w:szCs w:val="21"/>
                    </w:rPr>
                  </m:ctrlPr>
                </m:sSubPr>
                <m:e>
                  <m:r>
                    <w:rPr>
                      <w:rFonts w:ascii="Cambria Math" w:eastAsia="맑은 고딕" w:hAnsi="Cambria Math" w:cs="Times New Roman"/>
                      <w:color w:val="auto"/>
                      <w:sz w:val="21"/>
                      <w:szCs w:val="21"/>
                      <w:lang w:eastAsia="ko-KR"/>
                    </w:rPr>
                    <m:t>Ψ</m:t>
                  </m:r>
                  <m:r>
                    <w:rPr>
                      <w:rFonts w:ascii="Cambria Math" w:eastAsiaTheme="minorEastAsia" w:hAnsi="Cambria Math" w:cs="Times New Roman"/>
                      <w:color w:val="auto"/>
                      <w:sz w:val="21"/>
                      <w:szCs w:val="21"/>
                      <w:lang w:eastAsia="ko-KR"/>
                    </w:rPr>
                    <m:t>30</m:t>
                  </m:r>
                </m:e>
                <m:sub>
                  <m:r>
                    <w:rPr>
                      <w:rFonts w:ascii="Cambria Math" w:eastAsia="맑은 고딕" w:hAnsi="Cambria Math" w:cs="Times New Roman"/>
                      <w:color w:val="auto"/>
                      <w:sz w:val="21"/>
                      <w:szCs w:val="21"/>
                      <w:lang w:eastAsia="ko-KR"/>
                    </w:rPr>
                    <m:t>rdt</m:t>
                  </m:r>
                </m:sub>
              </m:sSub>
              <m:r>
                <w:rPr>
                  <w:rFonts w:ascii="Cambria Math" w:eastAsiaTheme="minorEastAsia" w:hAnsi="Cambria Math" w:cs="Times New Roman"/>
                  <w:color w:val="auto"/>
                  <w:sz w:val="21"/>
                  <w:szCs w:val="21"/>
                  <w:lang w:eastAsia="ko-KR"/>
                </w:rPr>
                <m:t>∙</m:t>
              </m:r>
              <m:sSubSup>
                <m:sSubSupPr>
                  <m:ctrlPr>
                    <w:rPr>
                      <w:rFonts w:ascii="Cambria Math" w:eastAsiaTheme="minorEastAsia" w:hAnsi="Cambria Math" w:cs="Times New Roman"/>
                      <w:bCs/>
                      <w:i/>
                      <w:iCs/>
                      <w:color w:val="auto"/>
                      <w:sz w:val="21"/>
                      <w:szCs w:val="21"/>
                    </w:rPr>
                  </m:ctrlPr>
                </m:sSubSupPr>
                <m:e>
                  <m:r>
                    <w:rPr>
                      <w:rFonts w:ascii="Cambria Math" w:eastAsiaTheme="minorEastAsia" w:hAnsi="Cambria Math" w:cs="Times New Roman"/>
                      <w:color w:val="auto"/>
                      <w:sz w:val="21"/>
                      <w:szCs w:val="21"/>
                      <w:lang w:eastAsia="ko-KR"/>
                    </w:rPr>
                    <m:t>RLS2</m:t>
                  </m:r>
                </m:e>
                <m:sub>
                  <m:r>
                    <w:rPr>
                      <w:rFonts w:ascii="Cambria Math" w:eastAsiaTheme="minorEastAsia" w:hAnsi="Cambria Math" w:cs="Times New Roman"/>
                      <w:color w:val="auto"/>
                      <w:sz w:val="21"/>
                      <w:szCs w:val="21"/>
                      <w:lang w:eastAsia="ko-KR"/>
                    </w:rPr>
                    <m:t>rdt</m:t>
                  </m:r>
                </m:sub>
                <m:sup>
                  <m:r>
                    <w:rPr>
                      <w:rFonts w:ascii="Cambria Math" w:eastAsiaTheme="minorEastAsia" w:hAnsi="Cambria Math" w:cs="Times New Roman"/>
                      <w:color w:val="auto"/>
                      <w:sz w:val="21"/>
                      <w:szCs w:val="21"/>
                      <w:lang w:eastAsia="ko-KR"/>
                    </w:rPr>
                    <m:t>-ρ3</m:t>
                  </m:r>
                </m:sup>
              </m:sSubSup>
              <m:r>
                <w:rPr>
                  <w:rFonts w:ascii="Cambria Math" w:eastAsiaTheme="minorEastAsia" w:hAnsi="Cambria Math" w:cs="Times New Roman"/>
                  <w:color w:val="auto"/>
                  <w:sz w:val="21"/>
                  <w:szCs w:val="21"/>
                  <w:lang w:eastAsia="ko-KR"/>
                </w:rPr>
                <m:t>+(1-</m:t>
              </m:r>
              <m:sSub>
                <m:sSubPr>
                  <m:ctrlPr>
                    <w:rPr>
                      <w:rFonts w:ascii="Cambria Math" w:hAnsi="Cambria Math" w:cs="Times New Roman"/>
                      <w:bCs/>
                      <w:i/>
                      <w:iCs/>
                      <w:color w:val="auto"/>
                      <w:sz w:val="21"/>
                      <w:szCs w:val="21"/>
                    </w:rPr>
                  </m:ctrlPr>
                </m:sSubPr>
                <m:e>
                  <m:r>
                    <w:rPr>
                      <w:rFonts w:ascii="Cambria Math" w:eastAsia="맑은 고딕" w:hAnsi="Cambria Math" w:cs="Times New Roman"/>
                      <w:color w:val="auto"/>
                      <w:sz w:val="21"/>
                      <w:szCs w:val="21"/>
                      <w:lang w:eastAsia="ko-KR"/>
                    </w:rPr>
                    <m:t>Ψ</m:t>
                  </m:r>
                  <m:r>
                    <w:rPr>
                      <w:rFonts w:ascii="Cambria Math" w:eastAsiaTheme="minorEastAsia" w:hAnsi="Cambria Math" w:cs="Times New Roman"/>
                      <w:color w:val="auto"/>
                      <w:sz w:val="21"/>
                      <w:szCs w:val="21"/>
                      <w:lang w:eastAsia="ko-KR"/>
                    </w:rPr>
                    <m:t>20</m:t>
                  </m:r>
                </m:e>
                <m:sub>
                  <m:r>
                    <w:rPr>
                      <w:rFonts w:ascii="Cambria Math" w:eastAsia="맑은 고딕" w:hAnsi="Cambria Math" w:cs="Times New Roman"/>
                      <w:color w:val="auto"/>
                      <w:sz w:val="21"/>
                      <w:szCs w:val="21"/>
                      <w:lang w:eastAsia="ko-KR"/>
                    </w:rPr>
                    <m:t>rdt</m:t>
                  </m:r>
                </m:sub>
              </m:sSub>
              <m:r>
                <w:rPr>
                  <w:rFonts w:ascii="Cambria Math" w:eastAsia="맑은 고딕" w:hAnsi="Cambria Math" w:cs="Times New Roman"/>
                  <w:color w:val="auto"/>
                  <w:sz w:val="21"/>
                  <w:szCs w:val="21"/>
                  <w:lang w:eastAsia="ko-KR"/>
                </w:rPr>
                <m:t>-</m:t>
              </m:r>
              <m:sSub>
                <m:sSubPr>
                  <m:ctrlPr>
                    <w:rPr>
                      <w:rFonts w:ascii="Cambria Math" w:hAnsi="Cambria Math" w:cs="Times New Roman"/>
                      <w:bCs/>
                      <w:i/>
                      <w:iCs/>
                      <w:color w:val="auto"/>
                      <w:sz w:val="21"/>
                      <w:szCs w:val="21"/>
                    </w:rPr>
                  </m:ctrlPr>
                </m:sSubPr>
                <m:e>
                  <m:r>
                    <w:rPr>
                      <w:rFonts w:ascii="Cambria Math" w:eastAsia="맑은 고딕" w:hAnsi="Cambria Math" w:cs="Times New Roman"/>
                      <w:color w:val="auto"/>
                      <w:sz w:val="21"/>
                      <w:szCs w:val="21"/>
                      <w:lang w:eastAsia="ko-KR"/>
                    </w:rPr>
                    <m:t>Ψ</m:t>
                  </m:r>
                  <m:r>
                    <w:rPr>
                      <w:rFonts w:ascii="Cambria Math" w:eastAsiaTheme="minorEastAsia" w:hAnsi="Cambria Math" w:cs="Times New Roman"/>
                      <w:color w:val="auto"/>
                      <w:sz w:val="21"/>
                      <w:szCs w:val="21"/>
                      <w:lang w:eastAsia="ko-KR"/>
                    </w:rPr>
                    <m:t>30</m:t>
                  </m:r>
                </m:e>
                <m:sub>
                  <m:r>
                    <w:rPr>
                      <w:rFonts w:ascii="Cambria Math" w:eastAsia="맑은 고딕" w:hAnsi="Cambria Math" w:cs="Times New Roman"/>
                      <w:color w:val="auto"/>
                      <w:sz w:val="21"/>
                      <w:szCs w:val="21"/>
                      <w:lang w:eastAsia="ko-KR"/>
                    </w:rPr>
                    <m:t>rdt</m:t>
                  </m:r>
                </m:sub>
              </m:sSub>
              <m:r>
                <w:rPr>
                  <w:rFonts w:ascii="Cambria Math" w:eastAsia="맑은 고딕" w:hAnsi="Cambria Math" w:cs="Times New Roman"/>
                  <w:color w:val="auto"/>
                  <w:sz w:val="21"/>
                  <w:szCs w:val="21"/>
                  <w:lang w:eastAsia="ko-KR"/>
                </w:rPr>
                <m:t>)</m:t>
              </m:r>
              <m:r>
                <w:rPr>
                  <w:rFonts w:ascii="Cambria Math" w:eastAsiaTheme="minorEastAsia" w:hAnsi="Cambria Math" w:cs="Times New Roman"/>
                  <w:color w:val="auto"/>
                  <w:sz w:val="21"/>
                  <w:szCs w:val="21"/>
                  <w:lang w:eastAsia="ko-KR"/>
                </w:rPr>
                <m:t>∙</m:t>
              </m:r>
              <m:sSubSup>
                <m:sSubSupPr>
                  <m:ctrlPr>
                    <w:rPr>
                      <w:rFonts w:ascii="Cambria Math" w:eastAsiaTheme="minorEastAsia" w:hAnsi="Cambria Math" w:cs="Times New Roman"/>
                      <w:bCs/>
                      <w:i/>
                      <w:iCs/>
                      <w:color w:val="auto"/>
                      <w:sz w:val="21"/>
                      <w:szCs w:val="21"/>
                    </w:rPr>
                  </m:ctrlPr>
                </m:sSubSupPr>
                <m:e>
                  <m:r>
                    <w:rPr>
                      <w:rFonts w:ascii="Cambria Math" w:eastAsiaTheme="minorEastAsia" w:hAnsi="Cambria Math" w:cs="Times New Roman"/>
                      <w:color w:val="auto"/>
                      <w:sz w:val="21"/>
                      <w:szCs w:val="21"/>
                      <w:lang w:eastAsia="ko-KR"/>
                    </w:rPr>
                    <m:t>RHK</m:t>
                  </m:r>
                </m:e>
                <m:sub>
                  <m:r>
                    <w:rPr>
                      <w:rFonts w:ascii="Cambria Math" w:eastAsiaTheme="minorEastAsia" w:hAnsi="Cambria Math" w:cs="Times New Roman"/>
                      <w:color w:val="auto"/>
                      <w:sz w:val="21"/>
                      <w:szCs w:val="21"/>
                      <w:lang w:eastAsia="ko-KR"/>
                    </w:rPr>
                    <m:t>rdt</m:t>
                  </m:r>
                </m:sub>
                <m:sup>
                  <m:r>
                    <w:rPr>
                      <w:rFonts w:ascii="Cambria Math" w:eastAsiaTheme="minorEastAsia" w:hAnsi="Cambria Math" w:cs="Times New Roman"/>
                      <w:color w:val="auto"/>
                      <w:sz w:val="21"/>
                      <w:szCs w:val="21"/>
                      <w:lang w:eastAsia="ko-KR"/>
                    </w:rPr>
                    <m:t>-ρ3</m:t>
                  </m:r>
                </m:sup>
              </m:sSubSup>
              <m:r>
                <w:rPr>
                  <w:rFonts w:ascii="Cambria Math" w:eastAsiaTheme="minorEastAsia" w:hAnsi="Cambria Math" w:cs="Times New Roman"/>
                  <w:color w:val="auto"/>
                  <w:sz w:val="21"/>
                  <w:szCs w:val="21"/>
                  <w:lang w:eastAsia="ko-KR"/>
                </w:rPr>
                <m:t>)</m:t>
              </m:r>
            </m:e>
            <m:sup>
              <m:r>
                <w:rPr>
                  <w:rFonts w:ascii="Cambria Math" w:eastAsiaTheme="minorEastAsia" w:hAnsi="Cambria Math" w:cs="Times New Roman"/>
                  <w:color w:val="auto"/>
                  <w:sz w:val="21"/>
                  <w:szCs w:val="21"/>
                  <w:lang w:eastAsia="ko-KR"/>
                </w:rPr>
                <m:t>-1/ρ3</m:t>
              </m:r>
            </m:sup>
          </m:sSup>
        </m:oMath>
      </m:oMathPara>
    </w:p>
    <w:p w:rsidR="00BB24C4" w:rsidRPr="002A4B19" w:rsidRDefault="00137228" w:rsidP="00BB24C4">
      <w:pPr>
        <w:pStyle w:val="Mdeck4text"/>
        <w:ind w:firstLine="0"/>
        <w:jc w:val="left"/>
        <w:rPr>
          <w:rFonts w:eastAsiaTheme="minorEastAsia" w:cs="Times New Roman"/>
          <w:color w:val="auto"/>
          <w:sz w:val="22"/>
          <w:lang w:eastAsia="ko-KR"/>
        </w:rPr>
      </w:pPr>
      <m:oMath>
        <m:sSub>
          <m:sSubPr>
            <m:ctrlPr>
              <w:rPr>
                <w:rFonts w:ascii="Cambria Math" w:eastAsiaTheme="minorEastAsia" w:hAnsi="Cambria Math" w:cs="Times New Roman"/>
                <w:bCs/>
                <w:i/>
                <w:iCs/>
                <w:color w:val="auto"/>
                <w:sz w:val="21"/>
                <w:szCs w:val="21"/>
              </w:rPr>
            </m:ctrlPr>
          </m:sSubPr>
          <m:e>
            <m:r>
              <w:rPr>
                <w:rFonts w:ascii="Cambria Math" w:eastAsiaTheme="minorEastAsia" w:hAnsi="Cambria Math" w:cs="Times New Roman"/>
                <w:color w:val="auto"/>
                <w:sz w:val="21"/>
                <w:szCs w:val="21"/>
                <w:lang w:eastAsia="ko-KR"/>
              </w:rPr>
              <m:t>RHK</m:t>
            </m:r>
          </m:e>
          <m:sub>
            <m:r>
              <w:rPr>
                <w:rFonts w:ascii="Cambria Math" w:eastAsiaTheme="minorEastAsia" w:hAnsi="Cambria Math" w:cs="Times New Roman"/>
                <w:color w:val="auto"/>
                <w:sz w:val="21"/>
                <w:szCs w:val="21"/>
                <w:lang w:eastAsia="ko-KR"/>
              </w:rPr>
              <m:t>rdt</m:t>
            </m:r>
          </m:sub>
        </m:sSub>
        <m:r>
          <w:rPr>
            <w:rFonts w:ascii="Cambria Math" w:eastAsiaTheme="minorEastAsia" w:hAnsi="Cambria Math" w:cs="Times New Roman"/>
            <w:color w:val="auto"/>
            <w:sz w:val="21"/>
            <w:szCs w:val="21"/>
            <w:lang w:eastAsia="ko-KR"/>
          </w:rPr>
          <m:t>=</m:t>
        </m:r>
        <m:sSup>
          <m:sSupPr>
            <m:ctrlPr>
              <w:rPr>
                <w:rFonts w:ascii="Cambria Math" w:eastAsiaTheme="minorEastAsia" w:hAnsi="Cambria Math" w:cs="Times New Roman"/>
                <w:bCs/>
                <w:i/>
                <w:iCs/>
                <w:color w:val="auto"/>
                <w:sz w:val="21"/>
                <w:szCs w:val="21"/>
              </w:rPr>
            </m:ctrlPr>
          </m:sSupPr>
          <m:e>
            <m:r>
              <w:rPr>
                <w:rFonts w:ascii="Cambria Math" w:eastAsiaTheme="minorEastAsia" w:hAnsi="Cambria Math" w:cs="Times New Roman"/>
                <w:color w:val="auto"/>
                <w:sz w:val="21"/>
                <w:szCs w:val="21"/>
                <w:lang w:eastAsia="ko-KR"/>
              </w:rPr>
              <m:t>φ</m:t>
            </m:r>
            <m:sSub>
              <m:sSubPr>
                <m:ctrlPr>
                  <w:rPr>
                    <w:rFonts w:ascii="Cambria Math" w:eastAsiaTheme="minorEastAsia" w:hAnsi="Cambria Math" w:cs="Times New Roman"/>
                    <w:bCs/>
                    <w:i/>
                    <w:iCs/>
                    <w:color w:val="auto"/>
                    <w:sz w:val="21"/>
                    <w:szCs w:val="21"/>
                  </w:rPr>
                </m:ctrlPr>
              </m:sSubPr>
              <m:e>
                <m:r>
                  <w:rPr>
                    <w:rFonts w:ascii="Cambria Math" w:eastAsiaTheme="minorEastAsia" w:hAnsi="Cambria Math" w:cs="Times New Roman"/>
                    <w:color w:val="auto"/>
                    <w:sz w:val="21"/>
                    <w:szCs w:val="21"/>
                    <w:lang w:eastAsia="ko-KR"/>
                  </w:rPr>
                  <m:t>10</m:t>
                </m:r>
              </m:e>
              <m:sub>
                <m:r>
                  <w:rPr>
                    <w:rFonts w:ascii="Cambria Math" w:eastAsiaTheme="minorEastAsia" w:hAnsi="Cambria Math" w:cs="Times New Roman"/>
                    <w:color w:val="auto"/>
                    <w:sz w:val="21"/>
                    <w:szCs w:val="21"/>
                    <w:lang w:eastAsia="ko-KR"/>
                  </w:rPr>
                  <m:t>rdt</m:t>
                </m:r>
              </m:sub>
            </m:sSub>
            <m:r>
              <w:rPr>
                <w:rFonts w:ascii="Cambria Math" w:eastAsiaTheme="minorEastAsia" w:hAnsi="Cambria Math" w:cs="Times New Roman"/>
                <w:color w:val="auto"/>
                <w:sz w:val="21"/>
                <w:szCs w:val="21"/>
                <w:lang w:eastAsia="ko-KR"/>
              </w:rPr>
              <m:t>∙(</m:t>
            </m:r>
            <m:d>
              <m:dPr>
                <m:ctrlPr>
                  <w:rPr>
                    <w:rFonts w:ascii="Cambria Math" w:eastAsiaTheme="minorEastAsia" w:hAnsi="Cambria Math" w:cs="Times New Roman"/>
                    <w:bCs/>
                    <w:i/>
                    <w:iCs/>
                    <w:color w:val="auto"/>
                    <w:sz w:val="21"/>
                    <w:szCs w:val="21"/>
                  </w:rPr>
                </m:ctrlPr>
              </m:dPr>
              <m:e>
                <m:r>
                  <w:rPr>
                    <w:rFonts w:ascii="Cambria Math" w:eastAsiaTheme="minorEastAsia" w:hAnsi="Cambria Math" w:cs="Times New Roman"/>
                    <w:color w:val="auto"/>
                    <w:sz w:val="21"/>
                    <w:szCs w:val="21"/>
                    <w:lang w:eastAsia="ko-KR"/>
                  </w:rPr>
                  <m:t>1-</m:t>
                </m:r>
                <m:sSub>
                  <m:sSubPr>
                    <m:ctrlPr>
                      <w:rPr>
                        <w:rFonts w:ascii="Cambria Math" w:hAnsi="Cambria Math" w:cs="Times New Roman"/>
                        <w:bCs/>
                        <w:i/>
                        <w:iCs/>
                        <w:color w:val="auto"/>
                        <w:sz w:val="21"/>
                        <w:szCs w:val="21"/>
                      </w:rPr>
                    </m:ctrlPr>
                  </m:sSubPr>
                  <m:e>
                    <m:r>
                      <w:rPr>
                        <w:rFonts w:ascii="Cambria Math" w:eastAsia="맑은 고딕" w:hAnsi="Cambria Math" w:cs="Times New Roman"/>
                        <w:color w:val="auto"/>
                        <w:sz w:val="21"/>
                        <w:szCs w:val="21"/>
                        <w:lang w:eastAsia="ko-KR"/>
                      </w:rPr>
                      <m:t>Ψ</m:t>
                    </m:r>
                    <m:r>
                      <w:rPr>
                        <w:rFonts w:ascii="Cambria Math" w:eastAsiaTheme="minorEastAsia" w:hAnsi="Cambria Math" w:cs="Times New Roman"/>
                        <w:color w:val="auto"/>
                        <w:sz w:val="21"/>
                        <w:szCs w:val="21"/>
                        <w:lang w:eastAsia="ko-KR"/>
                      </w:rPr>
                      <m:t>10</m:t>
                    </m:r>
                  </m:e>
                  <m:sub>
                    <m:r>
                      <w:rPr>
                        <w:rFonts w:ascii="Cambria Math" w:eastAsia="맑은 고딕" w:hAnsi="Cambria Math" w:cs="Times New Roman"/>
                        <w:color w:val="auto"/>
                        <w:sz w:val="21"/>
                        <w:szCs w:val="21"/>
                        <w:lang w:eastAsia="ko-KR"/>
                      </w:rPr>
                      <m:t>rdt</m:t>
                    </m:r>
                  </m:sub>
                </m:sSub>
              </m:e>
            </m:d>
            <m:r>
              <w:rPr>
                <w:rFonts w:ascii="Cambria Math" w:eastAsiaTheme="minorEastAsia" w:hAnsi="Cambria Math" w:cs="Times New Roman"/>
                <w:color w:val="auto"/>
                <w:sz w:val="21"/>
                <w:szCs w:val="21"/>
                <w:lang w:eastAsia="ko-KR"/>
              </w:rPr>
              <m:t>∙</m:t>
            </m:r>
            <m:sSubSup>
              <m:sSubSupPr>
                <m:ctrlPr>
                  <w:rPr>
                    <w:rFonts w:ascii="Cambria Math" w:eastAsiaTheme="minorEastAsia" w:hAnsi="Cambria Math" w:cs="Times New Roman"/>
                    <w:bCs/>
                    <w:i/>
                    <w:iCs/>
                    <w:color w:val="auto"/>
                    <w:sz w:val="21"/>
                    <w:szCs w:val="21"/>
                  </w:rPr>
                </m:ctrlPr>
              </m:sSubSupPr>
              <m:e>
                <m:r>
                  <w:rPr>
                    <w:rFonts w:ascii="Cambria Math" w:eastAsiaTheme="minorEastAsia" w:hAnsi="Cambria Math" w:cs="Times New Roman"/>
                    <w:color w:val="auto"/>
                    <w:sz w:val="21"/>
                    <w:szCs w:val="21"/>
                    <w:lang w:eastAsia="ko-KR"/>
                  </w:rPr>
                  <m:t>RK</m:t>
                </m:r>
              </m:e>
              <m:sub>
                <m:r>
                  <w:rPr>
                    <w:rFonts w:ascii="Cambria Math" w:eastAsiaTheme="minorEastAsia" w:hAnsi="Cambria Math" w:cs="Times New Roman"/>
                    <w:color w:val="auto"/>
                    <w:sz w:val="21"/>
                    <w:szCs w:val="21"/>
                    <w:lang w:eastAsia="ko-KR"/>
                  </w:rPr>
                  <m:t>rdt</m:t>
                </m:r>
              </m:sub>
              <m:sup>
                <m:r>
                  <w:rPr>
                    <w:rFonts w:ascii="Cambria Math" w:eastAsiaTheme="minorEastAsia" w:hAnsi="Cambria Math" w:cs="Times New Roman"/>
                    <w:color w:val="auto"/>
                    <w:sz w:val="21"/>
                    <w:szCs w:val="21"/>
                    <w:lang w:eastAsia="ko-KR"/>
                  </w:rPr>
                  <m:t>-ρ4</m:t>
                </m:r>
              </m:sup>
            </m:sSubSup>
            <m:r>
              <w:rPr>
                <w:rFonts w:ascii="Cambria Math" w:eastAsiaTheme="minorEastAsia" w:hAnsi="Cambria Math" w:cs="Times New Roman"/>
                <w:color w:val="auto"/>
                <w:sz w:val="21"/>
                <w:szCs w:val="21"/>
                <w:lang w:eastAsia="ko-KR"/>
              </w:rPr>
              <m:t>+</m:t>
            </m:r>
            <m:sSub>
              <m:sSubPr>
                <m:ctrlPr>
                  <w:rPr>
                    <w:rFonts w:ascii="Cambria Math" w:hAnsi="Cambria Math" w:cs="Times New Roman"/>
                    <w:bCs/>
                    <w:i/>
                    <w:iCs/>
                    <w:color w:val="auto"/>
                    <w:sz w:val="21"/>
                    <w:szCs w:val="21"/>
                  </w:rPr>
                </m:ctrlPr>
              </m:sSubPr>
              <m:e>
                <m:r>
                  <w:rPr>
                    <w:rFonts w:ascii="Cambria Math" w:eastAsia="맑은 고딕" w:hAnsi="Cambria Math" w:cs="Times New Roman"/>
                    <w:color w:val="auto"/>
                    <w:sz w:val="21"/>
                    <w:szCs w:val="21"/>
                    <w:lang w:eastAsia="ko-KR"/>
                  </w:rPr>
                  <m:t>Ψ</m:t>
                </m:r>
                <m:r>
                  <w:rPr>
                    <w:rFonts w:ascii="Cambria Math" w:eastAsiaTheme="minorEastAsia" w:hAnsi="Cambria Math" w:cs="Times New Roman"/>
                    <w:color w:val="auto"/>
                    <w:sz w:val="21"/>
                    <w:szCs w:val="21"/>
                    <w:lang w:eastAsia="ko-KR"/>
                  </w:rPr>
                  <m:t>10</m:t>
                </m:r>
              </m:e>
              <m:sub>
                <m:r>
                  <w:rPr>
                    <w:rFonts w:ascii="Cambria Math" w:eastAsia="맑은 고딕" w:hAnsi="Cambria Math" w:cs="Times New Roman"/>
                    <w:color w:val="auto"/>
                    <w:sz w:val="21"/>
                    <w:szCs w:val="21"/>
                    <w:lang w:eastAsia="ko-KR"/>
                  </w:rPr>
                  <m:t>rdt</m:t>
                </m:r>
              </m:sub>
            </m:sSub>
            <m:r>
              <w:rPr>
                <w:rFonts w:ascii="Cambria Math" w:eastAsiaTheme="minorEastAsia" w:hAnsi="Cambria Math" w:cs="Times New Roman"/>
                <w:color w:val="auto"/>
                <w:sz w:val="21"/>
                <w:szCs w:val="21"/>
                <w:lang w:eastAsia="ko-KR"/>
              </w:rPr>
              <m:t>∙</m:t>
            </m:r>
            <m:sSubSup>
              <m:sSubSupPr>
                <m:ctrlPr>
                  <w:rPr>
                    <w:rFonts w:ascii="Cambria Math" w:eastAsiaTheme="minorEastAsia" w:hAnsi="Cambria Math" w:cs="Times New Roman"/>
                    <w:bCs/>
                    <w:i/>
                    <w:iCs/>
                    <w:color w:val="auto"/>
                    <w:sz w:val="21"/>
                    <w:szCs w:val="21"/>
                  </w:rPr>
                </m:ctrlPr>
              </m:sSubSupPr>
              <m:e>
                <m:r>
                  <w:rPr>
                    <w:rFonts w:ascii="Cambria Math" w:eastAsiaTheme="minorEastAsia" w:hAnsi="Cambria Math" w:cs="Times New Roman"/>
                    <w:color w:val="auto"/>
                    <w:sz w:val="21"/>
                    <w:szCs w:val="21"/>
                    <w:lang w:eastAsia="ko-KR"/>
                  </w:rPr>
                  <m:t>RLS3</m:t>
                </m:r>
              </m:e>
              <m:sub>
                <m:r>
                  <w:rPr>
                    <w:rFonts w:ascii="Cambria Math" w:eastAsiaTheme="minorEastAsia" w:hAnsi="Cambria Math" w:cs="Times New Roman"/>
                    <w:color w:val="auto"/>
                    <w:sz w:val="21"/>
                    <w:szCs w:val="21"/>
                    <w:lang w:eastAsia="ko-KR"/>
                  </w:rPr>
                  <m:t>rdt</m:t>
                </m:r>
              </m:sub>
              <m:sup>
                <m:r>
                  <w:rPr>
                    <w:rFonts w:ascii="Cambria Math" w:eastAsiaTheme="minorEastAsia" w:hAnsi="Cambria Math" w:cs="Times New Roman"/>
                    <w:color w:val="auto"/>
                    <w:sz w:val="21"/>
                    <w:szCs w:val="21"/>
                    <w:lang w:eastAsia="ko-KR"/>
                  </w:rPr>
                  <m:t>-ρ4</m:t>
                </m:r>
              </m:sup>
            </m:sSubSup>
            <m:r>
              <w:rPr>
                <w:rFonts w:ascii="Cambria Math" w:eastAsiaTheme="minorEastAsia" w:hAnsi="Cambria Math" w:cs="Times New Roman"/>
                <w:color w:val="auto"/>
                <w:sz w:val="21"/>
                <w:szCs w:val="21"/>
                <w:lang w:eastAsia="ko-KR"/>
              </w:rPr>
              <m:t>)</m:t>
            </m:r>
          </m:e>
          <m:sup>
            <m:r>
              <w:rPr>
                <w:rFonts w:ascii="Cambria Math" w:eastAsiaTheme="minorEastAsia" w:hAnsi="Cambria Math" w:cs="Times New Roman"/>
                <w:color w:val="auto"/>
                <w:sz w:val="21"/>
                <w:szCs w:val="21"/>
                <w:lang w:eastAsia="ko-KR"/>
              </w:rPr>
              <m:t>-1/ρ4</m:t>
            </m:r>
          </m:sup>
        </m:sSup>
      </m:oMath>
      <w:r w:rsidR="00BB24C4" w:rsidRPr="002A4B19">
        <w:rPr>
          <w:rFonts w:eastAsiaTheme="minorEastAsia" w:cs="Times New Roman"/>
          <w:bCs/>
          <w:iCs/>
          <w:color w:val="auto"/>
          <w:sz w:val="20"/>
          <w:lang w:eastAsia="ko-KR"/>
        </w:rPr>
        <w:t xml:space="preserve">                     </w:t>
      </w:r>
      <w:r w:rsidR="00BB24C4" w:rsidRPr="002A4B19">
        <w:rPr>
          <w:rFonts w:eastAsiaTheme="minorEastAsia" w:cs="Times New Roman"/>
          <w:color w:val="auto"/>
          <w:sz w:val="22"/>
          <w:lang w:eastAsia="ko-KR"/>
        </w:rPr>
        <w:t>Eq. (5)</w:t>
      </w:r>
    </w:p>
    <w:p w:rsidR="00BB24C4" w:rsidRPr="002A4B19" w:rsidRDefault="00BB24C4" w:rsidP="00BB24C4">
      <w:pPr>
        <w:pStyle w:val="Mdeck4text"/>
        <w:ind w:firstLine="0"/>
        <w:jc w:val="left"/>
        <w:rPr>
          <w:rFonts w:eastAsiaTheme="minorEastAsia" w:cs="Times New Roman"/>
          <w:color w:val="auto"/>
          <w:sz w:val="22"/>
          <w:lang w:eastAsia="ko-KR"/>
        </w:rPr>
      </w:pPr>
      <w:r w:rsidRPr="002A4B19">
        <w:rPr>
          <w:rFonts w:eastAsiaTheme="minorEastAsia" w:cs="Times New Roman"/>
          <w:bCs/>
          <w:i/>
          <w:iCs/>
          <w:color w:val="auto"/>
          <w:sz w:val="22"/>
          <w:lang w:eastAsia="ko-KR"/>
        </w:rPr>
        <w:t xml:space="preserve">where </w:t>
      </w:r>
      <m:oMath>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lang w:eastAsia="ko-KR"/>
              </w:rPr>
              <m:t>axrd</m:t>
            </m:r>
          </m:e>
          <m:sub>
            <m:r>
              <w:rPr>
                <w:rFonts w:ascii="Cambria Math" w:eastAsiaTheme="minorEastAsia" w:hAnsi="Cambria Math" w:cs="Times New Roman"/>
                <w:color w:val="auto"/>
                <w:sz w:val="22"/>
                <w:lang w:eastAsia="ko-KR"/>
              </w:rPr>
              <m:t>rdt</m:t>
            </m:r>
          </m:sub>
        </m:sSub>
      </m:oMath>
      <w:r w:rsidRPr="002A4B19">
        <w:rPr>
          <w:rFonts w:eastAsiaTheme="minorEastAsia" w:cs="Times New Roman"/>
          <w:i/>
          <w:color w:val="auto"/>
          <w:sz w:val="22"/>
          <w:lang w:eastAsia="ko-KR"/>
        </w:rPr>
        <w:t xml:space="preserve">: </w:t>
      </w:r>
      <w:r w:rsidRPr="002A4B19">
        <w:rPr>
          <w:rFonts w:eastAsiaTheme="minorEastAsia" w:cs="Times New Roman"/>
          <w:bCs/>
          <w:i/>
          <w:iCs/>
          <w:color w:val="auto"/>
          <w:sz w:val="22"/>
          <w:lang w:eastAsia="ko-KR"/>
        </w:rPr>
        <w:t>Intermediates requirement in R&amp;D (for a unit of investment goods) ;</w:t>
      </w:r>
      <w:r w:rsidRPr="002A4B19">
        <w:rPr>
          <w:rFonts w:eastAsiaTheme="minorEastAsia" w:cs="Times New Roman"/>
          <w:bCs/>
          <w:i/>
          <w:iCs/>
          <w:color w:val="auto"/>
          <w:sz w:val="22"/>
          <w:lang w:eastAsia="ko-KR"/>
        </w:rPr>
        <w:br/>
        <w:t xml:space="preserve">      </w:t>
      </w:r>
      <m:oMath>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lang w:eastAsia="ko-KR"/>
              </w:rPr>
              <m:t>arva</m:t>
            </m:r>
          </m:e>
          <m:sub>
            <m:r>
              <w:rPr>
                <w:rFonts w:ascii="Cambria Math" w:eastAsiaTheme="minorEastAsia" w:hAnsi="Cambria Math" w:cs="Times New Roman"/>
                <w:color w:val="auto"/>
                <w:sz w:val="22"/>
                <w:lang w:eastAsia="ko-KR"/>
              </w:rPr>
              <m:t>rdt</m:t>
            </m:r>
          </m:sub>
        </m:sSub>
      </m:oMath>
      <w:r w:rsidRPr="002A4B19">
        <w:rPr>
          <w:rFonts w:eastAsiaTheme="minorEastAsia" w:cs="Times New Roman"/>
          <w:i/>
          <w:color w:val="auto"/>
          <w:sz w:val="22"/>
          <w:lang w:eastAsia="ko-KR"/>
        </w:rPr>
        <w:t>: Value-added composite requirement in R&amp;D (for a unit of investment goods);</w:t>
      </w:r>
      <w:r w:rsidRPr="002A4B19">
        <w:rPr>
          <w:rFonts w:eastAsiaTheme="minorEastAsia" w:cs="Times New Roman"/>
          <w:i/>
          <w:color w:val="auto"/>
          <w:sz w:val="22"/>
          <w:lang w:eastAsia="ko-KR"/>
        </w:rPr>
        <w:br/>
        <w:t xml:space="preserve">      </w:t>
      </w:r>
      <m:oMath>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Ψ10</m:t>
            </m:r>
          </m:e>
          <m:sub>
            <m:r>
              <w:rPr>
                <w:rFonts w:ascii="Cambria Math" w:eastAsiaTheme="minorEastAsia" w:hAnsi="Cambria Math" w:cs="Times New Roman"/>
                <w:color w:val="auto"/>
                <w:sz w:val="22"/>
                <w:szCs w:val="22"/>
                <w:lang w:eastAsia="ko-KR"/>
              </w:rPr>
              <m:t>rdt</m:t>
            </m:r>
          </m:sub>
        </m:sSub>
      </m:oMath>
      <w:r w:rsidRPr="002A4B19">
        <w:rPr>
          <w:rFonts w:eastAsiaTheme="minorEastAsia" w:cs="Times New Roman"/>
          <w:i/>
          <w:color w:val="auto"/>
          <w:sz w:val="22"/>
          <w:szCs w:val="22"/>
          <w:lang w:eastAsia="ko-KR"/>
        </w:rPr>
        <w:t xml:space="preserve">, </w:t>
      </w:r>
      <m:oMath>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Ψ20</m:t>
            </m:r>
          </m:e>
          <m:sub>
            <m:r>
              <w:rPr>
                <w:rFonts w:ascii="Cambria Math" w:eastAsiaTheme="minorEastAsia" w:hAnsi="Cambria Math" w:cs="Times New Roman"/>
                <w:color w:val="auto"/>
                <w:sz w:val="22"/>
                <w:szCs w:val="22"/>
                <w:lang w:eastAsia="ko-KR"/>
              </w:rPr>
              <m:t>rdt</m:t>
            </m:r>
          </m:sub>
        </m:sSub>
        <m:r>
          <w:rPr>
            <w:rFonts w:ascii="Cambria Math" w:eastAsiaTheme="minorEastAsia" w:hAnsi="Cambria Math" w:cs="Times New Roman"/>
            <w:color w:val="auto"/>
            <w:sz w:val="22"/>
            <w:szCs w:val="22"/>
            <w:lang w:eastAsia="ko-KR"/>
          </w:rPr>
          <m:t xml:space="preserve">, </m:t>
        </m:r>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Ψ30</m:t>
            </m:r>
          </m:e>
          <m:sub>
            <m:r>
              <w:rPr>
                <w:rFonts w:ascii="Cambria Math" w:eastAsiaTheme="minorEastAsia" w:hAnsi="Cambria Math" w:cs="Times New Roman"/>
                <w:color w:val="auto"/>
                <w:sz w:val="22"/>
                <w:szCs w:val="22"/>
                <w:lang w:eastAsia="ko-KR"/>
              </w:rPr>
              <m:t>rdt</m:t>
            </m:r>
          </m:sub>
        </m:sSub>
      </m:oMath>
      <w:r w:rsidRPr="002A4B19">
        <w:rPr>
          <w:rFonts w:eastAsiaTheme="minorEastAsia" w:cs="Times New Roman"/>
          <w:i/>
          <w:color w:val="auto"/>
          <w:sz w:val="22"/>
          <w:szCs w:val="22"/>
          <w:lang w:eastAsia="ko-KR"/>
        </w:rPr>
        <w:t>: Share parameter for RLS3, RLS1, and RLS2 in CES function;</w:t>
      </w:r>
      <w:r w:rsidRPr="002A4B19">
        <w:rPr>
          <w:rFonts w:eastAsiaTheme="minorEastAsia" w:cs="Times New Roman"/>
          <w:i/>
          <w:color w:val="auto"/>
          <w:sz w:val="22"/>
          <w:szCs w:val="22"/>
          <w:lang w:eastAsia="ko-KR"/>
        </w:rPr>
        <w:br/>
        <w:t xml:space="preserve">      </w:t>
      </w:r>
      <m:oMath>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φ10</m:t>
            </m:r>
          </m:e>
          <m:sub>
            <m:r>
              <w:rPr>
                <w:rFonts w:ascii="Cambria Math" w:eastAsiaTheme="minorEastAsia" w:hAnsi="Cambria Math" w:cs="Times New Roman"/>
                <w:color w:val="auto"/>
                <w:sz w:val="22"/>
                <w:szCs w:val="22"/>
                <w:lang w:eastAsia="ko-KR"/>
              </w:rPr>
              <m:t>rdt</m:t>
            </m:r>
          </m:sub>
        </m:sSub>
        <m:r>
          <w:rPr>
            <w:rFonts w:ascii="Cambria Math" w:eastAsiaTheme="minorEastAsia" w:hAnsi="Cambria Math" w:cs="Times New Roman"/>
            <w:color w:val="auto"/>
            <w:sz w:val="22"/>
            <w:szCs w:val="22"/>
            <w:lang w:eastAsia="ko-KR"/>
          </w:rPr>
          <m:t xml:space="preserve">, </m:t>
        </m:r>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φ20</m:t>
            </m:r>
          </m:e>
          <m:sub>
            <m:r>
              <w:rPr>
                <w:rFonts w:ascii="Cambria Math" w:eastAsiaTheme="minorEastAsia" w:hAnsi="Cambria Math" w:cs="Times New Roman"/>
                <w:color w:val="auto"/>
                <w:sz w:val="22"/>
                <w:szCs w:val="22"/>
                <w:lang w:eastAsia="ko-KR"/>
              </w:rPr>
              <m:t>rdt</m:t>
            </m:r>
          </m:sub>
        </m:sSub>
      </m:oMath>
      <w:r w:rsidRPr="002A4B19">
        <w:rPr>
          <w:rFonts w:eastAsiaTheme="minorEastAsia" w:cs="Times New Roman"/>
          <w:i/>
          <w:color w:val="auto"/>
          <w:sz w:val="22"/>
          <w:szCs w:val="22"/>
          <w:lang w:eastAsia="ko-KR"/>
        </w:rPr>
        <w:t>: Scale parameter in each CES function;</w:t>
      </w:r>
      <w:r w:rsidRPr="002A4B19">
        <w:rPr>
          <w:rFonts w:eastAsiaTheme="minorEastAsia" w:cs="Times New Roman"/>
          <w:i/>
          <w:color w:val="auto"/>
          <w:sz w:val="22"/>
          <w:szCs w:val="22"/>
          <w:lang w:eastAsia="ko-KR"/>
        </w:rPr>
        <w:br/>
        <w:t xml:space="preserve">      </w:t>
      </w:r>
      <m:oMath>
        <m:sSub>
          <m:sSubPr>
            <m:ctrlPr>
              <w:rPr>
                <w:rFonts w:ascii="Cambria Math" w:eastAsiaTheme="minorEastAsia" w:hAnsi="Cambria Math" w:cs="Times New Roman"/>
                <w:color w:val="auto"/>
                <w:sz w:val="22"/>
                <w:szCs w:val="22"/>
              </w:rPr>
            </m:ctrlPr>
          </m:sSubPr>
          <m:e>
            <m:r>
              <w:rPr>
                <w:rFonts w:ascii="Cambria Math" w:eastAsiaTheme="minorEastAsia" w:hAnsi="Cambria Math" w:cs="Times New Roman"/>
                <w:color w:val="auto"/>
                <w:sz w:val="22"/>
                <w:szCs w:val="22"/>
                <w:lang w:eastAsia="ko-KR"/>
              </w:rPr>
              <m:t>σ</m:t>
            </m:r>
          </m:e>
          <m:sub>
            <m:r>
              <w:rPr>
                <w:rFonts w:ascii="Cambria Math" w:eastAsiaTheme="minorEastAsia" w:hAnsi="Cambria Math" w:cs="Times New Roman"/>
                <w:color w:val="auto"/>
                <w:sz w:val="22"/>
                <w:szCs w:val="22"/>
                <w:lang w:eastAsia="ko-KR"/>
              </w:rPr>
              <m:t>3</m:t>
            </m:r>
          </m:sub>
        </m:sSub>
      </m:oMath>
      <w:r w:rsidRPr="002A4B19">
        <w:rPr>
          <w:rFonts w:eastAsiaTheme="minorEastAsia" w:cs="Times New Roman"/>
          <w:i/>
          <w:color w:val="auto"/>
          <w:sz w:val="22"/>
          <w:szCs w:val="22"/>
          <w:lang w:eastAsia="ko-KR"/>
        </w:rPr>
        <w:t>,</w:t>
      </w:r>
      <m:oMath>
        <m:r>
          <m:rPr>
            <m:sty m:val="p"/>
          </m:rPr>
          <w:rPr>
            <w:rFonts w:ascii="Cambria Math" w:eastAsiaTheme="minorEastAsia" w:hAnsi="Cambria Math" w:cs="Times New Roman"/>
            <w:color w:val="auto"/>
            <w:sz w:val="22"/>
            <w:szCs w:val="22"/>
            <w:lang w:eastAsia="ko-KR"/>
          </w:rPr>
          <m:t xml:space="preserve"> </m:t>
        </m:r>
        <m:sSub>
          <m:sSubPr>
            <m:ctrlPr>
              <w:rPr>
                <w:rFonts w:ascii="Cambria Math" w:eastAsiaTheme="minorEastAsia" w:hAnsi="Cambria Math" w:cs="Times New Roman"/>
                <w:color w:val="auto"/>
                <w:sz w:val="22"/>
                <w:szCs w:val="22"/>
              </w:rPr>
            </m:ctrlPr>
          </m:sSubPr>
          <m:e>
            <m:r>
              <w:rPr>
                <w:rFonts w:ascii="Cambria Math" w:eastAsiaTheme="minorEastAsia" w:hAnsi="Cambria Math" w:cs="Times New Roman"/>
                <w:color w:val="auto"/>
                <w:sz w:val="22"/>
                <w:szCs w:val="22"/>
                <w:lang w:eastAsia="ko-KR"/>
              </w:rPr>
              <m:t>σ</m:t>
            </m:r>
          </m:e>
          <m:sub>
            <m:r>
              <w:rPr>
                <w:rFonts w:ascii="Cambria Math" w:eastAsiaTheme="minorEastAsia" w:hAnsi="Cambria Math" w:cs="Times New Roman"/>
                <w:color w:val="auto"/>
                <w:sz w:val="22"/>
                <w:szCs w:val="22"/>
                <w:lang w:eastAsia="ko-KR"/>
              </w:rPr>
              <m:t>4</m:t>
            </m:r>
          </m:sub>
        </m:sSub>
        <m:r>
          <w:rPr>
            <w:rFonts w:ascii="Cambria Math" w:eastAsiaTheme="minorEastAsia" w:hAnsi="Cambria Math" w:cs="Times New Roman"/>
            <w:color w:val="auto"/>
            <w:sz w:val="22"/>
            <w:szCs w:val="22"/>
            <w:lang w:eastAsia="ko-KR"/>
          </w:rPr>
          <m:t>:: Elasticity of substitution among inputs in each CES function</m:t>
        </m:r>
      </m:oMath>
    </w:p>
    <w:p w:rsidR="00BB24C4" w:rsidRPr="002A4B19" w:rsidRDefault="00BB24C4" w:rsidP="00BB24C4">
      <w:pPr>
        <w:pStyle w:val="Mdeck4text"/>
        <w:ind w:firstLine="0"/>
        <w:jc w:val="left"/>
        <w:rPr>
          <w:rFonts w:eastAsiaTheme="minorEastAsia" w:cs="Times New Roman"/>
          <w:bCs/>
          <w:iCs/>
          <w:color w:val="auto"/>
          <w:sz w:val="20"/>
          <w:lang w:eastAsia="ko-KR"/>
        </w:rPr>
      </w:pPr>
    </w:p>
    <w:p w:rsidR="00BB24C4" w:rsidRPr="002A4B19" w:rsidRDefault="00BB24C4" w:rsidP="00BB24C4">
      <w:pPr>
        <w:pStyle w:val="Mdeck4text"/>
        <w:rPr>
          <w:rFonts w:eastAsiaTheme="minorEastAsia" w:cs="Times New Roman"/>
          <w:color w:val="auto"/>
          <w:lang w:eastAsia="ko-KR"/>
        </w:rPr>
      </w:pPr>
      <w:r w:rsidRPr="002A4B19">
        <w:rPr>
          <w:rFonts w:eastAsiaTheme="minorEastAsia" w:cs="Times New Roman"/>
          <w:color w:val="auto"/>
          <w:lang w:eastAsia="ko-KR"/>
        </w:rPr>
        <w:t xml:space="preserve">When new knowledge is created through R&amp;D investment, newly generated knowledge is accumulated into knowledge capital stock and (pre-existing) accumulated knowledge becomes obsolete at a certain depreciation rate. In this context, the accumulation process of the knowledge capital stock is described as in Equations (6) and (7). </w:t>
      </w:r>
      <w:r w:rsidRPr="002A4B19">
        <w:rPr>
          <w:rFonts w:eastAsia="맑은 고딕" w:cs="Times New Roman"/>
          <w:iCs/>
          <w:color w:val="auto"/>
          <w:lang w:eastAsia="ko-KR"/>
        </w:rPr>
        <w:t>As shown in Equation (6), the knowledge capital stock in the public sector (</w:t>
      </w:r>
      <m:oMath>
        <m:sSub>
          <m:sSubPr>
            <m:ctrlPr>
              <w:rPr>
                <w:rFonts w:ascii="Cambria Math" w:eastAsia="맑은 고딕" w:hAnsi="Cambria Math" w:cs="Times New Roman"/>
                <w:iCs/>
                <w:color w:val="auto"/>
                <w:lang w:eastAsia="ko-KR"/>
              </w:rPr>
            </m:ctrlPr>
          </m:sSubPr>
          <m:e>
            <m:r>
              <w:rPr>
                <w:rFonts w:ascii="Cambria Math" w:eastAsia="맑은 고딕" w:hAnsi="Cambria Math" w:cs="Times New Roman"/>
                <w:color w:val="auto"/>
                <w:lang w:eastAsia="ko-KR"/>
              </w:rPr>
              <m:t>H</m:t>
            </m:r>
          </m:e>
          <m:sub>
            <m:r>
              <w:rPr>
                <w:rFonts w:ascii="Cambria Math" w:eastAsia="맑은 고딕" w:hAnsi="Cambria Math" w:cs="Times New Roman"/>
                <w:color w:val="auto"/>
                <w:lang w:eastAsia="ko-KR"/>
              </w:rPr>
              <m:t>public</m:t>
            </m:r>
            <m:r>
              <m:rPr>
                <m:sty m:val="p"/>
              </m:rPr>
              <w:rPr>
                <w:rFonts w:ascii="Cambria Math" w:eastAsia="맑은 고딕" w:hAnsi="Cambria Math" w:cs="Times New Roman"/>
                <w:color w:val="auto"/>
                <w:lang w:eastAsia="ko-KR"/>
              </w:rPr>
              <m:t xml:space="preserve">, </m:t>
            </m:r>
            <m:r>
              <w:rPr>
                <w:rFonts w:ascii="Cambria Math" w:eastAsia="맑은 고딕" w:hAnsi="Cambria Math" w:cs="Times New Roman"/>
                <w:color w:val="auto"/>
                <w:lang w:eastAsia="ko-KR"/>
              </w:rPr>
              <m:t>t</m:t>
            </m:r>
          </m:sub>
        </m:sSub>
      </m:oMath>
      <w:r w:rsidRPr="002A4B19">
        <w:rPr>
          <w:rFonts w:eastAsia="맑은 고딕" w:cs="Times New Roman"/>
          <w:iCs/>
          <w:color w:val="auto"/>
          <w:lang w:eastAsia="ko-KR"/>
        </w:rPr>
        <w:t>) is accumulated through public R&amp;D investment (</w:t>
      </w:r>
      <m:oMath>
        <m:sSub>
          <m:sSubPr>
            <m:ctrlPr>
              <w:rPr>
                <w:rFonts w:ascii="Cambria Math" w:eastAsia="맑은 고딕" w:hAnsi="Cambria Math" w:cs="Times New Roman"/>
                <w:iCs/>
                <w:color w:val="auto"/>
                <w:lang w:eastAsia="ko-KR"/>
              </w:rPr>
            </m:ctrlPr>
          </m:sSubPr>
          <m:e>
            <m:r>
              <w:rPr>
                <w:rFonts w:ascii="Cambria Math" w:eastAsia="맑은 고딕" w:hAnsi="Cambria Math" w:cs="Times New Roman"/>
                <w:color w:val="auto"/>
                <w:lang w:eastAsia="ko-KR"/>
              </w:rPr>
              <m:t>RDZ</m:t>
            </m:r>
          </m:e>
          <m:sub>
            <m:r>
              <w:rPr>
                <w:rFonts w:ascii="Cambria Math" w:eastAsia="맑은 고딕" w:hAnsi="Cambria Math" w:cs="Times New Roman"/>
                <w:color w:val="auto"/>
                <w:lang w:eastAsia="ko-KR"/>
              </w:rPr>
              <m:t>public</m:t>
            </m:r>
            <m:r>
              <m:rPr>
                <m:sty m:val="p"/>
              </m:rPr>
              <w:rPr>
                <w:rFonts w:ascii="Cambria Math" w:eastAsia="맑은 고딕" w:hAnsi="Cambria Math" w:cs="Times New Roman"/>
                <w:color w:val="auto"/>
                <w:lang w:eastAsia="ko-KR"/>
              </w:rPr>
              <m:t>,</m:t>
            </m:r>
            <m:r>
              <w:rPr>
                <w:rFonts w:ascii="Cambria Math" w:eastAsia="맑은 고딕" w:hAnsi="Cambria Math" w:cs="Times New Roman"/>
                <w:color w:val="auto"/>
                <w:lang w:eastAsia="ko-KR"/>
              </w:rPr>
              <m:t>t</m:t>
            </m:r>
          </m:sub>
        </m:sSub>
        <m:r>
          <w:rPr>
            <w:rFonts w:ascii="Cambria Math" w:eastAsia="맑은 고딕" w:hAnsi="Cambria Math" w:cs="Times New Roman"/>
            <w:color w:val="auto"/>
            <w:lang w:eastAsia="ko-KR"/>
          </w:rPr>
          <m:t>)</m:t>
        </m:r>
      </m:oMath>
      <w:r w:rsidRPr="002A4B19">
        <w:rPr>
          <w:rFonts w:eastAsia="맑은 고딕" w:cs="Times New Roman"/>
          <w:iCs/>
          <w:color w:val="auto"/>
          <w:lang w:eastAsia="ko-KR"/>
        </w:rPr>
        <w:t xml:space="preserve"> with the depreciation rate of knowledge (</w:t>
      </w:r>
      <m:oMath>
        <m:r>
          <w:rPr>
            <w:rFonts w:ascii="Cambria Math" w:eastAsia="맑은 고딕" w:hAnsi="Cambria Math" w:cs="Times New Roman"/>
            <w:color w:val="auto"/>
            <w:lang w:eastAsia="ko-KR"/>
          </w:rPr>
          <m:t>δ=0.15).</m:t>
        </m:r>
      </m:oMath>
      <w:r w:rsidRPr="002A4B19">
        <w:rPr>
          <w:rFonts w:eastAsia="맑은 고딕" w:cs="Times New Roman"/>
          <w:iCs/>
          <w:color w:val="auto"/>
          <w:lang w:eastAsia="ko-KR"/>
        </w:rPr>
        <w:t xml:space="preserve"> In addition, private knowledge capital stock is built by private R&amp;D investment (</w:t>
      </w:r>
      <m:oMath>
        <m:sSub>
          <m:sSubPr>
            <m:ctrlPr>
              <w:rPr>
                <w:rFonts w:ascii="Cambria Math" w:eastAsia="맑은 고딕" w:hAnsi="Cambria Math" w:cs="Times New Roman"/>
                <w:iCs/>
                <w:color w:val="auto"/>
                <w:lang w:eastAsia="ko-KR"/>
              </w:rPr>
            </m:ctrlPr>
          </m:sSubPr>
          <m:e>
            <m:r>
              <w:rPr>
                <w:rFonts w:ascii="Cambria Math" w:eastAsia="맑은 고딕" w:hAnsi="Cambria Math" w:cs="Times New Roman"/>
                <w:color w:val="auto"/>
                <w:lang w:eastAsia="ko-KR"/>
              </w:rPr>
              <m:t>RDZ</m:t>
            </m:r>
          </m:e>
          <m:sub>
            <m:r>
              <w:rPr>
                <w:rFonts w:ascii="Cambria Math" w:eastAsia="맑은 고딕" w:hAnsi="Cambria Math" w:cs="Times New Roman"/>
                <w:color w:val="auto"/>
                <w:lang w:eastAsia="ko-KR"/>
              </w:rPr>
              <m:t>private</m:t>
            </m:r>
            <m:r>
              <m:rPr>
                <m:sty m:val="p"/>
              </m:rPr>
              <w:rPr>
                <w:rFonts w:ascii="Cambria Math" w:eastAsia="맑은 고딕" w:hAnsi="Cambria Math" w:cs="Times New Roman"/>
                <w:color w:val="auto"/>
                <w:lang w:eastAsia="ko-KR"/>
              </w:rPr>
              <m:t>,</m:t>
            </m:r>
            <m:r>
              <w:rPr>
                <w:rFonts w:ascii="Cambria Math" w:eastAsia="맑은 고딕" w:hAnsi="Cambria Math" w:cs="Times New Roman"/>
                <w:color w:val="auto"/>
                <w:lang w:eastAsia="ko-KR"/>
              </w:rPr>
              <m:t>t</m:t>
            </m:r>
          </m:sub>
        </m:sSub>
      </m:oMath>
      <w:r w:rsidRPr="002A4B19">
        <w:rPr>
          <w:rFonts w:eastAsia="맑은 고딕" w:cs="Times New Roman"/>
          <w:iCs/>
          <w:color w:val="auto"/>
          <w:lang w:eastAsia="ko-KR"/>
        </w:rPr>
        <w:t xml:space="preserve">). </w:t>
      </w:r>
      <m:oMath>
        <m:sSub>
          <m:sSubPr>
            <m:ctrlPr>
              <w:rPr>
                <w:rFonts w:ascii="Cambria Math" w:eastAsia="맑은 고딕" w:hAnsi="Cambria Math" w:cs="Times New Roman"/>
                <w:iCs/>
                <w:color w:val="auto"/>
                <w:lang w:eastAsia="ko-KR"/>
              </w:rPr>
            </m:ctrlPr>
          </m:sSubPr>
          <m:e>
            <m:r>
              <w:rPr>
                <w:rFonts w:ascii="Cambria Math" w:eastAsia="맑은 고딕" w:hAnsi="Cambria Math" w:cs="Times New Roman"/>
                <w:color w:val="auto"/>
                <w:lang w:eastAsia="ko-KR"/>
              </w:rPr>
              <m:t>RDZ</m:t>
            </m:r>
          </m:e>
          <m:sub>
            <m:r>
              <w:rPr>
                <w:rFonts w:ascii="Cambria Math" w:eastAsia="맑은 고딕" w:hAnsi="Cambria Math" w:cs="Times New Roman"/>
                <w:color w:val="auto"/>
                <w:lang w:eastAsia="ko-KR"/>
              </w:rPr>
              <m:t>private</m:t>
            </m:r>
            <m:r>
              <m:rPr>
                <m:sty m:val="p"/>
              </m:rPr>
              <w:rPr>
                <w:rFonts w:ascii="Cambria Math" w:eastAsia="맑은 고딕" w:hAnsi="Cambria Math" w:cs="Times New Roman"/>
                <w:color w:val="auto"/>
                <w:lang w:eastAsia="ko-KR"/>
              </w:rPr>
              <m:t>,</m:t>
            </m:r>
            <m:r>
              <w:rPr>
                <w:rFonts w:ascii="Cambria Math" w:eastAsia="맑은 고딕" w:hAnsi="Cambria Math" w:cs="Times New Roman"/>
                <w:color w:val="auto"/>
                <w:lang w:eastAsia="ko-KR"/>
              </w:rPr>
              <m:t>t</m:t>
            </m:r>
          </m:sub>
        </m:sSub>
      </m:oMath>
      <w:r w:rsidRPr="002A4B19">
        <w:rPr>
          <w:rFonts w:eastAsia="맑은 고딕" w:cs="Times New Roman"/>
          <w:iCs/>
          <w:color w:val="auto"/>
          <w:lang w:eastAsia="ko-KR"/>
        </w:rPr>
        <w:t xml:space="preserve"> is the gross R&amp;D expenditure in the private sector, and it is distributed into R&amp;D investments by individual sectors (</w:t>
      </w:r>
      <m:oMath>
        <m:sSub>
          <m:sSubPr>
            <m:ctrlPr>
              <w:rPr>
                <w:rFonts w:ascii="Cambria Math" w:eastAsia="맑은 고딕" w:hAnsi="Cambria Math" w:cs="Times New Roman"/>
                <w:iCs/>
                <w:color w:val="auto"/>
                <w:lang w:eastAsia="ko-KR"/>
              </w:rPr>
            </m:ctrlPr>
          </m:sSubPr>
          <m:e>
            <m:r>
              <w:rPr>
                <w:rFonts w:ascii="Cambria Math" w:eastAsia="맑은 고딕" w:hAnsi="Cambria Math" w:cs="Times New Roman"/>
                <w:color w:val="auto"/>
                <w:lang w:eastAsia="ko-KR"/>
              </w:rPr>
              <m:t>IR</m:t>
            </m:r>
          </m:e>
          <m:sub>
            <m:r>
              <w:rPr>
                <w:rFonts w:ascii="Cambria Math" w:eastAsia="맑은 고딕" w:hAnsi="Cambria Math" w:cs="Times New Roman"/>
                <w:color w:val="auto"/>
                <w:lang w:eastAsia="ko-KR"/>
              </w:rPr>
              <m:t>i</m:t>
            </m:r>
            <m:r>
              <m:rPr>
                <m:sty m:val="p"/>
              </m:rPr>
              <w:rPr>
                <w:rFonts w:ascii="Cambria Math" w:eastAsia="맑은 고딕" w:hAnsi="Cambria Math" w:cs="Times New Roman"/>
                <w:color w:val="auto"/>
                <w:lang w:eastAsia="ko-KR"/>
              </w:rPr>
              <m:t>,</m:t>
            </m:r>
            <m:r>
              <w:rPr>
                <w:rFonts w:ascii="Cambria Math" w:eastAsia="맑은 고딕" w:hAnsi="Cambria Math" w:cs="Times New Roman"/>
                <w:color w:val="auto"/>
                <w:lang w:eastAsia="ko-KR"/>
              </w:rPr>
              <m:t>t</m:t>
            </m:r>
          </m:sub>
        </m:sSub>
      </m:oMath>
      <w:r w:rsidRPr="002A4B19">
        <w:rPr>
          <w:rFonts w:eastAsia="맑은 고딕" w:cs="Times New Roman"/>
          <w:iCs/>
          <w:color w:val="auto"/>
          <w:lang w:eastAsia="ko-KR"/>
        </w:rPr>
        <w:t xml:space="preserve">) to derive sector-specific knowledge capital stock </w:t>
      </w:r>
      <w:r w:rsidRPr="002A4B19">
        <w:rPr>
          <w:rFonts w:eastAsia="맑은 고딕" w:cs="Times New Roman"/>
          <w:iCs/>
          <w:color w:val="auto"/>
          <w:lang w:eastAsia="ko-KR"/>
        </w:rPr>
        <w:lastRenderedPageBreak/>
        <w:t>(</w:t>
      </w:r>
      <m:oMath>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H</m:t>
            </m:r>
          </m:e>
          <m:sub>
            <m:r>
              <w:rPr>
                <w:rFonts w:ascii="Cambria Math" w:eastAsiaTheme="minorEastAsia" w:hAnsi="Cambria Math" w:cs="Times New Roman"/>
                <w:color w:val="auto"/>
                <w:sz w:val="22"/>
                <w:szCs w:val="22"/>
              </w:rPr>
              <m:t>i</m:t>
            </m:r>
            <m:r>
              <w:rPr>
                <w:rFonts w:ascii="Cambria Math" w:eastAsiaTheme="minorEastAsia" w:hAnsi="Cambria Math" w:cs="Times New Roman"/>
                <w:color w:val="auto"/>
                <w:sz w:val="22"/>
                <w:szCs w:val="22"/>
                <w:lang w:eastAsia="ko-KR"/>
              </w:rPr>
              <m:t>, t</m:t>
            </m:r>
          </m:sub>
        </m:sSub>
      </m:oMath>
      <w:r w:rsidRPr="002A4B19">
        <w:rPr>
          <w:rFonts w:eastAsia="맑은 고딕" w:cs="Times New Roman"/>
          <w:color w:val="auto"/>
          <w:sz w:val="22"/>
          <w:szCs w:val="22"/>
          <w:lang w:eastAsia="ko-KR"/>
        </w:rPr>
        <w:t>),</w:t>
      </w:r>
      <w:r w:rsidRPr="002A4B19">
        <w:rPr>
          <w:rFonts w:eastAsia="맑은 고딕" w:cs="Times New Roman"/>
          <w:iCs/>
          <w:color w:val="auto"/>
          <w:lang w:eastAsia="ko-KR"/>
        </w:rPr>
        <w:t xml:space="preserve"> as expressed by Equation (7).</w:t>
      </w:r>
      <w:r w:rsidRPr="002A4B19">
        <w:rPr>
          <w:rFonts w:eastAsia="맑은 고딕" w:cs="Times New Roman"/>
          <w:iCs/>
          <w:color w:val="auto"/>
          <w:vertAlign w:val="superscript"/>
          <w:lang w:eastAsia="ko-KR"/>
        </w:rPr>
        <w:footnoteReference w:id="5"/>
      </w:r>
      <w:r w:rsidRPr="002A4B19">
        <w:rPr>
          <w:rFonts w:eastAsia="맑은 고딕" w:cs="Times New Roman"/>
          <w:iCs/>
          <w:color w:val="auto"/>
          <w:lang w:eastAsia="ko-KR"/>
        </w:rPr>
        <w:t xml:space="preserve"> In addition, we assumed that private R&amp;D investment in each sector is endogenously determined, following the logic of Tobin’s Q, as noted by previous </w:t>
      </w:r>
      <w:r w:rsidRPr="002A4B19">
        <w:rPr>
          <w:rFonts w:eastAsiaTheme="minorEastAsia" w:cs="Times New Roman"/>
          <w:color w:val="auto"/>
          <w:lang w:eastAsia="ko-KR"/>
        </w:rPr>
        <w:t>studies (Hong et al., 2014; Křístková, 2012; Lemelin and Decaluwé, 2007). Along with the accumulation of the knowledge capital stock, physical capital stock</w:t>
      </w:r>
      <w:r w:rsidRPr="002A4B19">
        <w:rPr>
          <w:rFonts w:eastAsia="맑은 고딕" w:cs="Times New Roman"/>
          <w:iCs/>
          <w:color w:val="auto"/>
          <w:lang w:eastAsia="ko-KR"/>
        </w:rPr>
        <w:t xml:space="preserve"> is also set to be accumulated through physical capital investments (</w:t>
      </w:r>
      <m:oMath>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rPr>
              <m:t>IK</m:t>
            </m:r>
          </m:e>
          <m:sub>
            <m:r>
              <w:rPr>
                <w:rFonts w:ascii="Cambria Math" w:eastAsiaTheme="minorEastAsia" w:hAnsi="Cambria Math" w:cs="Times New Roman"/>
                <w:color w:val="auto"/>
                <w:sz w:val="22"/>
                <w:szCs w:val="22"/>
              </w:rPr>
              <m:t>i</m:t>
            </m:r>
          </m:sub>
        </m:sSub>
        <m:r>
          <w:rPr>
            <w:rFonts w:ascii="Cambria Math" w:eastAsiaTheme="minorEastAsia" w:hAnsi="Cambria Math" w:cs="Times New Roman"/>
            <w:color w:val="auto"/>
            <w:sz w:val="22"/>
            <w:szCs w:val="22"/>
          </w:rPr>
          <m:t>)</m:t>
        </m:r>
      </m:oMath>
      <w:r w:rsidRPr="002A4B19">
        <w:rPr>
          <w:rFonts w:eastAsia="맑은 고딕" w:cs="Times New Roman"/>
          <w:iCs/>
          <w:color w:val="auto"/>
          <w:lang w:eastAsia="ko-KR"/>
        </w:rPr>
        <w:t xml:space="preserve"> based on the perpetual-inventory method with a depreciation rate of </w:t>
      </w:r>
      <w:r w:rsidRPr="002A4B19">
        <w:rPr>
          <w:rFonts w:eastAsia="맑은 고딕" w:cs="Times New Roman"/>
          <w:i/>
          <w:iCs/>
          <w:color w:val="auto"/>
          <w:lang w:eastAsia="ko-KR"/>
        </w:rPr>
        <w:t>kdep</w:t>
      </w:r>
      <w:r w:rsidRPr="002A4B19">
        <w:rPr>
          <w:rFonts w:eastAsia="맑은 고딕" w:cs="Times New Roman"/>
          <w:iCs/>
          <w:color w:val="auto"/>
          <w:lang w:eastAsia="ko-KR"/>
        </w:rPr>
        <w:t>, as shown in Equation (8).</w:t>
      </w:r>
    </w:p>
    <w:p w:rsidR="00BB24C4" w:rsidRPr="002A4B19" w:rsidRDefault="00BB24C4" w:rsidP="00BB24C4">
      <w:pPr>
        <w:pStyle w:val="Mdeck4text"/>
        <w:rPr>
          <w:rFonts w:eastAsia="맑은 고딕" w:cs="Times New Roman"/>
          <w:iCs/>
          <w:color w:val="auto"/>
          <w:lang w:eastAsia="ko-KR"/>
        </w:rPr>
      </w:pPr>
    </w:p>
    <w:p w:rsidR="00BB24C4" w:rsidRPr="002A4B19" w:rsidRDefault="00137228" w:rsidP="00BB24C4">
      <w:pPr>
        <w:pStyle w:val="Mdeck4text"/>
        <w:ind w:firstLine="0"/>
        <w:jc w:val="center"/>
        <w:rPr>
          <w:rFonts w:eastAsiaTheme="minorEastAsia" w:cs="Times New Roman"/>
          <w:color w:val="auto"/>
          <w:sz w:val="22"/>
          <w:szCs w:val="22"/>
          <w:lang w:eastAsia="ko-KR"/>
        </w:rPr>
      </w:pPr>
      <m:oMath>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H</m:t>
            </m:r>
          </m:e>
          <m:sub>
            <m:r>
              <w:rPr>
                <w:rFonts w:ascii="Cambria Math" w:eastAsiaTheme="minorEastAsia" w:hAnsi="Cambria Math" w:cs="Times New Roman"/>
                <w:color w:val="auto"/>
                <w:sz w:val="22"/>
                <w:szCs w:val="22"/>
                <w:lang w:eastAsia="ko-KR"/>
              </w:rPr>
              <m:t>public, t</m:t>
            </m:r>
          </m:sub>
        </m:sSub>
        <m:r>
          <w:rPr>
            <w:rFonts w:ascii="Cambria Math" w:eastAsiaTheme="minorEastAsia" w:hAnsi="Cambria Math" w:cs="Times New Roman"/>
            <w:color w:val="auto"/>
            <w:sz w:val="22"/>
            <w:szCs w:val="22"/>
            <w:lang w:eastAsia="ko-KR"/>
          </w:rPr>
          <m:t>=</m:t>
        </m:r>
        <m:d>
          <m:dPr>
            <m:ctrlPr>
              <w:rPr>
                <w:rFonts w:ascii="Cambria Math" w:eastAsiaTheme="minorEastAsia" w:hAnsi="Cambria Math" w:cs="Times New Roman"/>
                <w:i/>
                <w:color w:val="auto"/>
                <w:sz w:val="22"/>
                <w:szCs w:val="22"/>
              </w:rPr>
            </m:ctrlPr>
          </m:dPr>
          <m:e>
            <m:r>
              <w:rPr>
                <w:rFonts w:ascii="Cambria Math" w:eastAsiaTheme="minorEastAsia" w:hAnsi="Cambria Math" w:cs="Times New Roman"/>
                <w:color w:val="auto"/>
                <w:sz w:val="22"/>
                <w:szCs w:val="22"/>
                <w:lang w:eastAsia="ko-KR"/>
              </w:rPr>
              <m:t>1-δ</m:t>
            </m:r>
          </m:e>
        </m:d>
        <m:r>
          <w:rPr>
            <w:rFonts w:ascii="Cambria Math" w:eastAsiaTheme="minorEastAsia" w:hAnsi="Cambria Math" w:cs="Times New Roman"/>
            <w:color w:val="auto"/>
            <w:sz w:val="22"/>
            <w:szCs w:val="22"/>
            <w:lang w:eastAsia="ko-KR"/>
          </w:rPr>
          <m:t>∙</m:t>
        </m:r>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H</m:t>
            </m:r>
          </m:e>
          <m:sub>
            <m:r>
              <w:rPr>
                <w:rFonts w:ascii="Cambria Math" w:eastAsiaTheme="minorEastAsia" w:hAnsi="Cambria Math" w:cs="Times New Roman"/>
                <w:color w:val="auto"/>
                <w:sz w:val="22"/>
                <w:szCs w:val="22"/>
                <w:lang w:eastAsia="ko-KR"/>
              </w:rPr>
              <m:t>public,t-1</m:t>
            </m:r>
          </m:sub>
        </m:sSub>
        <m:r>
          <w:rPr>
            <w:rFonts w:ascii="Cambria Math" w:eastAsiaTheme="minorEastAsia" w:hAnsi="Cambria Math" w:cs="Times New Roman"/>
            <w:color w:val="auto"/>
            <w:sz w:val="22"/>
            <w:szCs w:val="22"/>
            <w:lang w:eastAsia="ko-KR"/>
          </w:rPr>
          <m:t>+</m:t>
        </m:r>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RDZ</m:t>
            </m:r>
          </m:e>
          <m:sub>
            <m:r>
              <w:rPr>
                <w:rFonts w:ascii="Cambria Math" w:eastAsiaTheme="minorEastAsia" w:hAnsi="Cambria Math" w:cs="Times New Roman"/>
                <w:color w:val="auto"/>
                <w:sz w:val="22"/>
                <w:szCs w:val="22"/>
                <w:lang w:eastAsia="ko-KR"/>
              </w:rPr>
              <m:t>public,t-1</m:t>
            </m:r>
          </m:sub>
        </m:sSub>
      </m:oMath>
      <w:r w:rsidR="00BB24C4" w:rsidRPr="002A4B19">
        <w:rPr>
          <w:rFonts w:eastAsiaTheme="minorEastAsia" w:cs="Times New Roman"/>
          <w:color w:val="auto"/>
          <w:sz w:val="22"/>
          <w:szCs w:val="22"/>
          <w:lang w:eastAsia="ko-KR"/>
        </w:rPr>
        <w:t xml:space="preserve">      Eq. (6)</w:t>
      </w:r>
    </w:p>
    <w:p w:rsidR="00BB24C4" w:rsidRPr="002A4B19" w:rsidRDefault="00137228" w:rsidP="00BB24C4">
      <w:pPr>
        <w:pStyle w:val="Mdeck4text"/>
        <w:ind w:firstLine="0"/>
        <w:jc w:val="center"/>
        <w:rPr>
          <w:rFonts w:eastAsiaTheme="minorEastAsia" w:cs="Times New Roman"/>
          <w:color w:val="auto"/>
          <w:sz w:val="22"/>
          <w:szCs w:val="22"/>
          <w:lang w:eastAsia="ko-KR"/>
        </w:rPr>
      </w:pPr>
      <m:oMath>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H</m:t>
            </m:r>
          </m:e>
          <m:sub>
            <m:r>
              <w:rPr>
                <w:rFonts w:ascii="Cambria Math" w:eastAsiaTheme="minorEastAsia" w:hAnsi="Cambria Math" w:cs="Times New Roman"/>
                <w:color w:val="auto"/>
                <w:sz w:val="22"/>
                <w:szCs w:val="22"/>
              </w:rPr>
              <m:t>i</m:t>
            </m:r>
            <m:r>
              <w:rPr>
                <w:rFonts w:ascii="Cambria Math" w:eastAsiaTheme="minorEastAsia" w:hAnsi="Cambria Math" w:cs="Times New Roman"/>
                <w:color w:val="auto"/>
                <w:sz w:val="22"/>
                <w:szCs w:val="22"/>
                <w:lang w:eastAsia="ko-KR"/>
              </w:rPr>
              <m:t>, t</m:t>
            </m:r>
          </m:sub>
        </m:sSub>
        <m:r>
          <w:rPr>
            <w:rFonts w:ascii="Cambria Math" w:eastAsiaTheme="minorEastAsia" w:hAnsi="Cambria Math" w:cs="Times New Roman"/>
            <w:color w:val="auto"/>
            <w:sz w:val="22"/>
            <w:szCs w:val="22"/>
            <w:lang w:eastAsia="ko-KR"/>
          </w:rPr>
          <m:t>=</m:t>
        </m:r>
        <m:d>
          <m:dPr>
            <m:ctrlPr>
              <w:rPr>
                <w:rFonts w:ascii="Cambria Math" w:eastAsiaTheme="minorEastAsia" w:hAnsi="Cambria Math" w:cs="Times New Roman"/>
                <w:i/>
                <w:color w:val="auto"/>
                <w:sz w:val="22"/>
                <w:szCs w:val="22"/>
              </w:rPr>
            </m:ctrlPr>
          </m:dPr>
          <m:e>
            <m:r>
              <w:rPr>
                <w:rFonts w:ascii="Cambria Math" w:eastAsiaTheme="minorEastAsia" w:hAnsi="Cambria Math" w:cs="Times New Roman"/>
                <w:color w:val="auto"/>
                <w:sz w:val="22"/>
                <w:szCs w:val="22"/>
                <w:lang w:eastAsia="ko-KR"/>
              </w:rPr>
              <m:t>1-δ</m:t>
            </m:r>
          </m:e>
        </m:d>
        <m:r>
          <w:rPr>
            <w:rFonts w:ascii="Cambria Math" w:eastAsiaTheme="minorEastAsia" w:hAnsi="Cambria Math" w:cs="Times New Roman"/>
            <w:color w:val="auto"/>
            <w:sz w:val="22"/>
            <w:szCs w:val="22"/>
            <w:lang w:eastAsia="ko-KR"/>
          </w:rPr>
          <m:t>∙</m:t>
        </m:r>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H</m:t>
            </m:r>
          </m:e>
          <m:sub>
            <m:r>
              <w:rPr>
                <w:rFonts w:ascii="Cambria Math" w:eastAsiaTheme="minorEastAsia" w:hAnsi="Cambria Math" w:cs="Times New Roman"/>
                <w:color w:val="auto"/>
                <w:sz w:val="22"/>
                <w:szCs w:val="22"/>
                <w:lang w:eastAsia="ko-KR"/>
              </w:rPr>
              <m:t>i,t-1</m:t>
            </m:r>
          </m:sub>
        </m:sSub>
        <m:r>
          <w:rPr>
            <w:rFonts w:ascii="Cambria Math" w:eastAsiaTheme="minorEastAsia" w:hAnsi="Cambria Math" w:cs="Times New Roman"/>
            <w:color w:val="auto"/>
            <w:sz w:val="22"/>
            <w:szCs w:val="22"/>
            <w:lang w:eastAsia="ko-KR"/>
          </w:rPr>
          <m:t>+</m:t>
        </m:r>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rPr>
              <m:t>IR</m:t>
            </m:r>
          </m:e>
          <m:sub>
            <m:r>
              <w:rPr>
                <w:rFonts w:ascii="Cambria Math" w:eastAsiaTheme="minorEastAsia" w:hAnsi="Cambria Math" w:cs="Times New Roman"/>
                <w:color w:val="auto"/>
                <w:sz w:val="22"/>
                <w:szCs w:val="22"/>
              </w:rPr>
              <m:t>i</m:t>
            </m:r>
            <m:r>
              <w:rPr>
                <w:rFonts w:ascii="Cambria Math" w:eastAsiaTheme="minorEastAsia" w:hAnsi="Cambria Math" w:cs="Times New Roman"/>
                <w:color w:val="auto"/>
                <w:sz w:val="22"/>
                <w:szCs w:val="22"/>
                <w:lang w:eastAsia="ko-KR"/>
              </w:rPr>
              <m:t>,t-1</m:t>
            </m:r>
          </m:sub>
        </m:sSub>
      </m:oMath>
      <w:r w:rsidR="00BB24C4" w:rsidRPr="002A4B19">
        <w:rPr>
          <w:rFonts w:eastAsiaTheme="minorEastAsia" w:cs="Times New Roman"/>
          <w:color w:val="auto"/>
          <w:sz w:val="22"/>
          <w:szCs w:val="22"/>
          <w:lang w:eastAsia="ko-KR"/>
        </w:rPr>
        <w:t xml:space="preserve">                    Eq. (7)</w:t>
      </w:r>
    </w:p>
    <w:p w:rsidR="00BB24C4" w:rsidRPr="002A4B19" w:rsidRDefault="00137228" w:rsidP="00BB24C4">
      <w:pPr>
        <w:pStyle w:val="Mdeck4text"/>
        <w:ind w:firstLine="0"/>
        <w:jc w:val="center"/>
        <w:rPr>
          <w:rFonts w:eastAsiaTheme="minorEastAsia" w:cs="Times New Roman"/>
          <w:color w:val="auto"/>
          <w:sz w:val="22"/>
          <w:szCs w:val="22"/>
          <w:lang w:eastAsia="ko-KR"/>
        </w:rPr>
      </w:pPr>
      <m:oMath>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K</m:t>
            </m:r>
          </m:e>
          <m:sub>
            <m:r>
              <w:rPr>
                <w:rFonts w:ascii="Cambria Math" w:eastAsiaTheme="minorEastAsia" w:hAnsi="Cambria Math" w:cs="Times New Roman"/>
                <w:color w:val="auto"/>
                <w:sz w:val="22"/>
                <w:szCs w:val="22"/>
              </w:rPr>
              <m:t>i</m:t>
            </m:r>
            <m:r>
              <w:rPr>
                <w:rFonts w:ascii="Cambria Math" w:eastAsiaTheme="minorEastAsia" w:hAnsi="Cambria Math" w:cs="Times New Roman"/>
                <w:color w:val="auto"/>
                <w:sz w:val="22"/>
                <w:szCs w:val="22"/>
                <w:lang w:eastAsia="ko-KR"/>
              </w:rPr>
              <m:t>, t</m:t>
            </m:r>
          </m:sub>
        </m:sSub>
        <m:r>
          <w:rPr>
            <w:rFonts w:ascii="Cambria Math" w:eastAsiaTheme="minorEastAsia" w:hAnsi="Cambria Math" w:cs="Times New Roman"/>
            <w:color w:val="auto"/>
            <w:sz w:val="22"/>
            <w:szCs w:val="22"/>
            <w:lang w:eastAsia="ko-KR"/>
          </w:rPr>
          <m:t>=</m:t>
        </m:r>
        <m:d>
          <m:dPr>
            <m:ctrlPr>
              <w:rPr>
                <w:rFonts w:ascii="Cambria Math" w:eastAsiaTheme="minorEastAsia" w:hAnsi="Cambria Math" w:cs="Times New Roman"/>
                <w:i/>
                <w:color w:val="auto"/>
                <w:sz w:val="22"/>
                <w:szCs w:val="22"/>
              </w:rPr>
            </m:ctrlPr>
          </m:dPr>
          <m:e>
            <m:r>
              <w:rPr>
                <w:rFonts w:ascii="Cambria Math" w:eastAsiaTheme="minorEastAsia" w:hAnsi="Cambria Math" w:cs="Times New Roman"/>
                <w:color w:val="auto"/>
                <w:sz w:val="22"/>
                <w:szCs w:val="22"/>
                <w:lang w:eastAsia="ko-KR"/>
              </w:rPr>
              <m:t>1-kdep</m:t>
            </m:r>
          </m:e>
        </m:d>
        <m:r>
          <w:rPr>
            <w:rFonts w:ascii="Cambria Math" w:eastAsiaTheme="minorEastAsia" w:hAnsi="Cambria Math" w:cs="Times New Roman"/>
            <w:color w:val="auto"/>
            <w:sz w:val="22"/>
            <w:szCs w:val="22"/>
            <w:lang w:eastAsia="ko-KR"/>
          </w:rPr>
          <m:t>∙</m:t>
        </m:r>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K</m:t>
            </m:r>
          </m:e>
          <m:sub>
            <m:r>
              <w:rPr>
                <w:rFonts w:ascii="Cambria Math" w:eastAsiaTheme="minorEastAsia" w:hAnsi="Cambria Math" w:cs="Times New Roman"/>
                <w:color w:val="auto"/>
                <w:sz w:val="22"/>
                <w:szCs w:val="22"/>
                <w:lang w:eastAsia="ko-KR"/>
              </w:rPr>
              <m:t>i,t-1</m:t>
            </m:r>
          </m:sub>
        </m:sSub>
        <m:r>
          <w:rPr>
            <w:rFonts w:ascii="Cambria Math" w:eastAsiaTheme="minorEastAsia" w:hAnsi="Cambria Math" w:cs="Times New Roman"/>
            <w:color w:val="auto"/>
            <w:sz w:val="22"/>
            <w:szCs w:val="22"/>
            <w:lang w:eastAsia="ko-KR"/>
          </w:rPr>
          <m:t>+</m:t>
        </m:r>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rPr>
              <m:t>IK</m:t>
            </m:r>
          </m:e>
          <m:sub>
            <m:r>
              <w:rPr>
                <w:rFonts w:ascii="Cambria Math" w:eastAsiaTheme="minorEastAsia" w:hAnsi="Cambria Math" w:cs="Times New Roman"/>
                <w:color w:val="auto"/>
                <w:sz w:val="22"/>
                <w:szCs w:val="22"/>
              </w:rPr>
              <m:t>i</m:t>
            </m:r>
            <m:r>
              <w:rPr>
                <w:rFonts w:ascii="Cambria Math" w:eastAsiaTheme="minorEastAsia" w:hAnsi="Cambria Math" w:cs="Times New Roman"/>
                <w:color w:val="auto"/>
                <w:sz w:val="22"/>
                <w:szCs w:val="22"/>
                <w:lang w:eastAsia="ko-KR"/>
              </w:rPr>
              <m:t>,t-1</m:t>
            </m:r>
          </m:sub>
        </m:sSub>
      </m:oMath>
      <w:r w:rsidR="00BB24C4" w:rsidRPr="002A4B19">
        <w:rPr>
          <w:rFonts w:eastAsiaTheme="minorEastAsia" w:cs="Times New Roman"/>
          <w:color w:val="auto"/>
          <w:sz w:val="22"/>
          <w:szCs w:val="22"/>
          <w:lang w:eastAsia="ko-KR"/>
        </w:rPr>
        <w:t xml:space="preserve">                 Eq. (8)</w:t>
      </w:r>
    </w:p>
    <w:p w:rsidR="00BB24C4" w:rsidRPr="002A4B19" w:rsidRDefault="00BB24C4" w:rsidP="00BB24C4">
      <w:pPr>
        <w:pStyle w:val="Mdeck4text"/>
        <w:rPr>
          <w:rFonts w:eastAsiaTheme="minorEastAsia" w:cs="Times New Roman"/>
          <w:color w:val="auto"/>
          <w:lang w:eastAsia="ko-KR"/>
        </w:rPr>
      </w:pPr>
    </w:p>
    <w:p w:rsidR="00BB24C4" w:rsidRPr="002A4B19" w:rsidRDefault="00BB24C4" w:rsidP="00BB24C4">
      <w:pPr>
        <w:pStyle w:val="Mdeck4text"/>
        <w:rPr>
          <w:rFonts w:eastAsiaTheme="minorEastAsia" w:cs="Times New Roman"/>
          <w:color w:val="auto"/>
          <w:lang w:eastAsia="ko-KR"/>
        </w:rPr>
      </w:pPr>
      <w:r w:rsidRPr="002A4B19">
        <w:rPr>
          <w:rFonts w:eastAsiaTheme="minorEastAsia" w:cs="Times New Roman"/>
          <w:color w:val="auto"/>
          <w:lang w:eastAsia="ko-KR"/>
        </w:rPr>
        <w:t>Based on the descriptions of the production structure of final and R&amp;D investment goods, we can depict key components of the production structure in the knowledge-based CGE model as shown in Figure 3. It can be understood that knowledge capital stock (</w:t>
      </w:r>
      <m:oMath>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H</m:t>
            </m:r>
          </m:e>
          <m:sub>
            <m:r>
              <w:rPr>
                <w:rFonts w:ascii="Cambria Math" w:eastAsiaTheme="minorEastAsia" w:hAnsi="Cambria Math" w:cs="Times New Roman"/>
                <w:color w:val="auto"/>
                <w:sz w:val="22"/>
                <w:szCs w:val="22"/>
              </w:rPr>
              <m:t>i</m:t>
            </m:r>
          </m:sub>
        </m:sSub>
      </m:oMath>
      <w:r w:rsidRPr="002A4B19">
        <w:rPr>
          <w:rFonts w:eastAsiaTheme="minorEastAsia" w:cs="Times New Roman"/>
          <w:color w:val="auto"/>
          <w:lang w:eastAsia="ko-KR"/>
        </w:rPr>
        <w:t>) is considered as an additional factor input, and it is a sector-specific asset that is accumulated through R&amp;D investments in the sector (</w:t>
      </w:r>
      <m:oMath>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IR</m:t>
            </m:r>
          </m:e>
          <m:sub>
            <m:r>
              <w:rPr>
                <w:rFonts w:ascii="Cambria Math" w:eastAsiaTheme="minorEastAsia" w:hAnsi="Cambria Math" w:cs="Times New Roman"/>
                <w:color w:val="auto"/>
                <w:sz w:val="22"/>
                <w:szCs w:val="22"/>
              </w:rPr>
              <m:t>i</m:t>
            </m:r>
          </m:sub>
        </m:sSub>
      </m:oMath>
      <w:r w:rsidRPr="002A4B19">
        <w:rPr>
          <w:rFonts w:eastAsiaTheme="minorEastAsia" w:cs="Times New Roman"/>
          <w:color w:val="auto"/>
          <w:lang w:eastAsia="ko-KR"/>
        </w:rPr>
        <w:t>). These methodological settings imply that sector-specific R&amp;D investment for knowledge accumulation bring about technological progress, which enhances the productivity of its own production process. In other words, increasing knowledge stock from R&amp;D investments increases the productivity of other production factors, which means that increased knowledge is accompanied by reduced labor and capital requirements for the production process.</w:t>
      </w:r>
    </w:p>
    <w:p w:rsidR="00BB24C4" w:rsidRPr="002A4B19" w:rsidRDefault="00BB24C4" w:rsidP="00BB24C4">
      <w:pPr>
        <w:pStyle w:val="Mdeck4text"/>
        <w:rPr>
          <w:rFonts w:eastAsiaTheme="minorEastAsia" w:cs="Times New Roman"/>
          <w:color w:val="auto"/>
          <w:lang w:eastAsia="ko-KR"/>
        </w:rPr>
      </w:pPr>
    </w:p>
    <w:p w:rsidR="00BB24C4" w:rsidRPr="002A4B19" w:rsidRDefault="00BB24C4" w:rsidP="00BB24C4">
      <w:pPr>
        <w:pStyle w:val="Mdeck4text"/>
        <w:keepNext/>
        <w:ind w:firstLine="0"/>
        <w:jc w:val="center"/>
        <w:rPr>
          <w:color w:val="auto"/>
        </w:rPr>
      </w:pPr>
      <w:r w:rsidRPr="002A4B19">
        <w:rPr>
          <w:noProof/>
          <w:color w:val="auto"/>
          <w:lang w:eastAsia="ko-KR" w:bidi="ar-SA"/>
        </w:rPr>
        <w:lastRenderedPageBreak/>
        <w:drawing>
          <wp:inline distT="0" distB="0" distL="0" distR="0" wp14:anchorId="65558177" wp14:editId="1C54ACAA">
            <wp:extent cx="5184488" cy="3265200"/>
            <wp:effectExtent l="0" t="0" r="0" b="0"/>
            <wp:docPr id="206" name="그림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84488" cy="3265200"/>
                    </a:xfrm>
                    <a:prstGeom prst="rect">
                      <a:avLst/>
                    </a:prstGeom>
                    <a:noFill/>
                  </pic:spPr>
                </pic:pic>
              </a:graphicData>
            </a:graphic>
          </wp:inline>
        </w:drawing>
      </w:r>
    </w:p>
    <w:p w:rsidR="00BB24C4" w:rsidRPr="002A4B19" w:rsidRDefault="00BB24C4" w:rsidP="00BB24C4">
      <w:pPr>
        <w:pStyle w:val="a6"/>
        <w:jc w:val="center"/>
        <w:rPr>
          <w:rFonts w:cs="Times New Roman"/>
          <w:szCs w:val="24"/>
        </w:rPr>
      </w:pPr>
      <w:r w:rsidRPr="002A4B19">
        <w:rPr>
          <w:rFonts w:ascii="Times New Roman" w:hAnsi="Times New Roman" w:cs="Times New Roman"/>
          <w:b w:val="0"/>
          <w:sz w:val="24"/>
          <w:szCs w:val="24"/>
        </w:rPr>
        <w:t xml:space="preserve">Figure </w:t>
      </w:r>
      <w:r w:rsidRPr="002A4B19">
        <w:rPr>
          <w:rFonts w:ascii="Times New Roman" w:hAnsi="Times New Roman" w:cs="Times New Roman"/>
          <w:b w:val="0"/>
          <w:sz w:val="24"/>
          <w:szCs w:val="24"/>
        </w:rPr>
        <w:fldChar w:fldCharType="begin"/>
      </w:r>
      <w:r w:rsidRPr="002A4B19">
        <w:rPr>
          <w:rFonts w:ascii="Times New Roman" w:hAnsi="Times New Roman" w:cs="Times New Roman"/>
          <w:b w:val="0"/>
          <w:sz w:val="24"/>
          <w:szCs w:val="24"/>
        </w:rPr>
        <w:instrText xml:space="preserve"> SEQ Figure \* ARABIC </w:instrText>
      </w:r>
      <w:r w:rsidRPr="002A4B19">
        <w:rPr>
          <w:rFonts w:ascii="Times New Roman" w:hAnsi="Times New Roman" w:cs="Times New Roman"/>
          <w:b w:val="0"/>
          <w:sz w:val="24"/>
          <w:szCs w:val="24"/>
        </w:rPr>
        <w:fldChar w:fldCharType="separate"/>
      </w:r>
      <w:r w:rsidRPr="002A4B19">
        <w:rPr>
          <w:rFonts w:ascii="Times New Roman" w:hAnsi="Times New Roman" w:cs="Times New Roman"/>
          <w:b w:val="0"/>
          <w:sz w:val="24"/>
          <w:szCs w:val="24"/>
        </w:rPr>
        <w:t>3</w:t>
      </w:r>
      <w:r w:rsidRPr="002A4B19">
        <w:rPr>
          <w:rFonts w:ascii="Times New Roman" w:hAnsi="Times New Roman" w:cs="Times New Roman"/>
          <w:b w:val="0"/>
          <w:sz w:val="24"/>
          <w:szCs w:val="24"/>
        </w:rPr>
        <w:fldChar w:fldCharType="end"/>
      </w:r>
      <w:r w:rsidRPr="002A4B19">
        <w:rPr>
          <w:rFonts w:ascii="Times New Roman" w:hAnsi="Times New Roman" w:cs="Times New Roman"/>
          <w:b w:val="0"/>
          <w:sz w:val="24"/>
          <w:szCs w:val="24"/>
        </w:rPr>
        <w:t>. Production structure of final goods, including R&amp;D investments</w:t>
      </w:r>
    </w:p>
    <w:p w:rsidR="00BB24C4" w:rsidRPr="002A4B19" w:rsidRDefault="00BB24C4"/>
    <w:p w:rsidR="00454632" w:rsidRPr="002A4B19" w:rsidRDefault="00454632" w:rsidP="00454632">
      <w:pPr>
        <w:pStyle w:val="Mdeck4heading2"/>
        <w:spacing w:before="0"/>
        <w:rPr>
          <w:rFonts w:cs="Times New Roman"/>
          <w:b/>
          <w:color w:val="auto"/>
        </w:rPr>
      </w:pPr>
      <w:r w:rsidRPr="002A4B19">
        <w:rPr>
          <w:rFonts w:cs="Times New Roman"/>
          <w:b/>
          <w:color w:val="auto"/>
        </w:rPr>
        <w:t>3.4 The structure of knowledge-based CGE model: Knowledge spillover effects</w:t>
      </w:r>
    </w:p>
    <w:p w:rsidR="00454632" w:rsidRPr="002A4B19" w:rsidRDefault="00454632" w:rsidP="00454632">
      <w:pPr>
        <w:pStyle w:val="Mdeck4text"/>
        <w:rPr>
          <w:rFonts w:eastAsiaTheme="minorEastAsia" w:cs="Times New Roman"/>
          <w:color w:val="auto"/>
          <w:szCs w:val="24"/>
          <w:lang w:eastAsia="ko-KR"/>
        </w:rPr>
      </w:pPr>
      <w:r w:rsidRPr="002A4B19">
        <w:rPr>
          <w:rFonts w:eastAsiaTheme="minorEastAsia" w:cs="Times New Roman"/>
          <w:color w:val="auto"/>
          <w:lang w:eastAsia="ko-KR"/>
        </w:rPr>
        <w:t xml:space="preserve">One of the key issues in dealing with R&amp;D is how to deal with knowledge spillover effects, which are a typical feature of R&amp;D. In our model, the knowledge spillover effect from other sectors is set to </w:t>
      </w:r>
      <w:r w:rsidRPr="002A4B19">
        <w:rPr>
          <w:rFonts w:eastAsiaTheme="minorEastAsia" w:cs="Times New Roman"/>
          <w:color w:val="auto"/>
          <w:szCs w:val="24"/>
          <w:lang w:eastAsia="ko-KR"/>
        </w:rPr>
        <w:t xml:space="preserve">be proportional to the volume of intermediates’ transactions on the I–O table, using the method of Terleckyj (1980) and Hwang and Lee (2014). This methodological approach implies that industries’ innovations significantly influence the knowledge pools in external industries. For example, some industries can improve their productivity through product-embodied innovations, created from outside the sector (Hwang and Lee, 2014). As shown in Equation (9), the amount of knowledge that spilled over from </w:t>
      </w:r>
      <w:r w:rsidRPr="002A4B19">
        <w:rPr>
          <w:rFonts w:cs="Times New Roman"/>
          <w:i/>
          <w:color w:val="auto"/>
          <w:szCs w:val="24"/>
        </w:rPr>
        <w:t>j</w:t>
      </w:r>
      <w:r w:rsidRPr="002A4B19">
        <w:rPr>
          <w:rFonts w:eastAsiaTheme="minorEastAsia" w:cs="Times New Roman"/>
          <w:color w:val="auto"/>
          <w:szCs w:val="24"/>
          <w:lang w:eastAsia="ko-KR"/>
        </w:rPr>
        <w:t xml:space="preserve">-th sector to the </w:t>
      </w:r>
      <w:r w:rsidRPr="002A4B19">
        <w:rPr>
          <w:rFonts w:cs="Times New Roman"/>
          <w:i/>
          <w:color w:val="auto"/>
          <w:szCs w:val="24"/>
        </w:rPr>
        <w:t>i</w:t>
      </w:r>
      <w:r w:rsidRPr="002A4B19">
        <w:rPr>
          <w:rFonts w:eastAsiaTheme="minorEastAsia" w:cs="Times New Roman"/>
          <w:color w:val="auto"/>
          <w:szCs w:val="24"/>
          <w:lang w:eastAsia="ko-KR"/>
        </w:rPr>
        <w:t xml:space="preserve">-th sector is assumed to be proportional to the volume of intermediates’ transactions from the </w:t>
      </w:r>
      <w:r w:rsidRPr="002A4B19">
        <w:rPr>
          <w:rFonts w:eastAsiaTheme="minorEastAsia" w:cs="Times New Roman"/>
          <w:i/>
          <w:color w:val="auto"/>
          <w:szCs w:val="24"/>
          <w:lang w:eastAsia="ko-KR"/>
        </w:rPr>
        <w:t>j</w:t>
      </w:r>
      <w:r w:rsidRPr="002A4B19">
        <w:rPr>
          <w:rFonts w:eastAsiaTheme="minorEastAsia" w:cs="Times New Roman"/>
          <w:color w:val="auto"/>
          <w:szCs w:val="24"/>
          <w:lang w:eastAsia="ko-KR"/>
        </w:rPr>
        <w:t xml:space="preserve">-th sector to the </w:t>
      </w:r>
      <w:r w:rsidRPr="002A4B19">
        <w:rPr>
          <w:rFonts w:eastAsiaTheme="minorEastAsia" w:cs="Times New Roman"/>
          <w:i/>
          <w:color w:val="auto"/>
          <w:szCs w:val="24"/>
          <w:lang w:eastAsia="ko-KR"/>
        </w:rPr>
        <w:t>i</w:t>
      </w:r>
      <w:r w:rsidRPr="002A4B19">
        <w:rPr>
          <w:rFonts w:eastAsiaTheme="minorEastAsia" w:cs="Times New Roman"/>
          <w:color w:val="auto"/>
          <w:szCs w:val="24"/>
          <w:lang w:eastAsia="ko-KR"/>
        </w:rPr>
        <w:t xml:space="preserve">-th sector in the I–O table (Terleckyj, 1980; Hwang and Lee, 2014). The value of </w:t>
      </w:r>
      <m:oMath>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INTINDST</m:t>
            </m:r>
          </m:e>
          <m:sub>
            <m:r>
              <w:rPr>
                <w:rFonts w:ascii="Cambria Math" w:eastAsiaTheme="minorEastAsia" w:hAnsi="Cambria Math" w:cs="Times New Roman"/>
                <w:color w:val="auto"/>
                <w:sz w:val="22"/>
                <w:szCs w:val="22"/>
                <w:lang w:eastAsia="ko-KR"/>
              </w:rPr>
              <m:t>i</m:t>
            </m:r>
          </m:sub>
        </m:sSub>
      </m:oMath>
      <w:r w:rsidRPr="002A4B19">
        <w:rPr>
          <w:rFonts w:eastAsiaTheme="minorEastAsia" w:cs="Times New Roman"/>
          <w:color w:val="auto"/>
          <w:sz w:val="22"/>
          <w:szCs w:val="22"/>
          <w:lang w:eastAsia="ko-KR"/>
        </w:rPr>
        <w:t xml:space="preserve"> (i.e., the spillover knowledge from other sectors) for the </w:t>
      </w:r>
      <w:r w:rsidRPr="002A4B19">
        <w:rPr>
          <w:rFonts w:eastAsiaTheme="minorEastAsia" w:cs="Times New Roman"/>
          <w:i/>
          <w:color w:val="auto"/>
          <w:sz w:val="22"/>
          <w:szCs w:val="22"/>
          <w:lang w:eastAsia="ko-KR"/>
        </w:rPr>
        <w:t>i-th</w:t>
      </w:r>
      <w:r w:rsidRPr="002A4B19">
        <w:rPr>
          <w:rFonts w:eastAsiaTheme="minorEastAsia" w:cs="Times New Roman"/>
          <w:color w:val="auto"/>
          <w:sz w:val="22"/>
          <w:szCs w:val="22"/>
          <w:lang w:eastAsia="ko-KR"/>
        </w:rPr>
        <w:t xml:space="preserve"> sector </w:t>
      </w:r>
      <w:r w:rsidRPr="002A4B19">
        <w:rPr>
          <w:rFonts w:eastAsiaTheme="minorEastAsia" w:cs="Times New Roman"/>
          <w:color w:val="auto"/>
          <w:szCs w:val="24"/>
          <w:lang w:eastAsia="ko-KR"/>
        </w:rPr>
        <w:t>is derived by adding up the knowledge stock of other industries, weighted by the proportion (</w:t>
      </w:r>
      <w:r w:rsidRPr="002A4B19">
        <w:rPr>
          <w:rFonts w:eastAsiaTheme="minorEastAsia" w:cs="Times New Roman"/>
          <w:i/>
          <w:color w:val="auto"/>
          <w:szCs w:val="24"/>
          <w:lang w:eastAsia="ko-KR"/>
        </w:rPr>
        <w:t>other0</w:t>
      </w:r>
      <w:r w:rsidRPr="002A4B19">
        <w:rPr>
          <w:rFonts w:eastAsiaTheme="minorEastAsia" w:cs="Times New Roman"/>
          <w:color w:val="auto"/>
          <w:szCs w:val="24"/>
          <w:lang w:eastAsia="ko-KR"/>
        </w:rPr>
        <w:t>) of the volume of intermediates’ transactions between the given industry (</w:t>
      </w:r>
      <w:r w:rsidRPr="002A4B19">
        <w:rPr>
          <w:rFonts w:eastAsiaTheme="minorEastAsia" w:cs="Times New Roman"/>
          <w:i/>
          <w:color w:val="auto"/>
          <w:szCs w:val="24"/>
          <w:lang w:eastAsia="ko-KR"/>
        </w:rPr>
        <w:t>i-th</w:t>
      </w:r>
      <w:r w:rsidRPr="002A4B19">
        <w:rPr>
          <w:rFonts w:eastAsiaTheme="minorEastAsia" w:cs="Times New Roman"/>
          <w:color w:val="auto"/>
          <w:szCs w:val="24"/>
          <w:lang w:eastAsia="ko-KR"/>
        </w:rPr>
        <w:t xml:space="preserve"> sector) and other industries.</w:t>
      </w:r>
    </w:p>
    <w:p w:rsidR="00454632" w:rsidRPr="002A4B19" w:rsidRDefault="00454632" w:rsidP="00454632">
      <w:pPr>
        <w:pStyle w:val="Mdeck4text"/>
        <w:rPr>
          <w:rFonts w:eastAsiaTheme="minorEastAsia" w:cs="Times New Roman"/>
          <w:color w:val="auto"/>
          <w:lang w:eastAsia="ko-KR"/>
        </w:rPr>
      </w:pPr>
    </w:p>
    <w:p w:rsidR="00454632" w:rsidRPr="002A4B19" w:rsidRDefault="00137228" w:rsidP="00454632">
      <w:pPr>
        <w:pStyle w:val="Mdeck4text"/>
        <w:jc w:val="center"/>
        <w:rPr>
          <w:rFonts w:eastAsiaTheme="minorEastAsia" w:cs="Times New Roman"/>
          <w:color w:val="auto"/>
          <w:sz w:val="22"/>
          <w:szCs w:val="22"/>
          <w:lang w:eastAsia="ko-KR"/>
        </w:rPr>
      </w:pPr>
      <m:oMath>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INTINDST</m:t>
            </m:r>
          </m:e>
          <m:sub>
            <m:r>
              <w:rPr>
                <w:rFonts w:ascii="Cambria Math" w:eastAsiaTheme="minorEastAsia" w:hAnsi="Cambria Math" w:cs="Times New Roman"/>
                <w:color w:val="auto"/>
                <w:sz w:val="22"/>
                <w:szCs w:val="22"/>
                <w:lang w:eastAsia="ko-KR"/>
              </w:rPr>
              <m:t>i</m:t>
            </m:r>
          </m:sub>
        </m:sSub>
        <m:r>
          <w:rPr>
            <w:rFonts w:ascii="Cambria Math" w:eastAsiaTheme="minorEastAsia" w:hAnsi="Cambria Math" w:cs="Times New Roman"/>
            <w:color w:val="auto"/>
            <w:sz w:val="22"/>
            <w:szCs w:val="22"/>
            <w:lang w:eastAsia="ko-KR"/>
          </w:rPr>
          <m:t>=</m:t>
        </m:r>
        <m:nary>
          <m:naryPr>
            <m:chr m:val="∑"/>
            <m:limLoc m:val="undOvr"/>
            <m:supHide m:val="1"/>
            <m:ctrlPr>
              <w:rPr>
                <w:rFonts w:ascii="Cambria Math" w:eastAsiaTheme="minorEastAsia" w:hAnsi="Cambria Math" w:cs="Times New Roman"/>
                <w:i/>
                <w:color w:val="auto"/>
                <w:sz w:val="22"/>
                <w:szCs w:val="22"/>
              </w:rPr>
            </m:ctrlPr>
          </m:naryPr>
          <m:sub>
            <m:r>
              <w:rPr>
                <w:rFonts w:ascii="Cambria Math" w:eastAsiaTheme="minorEastAsia" w:hAnsi="Cambria Math" w:cs="Times New Roman"/>
                <w:color w:val="auto"/>
                <w:sz w:val="22"/>
                <w:szCs w:val="22"/>
                <w:lang w:eastAsia="ko-KR"/>
              </w:rPr>
              <m:t>j,j≠i</m:t>
            </m:r>
          </m:sub>
          <m:sup/>
          <m:e>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other0</m:t>
                </m:r>
              </m:e>
              <m:sub>
                <m:r>
                  <w:rPr>
                    <w:rFonts w:ascii="Cambria Math" w:eastAsiaTheme="minorEastAsia" w:hAnsi="Cambria Math" w:cs="Times New Roman"/>
                    <w:color w:val="auto"/>
                    <w:sz w:val="22"/>
                    <w:szCs w:val="22"/>
                    <w:lang w:eastAsia="ko-KR"/>
                  </w:rPr>
                  <m:t>j,i</m:t>
                </m:r>
              </m:sub>
            </m:sSub>
            <m:r>
              <w:rPr>
                <w:rFonts w:ascii="Cambria Math" w:eastAsiaTheme="minorEastAsia" w:hAnsi="Cambria Math" w:cs="Times New Roman"/>
                <w:color w:val="auto"/>
                <w:sz w:val="22"/>
                <w:szCs w:val="22"/>
                <w:lang w:eastAsia="ko-KR"/>
              </w:rPr>
              <m:t>∙</m:t>
            </m:r>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H</m:t>
                </m:r>
              </m:e>
              <m:sub>
                <m:r>
                  <w:rPr>
                    <w:rFonts w:ascii="Cambria Math" w:eastAsiaTheme="minorEastAsia" w:hAnsi="Cambria Math" w:cs="Times New Roman"/>
                    <w:color w:val="auto"/>
                    <w:sz w:val="22"/>
                    <w:szCs w:val="22"/>
                    <w:lang w:eastAsia="ko-KR"/>
                  </w:rPr>
                  <m:t>j</m:t>
                </m:r>
              </m:sub>
            </m:sSub>
          </m:e>
        </m:nary>
      </m:oMath>
      <w:r w:rsidR="00454632" w:rsidRPr="002A4B19">
        <w:rPr>
          <w:rFonts w:eastAsiaTheme="minorEastAsia" w:cs="Times New Roman"/>
          <w:color w:val="auto"/>
          <w:sz w:val="22"/>
          <w:szCs w:val="22"/>
          <w:lang w:eastAsia="ko-KR"/>
        </w:rPr>
        <w:t xml:space="preserve">      Eq. (9)</w:t>
      </w:r>
    </w:p>
    <w:p w:rsidR="00454632" w:rsidRPr="002A4B19" w:rsidRDefault="00454632" w:rsidP="00454632">
      <w:pPr>
        <w:pStyle w:val="Mdeck4text"/>
        <w:rPr>
          <w:rFonts w:eastAsiaTheme="minorEastAsia" w:cs="Times New Roman"/>
          <w:color w:val="auto"/>
          <w:lang w:eastAsia="ko-KR"/>
        </w:rPr>
      </w:pPr>
    </w:p>
    <w:p w:rsidR="00454632" w:rsidRPr="002A4B19" w:rsidRDefault="00454632" w:rsidP="00454632">
      <w:pPr>
        <w:pStyle w:val="Mdeck4text"/>
        <w:rPr>
          <w:rFonts w:eastAsiaTheme="minorEastAsia" w:cs="Times New Roman"/>
          <w:color w:val="auto"/>
          <w:lang w:eastAsia="ko-KR"/>
        </w:rPr>
      </w:pPr>
      <w:r w:rsidRPr="002A4B19">
        <w:rPr>
          <w:rFonts w:eastAsiaTheme="minorEastAsia" w:cs="Times New Roman"/>
          <w:color w:val="auto"/>
          <w:lang w:eastAsia="ko-KR"/>
        </w:rPr>
        <w:t xml:space="preserve">On the other hand, public knowledge capital stock is assumed to be public goods, which can be used by all industries, thereby influencing their productivity. </w:t>
      </w:r>
      <w:r w:rsidRPr="002A4B19">
        <w:rPr>
          <w:color w:val="auto"/>
        </w:rPr>
        <w:t>In general, government laboratories are primarily concerned with meeting public needs, and universities and public research institutes mainly focus on the generation of basic knowledge (</w:t>
      </w:r>
      <w:r w:rsidRPr="002A4B19">
        <w:rPr>
          <w:rFonts w:eastAsiaTheme="minorEastAsia" w:cs="Times New Roman"/>
          <w:color w:val="auto"/>
          <w:lang w:eastAsia="ko-KR"/>
        </w:rPr>
        <w:t xml:space="preserve">Guellec and Potterie, </w:t>
      </w:r>
      <w:r w:rsidRPr="002A4B19">
        <w:rPr>
          <w:rFonts w:eastAsiaTheme="minorEastAsia" w:cs="Times New Roman"/>
          <w:color w:val="auto"/>
          <w:lang w:eastAsia="ko-KR"/>
        </w:rPr>
        <w:lastRenderedPageBreak/>
        <w:t>2003; 2001). Guellec and Potterie (2001) stated that new knowledge from basic research performed by public institutions (especially universities) enhances the stock of knowledge of the society. They also argued that industrial sectors do not fully compensate government for the benefits from public R&amp;D in general. Hong et al. (2014) also highlighted that outcomes of public R&amp;D activities are non-excludable and non-rival. Based on these discussions on the role of public R&amp;D activities, we have assumed that public knowledge stock has spillover effects on all industries in the economy.</w:t>
      </w:r>
    </w:p>
    <w:p w:rsidR="00454632" w:rsidRPr="002A4B19" w:rsidRDefault="00454632" w:rsidP="00454632">
      <w:pPr>
        <w:pStyle w:val="Mdeck4text"/>
        <w:rPr>
          <w:rFonts w:eastAsiaTheme="minorEastAsia" w:cs="Times New Roman"/>
          <w:color w:val="auto"/>
          <w:lang w:eastAsia="ko-KR"/>
        </w:rPr>
      </w:pPr>
      <w:r w:rsidRPr="002A4B19">
        <w:rPr>
          <w:rFonts w:eastAsiaTheme="minorEastAsia" w:cs="Times New Roman"/>
          <w:color w:val="auto"/>
          <w:lang w:eastAsia="ko-KR"/>
        </w:rPr>
        <w:t>In this regard, the spillover coefficient (</w:t>
      </w:r>
      <m:oMath>
        <m:sSub>
          <m:sSubPr>
            <m:ctrlPr>
              <w:rPr>
                <w:rFonts w:ascii="Cambria Math" w:eastAsiaTheme="minorEastAsia" w:hAnsi="Cambria Math" w:cs="Times New Roman"/>
                <w:color w:val="auto"/>
                <w:lang w:eastAsia="ko-KR"/>
              </w:rPr>
            </m:ctrlPr>
          </m:sSubPr>
          <m:e>
            <m:r>
              <w:rPr>
                <w:rFonts w:ascii="Cambria Math" w:eastAsiaTheme="minorEastAsia" w:hAnsi="Cambria Math" w:cs="Times New Roman"/>
                <w:color w:val="auto"/>
                <w:lang w:eastAsia="ko-KR"/>
              </w:rPr>
              <m:t>SPCOEFF</m:t>
            </m:r>
          </m:e>
          <m:sub>
            <m:r>
              <w:rPr>
                <w:rFonts w:ascii="Cambria Math" w:eastAsiaTheme="minorEastAsia" w:hAnsi="Cambria Math" w:cs="Times New Roman"/>
                <w:color w:val="auto"/>
                <w:lang w:eastAsia="ko-KR"/>
              </w:rPr>
              <m:t>i</m:t>
            </m:r>
          </m:sub>
        </m:sSub>
      </m:oMath>
      <w:r w:rsidRPr="002A4B19">
        <w:rPr>
          <w:rFonts w:eastAsiaTheme="minorEastAsia" w:cs="Times New Roman"/>
          <w:color w:val="auto"/>
          <w:lang w:eastAsia="ko-KR"/>
        </w:rPr>
        <w:t>) can be defined as a function of a government’s knowledge stock (</w:t>
      </w:r>
      <m:oMath>
        <m:sSub>
          <m:sSubPr>
            <m:ctrlPr>
              <w:rPr>
                <w:rFonts w:ascii="Cambria Math" w:eastAsiaTheme="minorEastAsia" w:hAnsi="Cambria Math" w:cs="Times New Roman"/>
                <w:color w:val="auto"/>
                <w:lang w:eastAsia="ko-KR"/>
              </w:rPr>
            </m:ctrlPr>
          </m:sSubPr>
          <m:e>
            <m:r>
              <w:rPr>
                <w:rFonts w:ascii="Cambria Math" w:eastAsiaTheme="minorEastAsia" w:hAnsi="Cambria Math" w:cs="Times New Roman"/>
                <w:color w:val="auto"/>
                <w:lang w:eastAsia="ko-KR"/>
              </w:rPr>
              <m:t>H</m:t>
            </m:r>
          </m:e>
          <m:sub>
            <m:r>
              <w:rPr>
                <w:rFonts w:ascii="Cambria Math" w:eastAsiaTheme="minorEastAsia" w:hAnsi="Cambria Math" w:cs="Times New Roman"/>
                <w:color w:val="auto"/>
                <w:lang w:eastAsia="ko-KR"/>
              </w:rPr>
              <m:t>public</m:t>
            </m:r>
          </m:sub>
        </m:sSub>
        <m:r>
          <m:rPr>
            <m:sty m:val="p"/>
          </m:rPr>
          <w:rPr>
            <w:rFonts w:ascii="Cambria Math" w:eastAsiaTheme="minorEastAsia" w:hAnsi="Cambria Math" w:cs="Times New Roman"/>
            <w:color w:val="auto"/>
            <w:lang w:eastAsia="ko-KR"/>
          </w:rPr>
          <m:t>)</m:t>
        </m:r>
      </m:oMath>
      <w:r w:rsidRPr="002A4B19">
        <w:rPr>
          <w:rFonts w:eastAsiaTheme="minorEastAsia" w:cs="Times New Roman"/>
          <w:color w:val="auto"/>
          <w:lang w:eastAsia="ko-KR"/>
        </w:rPr>
        <w:t xml:space="preserve"> and other sectors’ knowledge stocks (</w:t>
      </w:r>
      <m:oMath>
        <m:sSub>
          <m:sSubPr>
            <m:ctrlPr>
              <w:rPr>
                <w:rFonts w:ascii="Cambria Math" w:eastAsiaTheme="minorEastAsia" w:hAnsi="Cambria Math" w:cs="Times New Roman"/>
                <w:color w:val="auto"/>
                <w:lang w:eastAsia="ko-KR"/>
              </w:rPr>
            </m:ctrlPr>
          </m:sSubPr>
          <m:e>
            <m:r>
              <w:rPr>
                <w:rFonts w:ascii="Cambria Math" w:eastAsiaTheme="minorEastAsia" w:hAnsi="Cambria Math" w:cs="Times New Roman"/>
                <w:color w:val="auto"/>
                <w:lang w:eastAsia="ko-KR"/>
              </w:rPr>
              <m:t>INTINDST</m:t>
            </m:r>
          </m:e>
          <m:sub>
            <m:r>
              <w:rPr>
                <w:rFonts w:ascii="Cambria Math" w:eastAsiaTheme="minorEastAsia" w:hAnsi="Cambria Math" w:cs="Times New Roman"/>
                <w:color w:val="auto"/>
                <w:lang w:eastAsia="ko-KR"/>
              </w:rPr>
              <m:t>i</m:t>
            </m:r>
          </m:sub>
        </m:sSub>
        <m:r>
          <m:rPr>
            <m:sty m:val="p"/>
          </m:rPr>
          <w:rPr>
            <w:rFonts w:ascii="Cambria Math" w:eastAsiaTheme="minorEastAsia" w:hAnsi="Cambria Math" w:cs="Times New Roman"/>
            <w:color w:val="auto"/>
            <w:lang w:eastAsia="ko-KR"/>
          </w:rPr>
          <m:t>)</m:t>
        </m:r>
      </m:oMath>
      <w:r w:rsidRPr="002A4B19">
        <w:rPr>
          <w:rFonts w:eastAsiaTheme="minorEastAsia" w:cs="Times New Roman"/>
          <w:color w:val="auto"/>
          <w:lang w:eastAsia="ko-KR"/>
        </w:rPr>
        <w:t xml:space="preserve">, as shown in Equation (10). </w:t>
      </w:r>
      <w:r w:rsidRPr="002A4B19">
        <w:rPr>
          <w:rFonts w:eastAsiaTheme="minorEastAsia" w:cs="Times New Roman"/>
          <w:color w:val="auto"/>
          <w:szCs w:val="24"/>
          <w:lang w:eastAsia="ko-KR"/>
        </w:rPr>
        <w:t xml:space="preserve">Values for elasticities of private and public knowledge stocks are drawn from previous studies (Hong et al., 2014; Hwang et al., 2008). </w:t>
      </w:r>
      <w:hyperlink w:anchor="_ENREF_1" w:tooltip="Guellec, 2003 #233" w:history="1"/>
      <w:r w:rsidRPr="002A4B19">
        <w:rPr>
          <w:rFonts w:eastAsiaTheme="minorEastAsia" w:cs="Times New Roman"/>
          <w:color w:val="auto"/>
          <w:lang w:eastAsia="ko-KR"/>
        </w:rPr>
        <w:t xml:space="preserve">Those two types of knowledge spillovers result in TFP changes in a production function for each sector. The relationship between the knowledge spillovers from others’ knowledge stocks and TFP changes in the production function can be described as Equations (11) and (12). In Equation (11), </w:t>
      </w:r>
      <m:oMath>
        <m:sSub>
          <m:sSubPr>
            <m:ctrlPr>
              <w:rPr>
                <w:rFonts w:ascii="Cambria Math" w:eastAsiaTheme="minorEastAsia" w:hAnsi="Cambria Math" w:cs="Times New Roman"/>
                <w:color w:val="auto"/>
                <w:szCs w:val="24"/>
              </w:rPr>
            </m:ctrlPr>
          </m:sSubPr>
          <m:e>
            <m:r>
              <w:rPr>
                <w:rFonts w:ascii="Cambria Math" w:eastAsiaTheme="minorEastAsia" w:hAnsi="Cambria Math" w:cs="Times New Roman"/>
                <w:color w:val="auto"/>
                <w:szCs w:val="24"/>
                <w:lang w:eastAsia="ko-KR"/>
              </w:rPr>
              <m:t>ava0</m:t>
            </m:r>
          </m:e>
          <m:sub>
            <m:r>
              <w:rPr>
                <w:rFonts w:ascii="Cambria Math" w:eastAsiaTheme="minorEastAsia" w:hAnsi="Cambria Math" w:cs="Times New Roman"/>
                <w:color w:val="auto"/>
                <w:szCs w:val="24"/>
                <w:lang w:eastAsia="ko-KR"/>
              </w:rPr>
              <m:t>i</m:t>
            </m:r>
          </m:sub>
        </m:sSub>
      </m:oMath>
      <w:r w:rsidRPr="002A4B19">
        <w:rPr>
          <w:rFonts w:eastAsiaTheme="minorEastAsia" w:cs="Times New Roman"/>
          <w:color w:val="auto"/>
          <w:szCs w:val="24"/>
          <w:lang w:eastAsia="ko-KR"/>
        </w:rPr>
        <w:t xml:space="preserve"> represents the share of value-added composites in producing final goods. This implies that increase in spillovers from others’ knowledge stocks (including government and other industries) leads to productivity improvements in each sector.</w:t>
      </w:r>
    </w:p>
    <w:p w:rsidR="00454632" w:rsidRPr="002A4B19" w:rsidRDefault="00454632" w:rsidP="00454632">
      <w:pPr>
        <w:pStyle w:val="Mdeck4text"/>
        <w:rPr>
          <w:rFonts w:eastAsiaTheme="minorEastAsia" w:cs="Times New Roman"/>
          <w:color w:val="auto"/>
          <w:lang w:eastAsia="ko-KR"/>
        </w:rPr>
      </w:pPr>
    </w:p>
    <w:p w:rsidR="00454632" w:rsidRPr="002A4B19" w:rsidRDefault="00137228" w:rsidP="00454632">
      <w:pPr>
        <w:pStyle w:val="Mdeck4text"/>
        <w:jc w:val="center"/>
        <w:rPr>
          <w:rFonts w:eastAsiaTheme="minorEastAsia" w:cs="Times New Roman"/>
          <w:color w:val="auto"/>
          <w:sz w:val="22"/>
          <w:szCs w:val="22"/>
          <w:lang w:eastAsia="ko-KR"/>
        </w:rPr>
      </w:pPr>
      <m:oMath>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SPCOEFF</m:t>
            </m:r>
          </m:e>
          <m:sub>
            <m:r>
              <w:rPr>
                <w:rFonts w:ascii="Cambria Math" w:eastAsiaTheme="minorEastAsia" w:hAnsi="Cambria Math" w:cs="Times New Roman"/>
                <w:color w:val="auto"/>
                <w:sz w:val="22"/>
                <w:szCs w:val="22"/>
                <w:lang w:eastAsia="ko-KR"/>
              </w:rPr>
              <m:t>i</m:t>
            </m:r>
          </m:sub>
        </m:sSub>
        <m:r>
          <w:rPr>
            <w:rFonts w:ascii="Cambria Math" w:eastAsiaTheme="minorEastAsia" w:hAnsi="Cambria Math" w:cs="Times New Roman"/>
            <w:color w:val="auto"/>
            <w:sz w:val="22"/>
            <w:szCs w:val="22"/>
            <w:lang w:eastAsia="ko-KR"/>
          </w:rPr>
          <m:t>=</m:t>
        </m:r>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spc0</m:t>
            </m:r>
          </m:e>
          <m:sub>
            <m:r>
              <w:rPr>
                <w:rFonts w:ascii="Cambria Math" w:eastAsiaTheme="minorEastAsia" w:hAnsi="Cambria Math" w:cs="Times New Roman"/>
                <w:color w:val="auto"/>
                <w:sz w:val="22"/>
                <w:szCs w:val="22"/>
                <w:lang w:eastAsia="ko-KR"/>
              </w:rPr>
              <m:t>i</m:t>
            </m:r>
          </m:sub>
        </m:sSub>
        <m:r>
          <w:rPr>
            <w:rFonts w:ascii="Cambria Math" w:eastAsiaTheme="minorEastAsia" w:hAnsi="Cambria Math" w:cs="Times New Roman"/>
            <w:color w:val="auto"/>
            <w:sz w:val="22"/>
            <w:szCs w:val="22"/>
            <w:lang w:eastAsia="ko-KR"/>
          </w:rPr>
          <m:t>∙</m:t>
        </m:r>
        <m:sSubSup>
          <m:sSubSupPr>
            <m:ctrlPr>
              <w:rPr>
                <w:rFonts w:ascii="Cambria Math" w:eastAsiaTheme="minorEastAsia" w:hAnsi="Cambria Math" w:cs="Times New Roman"/>
                <w:i/>
                <w:color w:val="auto"/>
                <w:sz w:val="22"/>
                <w:szCs w:val="22"/>
              </w:rPr>
            </m:ctrlPr>
          </m:sSubSupPr>
          <m:e>
            <m:r>
              <w:rPr>
                <w:rFonts w:ascii="Cambria Math" w:eastAsiaTheme="minorEastAsia" w:hAnsi="Cambria Math" w:cs="Times New Roman"/>
                <w:color w:val="auto"/>
                <w:sz w:val="22"/>
                <w:szCs w:val="22"/>
                <w:lang w:eastAsia="ko-KR"/>
              </w:rPr>
              <m:t>INTINDST</m:t>
            </m:r>
          </m:e>
          <m:sub>
            <m:r>
              <w:rPr>
                <w:rFonts w:ascii="Cambria Math" w:eastAsiaTheme="minorEastAsia" w:hAnsi="Cambria Math" w:cs="Times New Roman"/>
                <w:color w:val="auto"/>
                <w:sz w:val="22"/>
                <w:szCs w:val="22"/>
                <w:lang w:eastAsia="ko-KR"/>
              </w:rPr>
              <m:t>i</m:t>
            </m:r>
          </m:sub>
          <m:sup>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rdelas</m:t>
                </m:r>
              </m:e>
              <m:sub>
                <m:r>
                  <w:rPr>
                    <w:rFonts w:ascii="Cambria Math" w:eastAsiaTheme="minorEastAsia" w:hAnsi="Cambria Math" w:cs="Times New Roman"/>
                    <w:color w:val="auto"/>
                    <w:sz w:val="22"/>
                    <w:szCs w:val="22"/>
                    <w:lang w:eastAsia="ko-KR"/>
                  </w:rPr>
                  <m:t>i</m:t>
                </m:r>
              </m:sub>
            </m:sSub>
          </m:sup>
        </m:sSubSup>
        <m:r>
          <w:rPr>
            <w:rFonts w:ascii="Cambria Math" w:eastAsiaTheme="minorEastAsia" w:hAnsi="Cambria Math" w:cs="Times New Roman"/>
            <w:color w:val="auto"/>
            <w:sz w:val="22"/>
            <w:szCs w:val="22"/>
            <w:lang w:eastAsia="ko-KR"/>
          </w:rPr>
          <m:t>∙</m:t>
        </m:r>
        <m:sSubSup>
          <m:sSubSupPr>
            <m:ctrlPr>
              <w:rPr>
                <w:rFonts w:ascii="Cambria Math" w:eastAsiaTheme="minorEastAsia" w:hAnsi="Cambria Math" w:cs="Times New Roman"/>
                <w:i/>
                <w:color w:val="auto"/>
                <w:sz w:val="22"/>
                <w:szCs w:val="22"/>
              </w:rPr>
            </m:ctrlPr>
          </m:sSubSupPr>
          <m:e>
            <m:r>
              <w:rPr>
                <w:rFonts w:ascii="Cambria Math" w:eastAsiaTheme="minorEastAsia" w:hAnsi="Cambria Math" w:cs="Times New Roman"/>
                <w:color w:val="auto"/>
                <w:sz w:val="22"/>
                <w:szCs w:val="22"/>
                <w:lang w:eastAsia="ko-KR"/>
              </w:rPr>
              <m:t>H</m:t>
            </m:r>
          </m:e>
          <m:sub>
            <m:r>
              <w:rPr>
                <w:rFonts w:ascii="Cambria Math" w:eastAsiaTheme="minorEastAsia" w:hAnsi="Cambria Math" w:cs="Times New Roman"/>
                <w:color w:val="auto"/>
                <w:sz w:val="22"/>
                <w:szCs w:val="22"/>
                <w:lang w:eastAsia="ko-KR"/>
              </w:rPr>
              <m:t>public</m:t>
            </m:r>
          </m:sub>
          <m:sup>
            <m:r>
              <w:rPr>
                <w:rFonts w:ascii="Cambria Math" w:eastAsiaTheme="minorEastAsia" w:hAnsi="Cambria Math" w:cs="Times New Roman"/>
                <w:color w:val="auto"/>
                <w:sz w:val="22"/>
                <w:szCs w:val="22"/>
                <w:lang w:eastAsia="ko-KR"/>
              </w:rPr>
              <m:t>g</m:t>
            </m:r>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rdelas</m:t>
                </m:r>
              </m:e>
              <m:sub>
                <m:r>
                  <w:rPr>
                    <w:rFonts w:ascii="Cambria Math" w:eastAsiaTheme="minorEastAsia" w:hAnsi="Cambria Math" w:cs="Times New Roman"/>
                    <w:color w:val="auto"/>
                    <w:sz w:val="22"/>
                    <w:szCs w:val="22"/>
                    <w:lang w:eastAsia="ko-KR"/>
                  </w:rPr>
                  <m:t>i</m:t>
                </m:r>
              </m:sub>
            </m:sSub>
          </m:sup>
        </m:sSubSup>
      </m:oMath>
      <w:r w:rsidR="00454632" w:rsidRPr="002A4B19">
        <w:rPr>
          <w:rFonts w:eastAsiaTheme="minorEastAsia" w:cs="Times New Roman"/>
          <w:color w:val="auto"/>
          <w:sz w:val="22"/>
          <w:szCs w:val="22"/>
          <w:lang w:eastAsia="ko-KR"/>
        </w:rPr>
        <w:t xml:space="preserve">   Eq. (10)</w:t>
      </w:r>
    </w:p>
    <w:p w:rsidR="00454632" w:rsidRPr="002A4B19" w:rsidRDefault="00454632" w:rsidP="00454632">
      <w:pPr>
        <w:pStyle w:val="Mdeck4text"/>
        <w:rPr>
          <w:rFonts w:eastAsiaTheme="minorEastAsia" w:cs="Times New Roman"/>
          <w:i/>
          <w:color w:val="auto"/>
          <w:sz w:val="22"/>
          <w:szCs w:val="22"/>
          <w:lang w:eastAsia="ko-KR"/>
        </w:rPr>
      </w:pPr>
      <m:oMath>
        <m:r>
          <w:rPr>
            <w:rFonts w:ascii="Cambria Math" w:eastAsiaTheme="minorEastAsia" w:hAnsi="Cambria Math" w:cs="Times New Roman"/>
            <w:color w:val="auto"/>
            <w:lang w:eastAsia="ko-KR"/>
          </w:rPr>
          <m:t xml:space="preserve">                                 where </m:t>
        </m:r>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spc0</m:t>
            </m:r>
          </m:e>
          <m:sub>
            <m:r>
              <w:rPr>
                <w:rFonts w:ascii="Cambria Math" w:eastAsiaTheme="minorEastAsia" w:hAnsi="Cambria Math" w:cs="Times New Roman"/>
                <w:color w:val="auto"/>
                <w:sz w:val="22"/>
                <w:szCs w:val="22"/>
                <w:lang w:eastAsia="ko-KR"/>
              </w:rPr>
              <m:t>i</m:t>
            </m:r>
          </m:sub>
        </m:sSub>
      </m:oMath>
      <w:r w:rsidRPr="002A4B19">
        <w:rPr>
          <w:rFonts w:eastAsiaTheme="minorEastAsia" w:cs="Times New Roman"/>
          <w:i/>
          <w:color w:val="auto"/>
          <w:sz w:val="22"/>
          <w:szCs w:val="22"/>
          <w:lang w:eastAsia="ko-KR"/>
        </w:rPr>
        <w:t>: Calibrated coefficient for equation;</w:t>
      </w:r>
      <w:r w:rsidRPr="002A4B19">
        <w:rPr>
          <w:rFonts w:eastAsiaTheme="minorEastAsia" w:cs="Times New Roman"/>
          <w:i/>
          <w:color w:val="auto"/>
          <w:sz w:val="22"/>
          <w:szCs w:val="22"/>
          <w:lang w:eastAsia="ko-KR"/>
        </w:rPr>
        <w:br/>
        <w:t xml:space="preserve">                         rdelas: Elasticity of private knowledge stocks;</w:t>
      </w:r>
      <w:r w:rsidRPr="002A4B19">
        <w:rPr>
          <w:rFonts w:eastAsiaTheme="minorEastAsia" w:cs="Times New Roman"/>
          <w:i/>
          <w:color w:val="auto"/>
          <w:sz w:val="22"/>
          <w:szCs w:val="22"/>
          <w:lang w:eastAsia="ko-KR"/>
        </w:rPr>
        <w:br/>
        <w:t xml:space="preserve">                         grdelas</w:t>
      </w:r>
      <w:r w:rsidRPr="002A4B19">
        <w:rPr>
          <w:rFonts w:eastAsiaTheme="minorEastAsia" w:cs="Times New Roman"/>
          <w:i/>
          <w:color w:val="auto"/>
          <w:sz w:val="22"/>
          <w:szCs w:val="22"/>
          <w:vertAlign w:val="subscript"/>
          <w:lang w:eastAsia="ko-KR"/>
        </w:rPr>
        <w:t>i</w:t>
      </w:r>
      <w:r w:rsidRPr="002A4B19">
        <w:rPr>
          <w:rFonts w:eastAsiaTheme="minorEastAsia" w:cs="Times New Roman"/>
          <w:i/>
          <w:color w:val="auto"/>
          <w:sz w:val="22"/>
          <w:szCs w:val="22"/>
          <w:lang w:eastAsia="ko-KR"/>
        </w:rPr>
        <w:t>:</w:t>
      </w:r>
      <w:r w:rsidRPr="002A4B19">
        <w:rPr>
          <w:rFonts w:eastAsiaTheme="minorEastAsia" w:cs="Times New Roman"/>
          <w:i/>
          <w:color w:val="auto"/>
          <w:sz w:val="22"/>
          <w:szCs w:val="22"/>
          <w:vertAlign w:val="subscript"/>
          <w:lang w:eastAsia="ko-KR"/>
        </w:rPr>
        <w:t xml:space="preserve"> </w:t>
      </w:r>
      <w:r w:rsidRPr="002A4B19">
        <w:rPr>
          <w:rFonts w:eastAsiaTheme="minorEastAsia" w:cs="Times New Roman"/>
          <w:i/>
          <w:color w:val="auto"/>
          <w:sz w:val="22"/>
          <w:szCs w:val="22"/>
          <w:lang w:eastAsia="ko-KR"/>
        </w:rPr>
        <w:t>Elasticity of public knowledge stocks</w:t>
      </w:r>
    </w:p>
    <w:p w:rsidR="00454632" w:rsidRPr="002A4B19" w:rsidRDefault="00454632" w:rsidP="00454632">
      <w:pPr>
        <w:pStyle w:val="Mdeck4text"/>
        <w:rPr>
          <w:rFonts w:eastAsiaTheme="minorEastAsia" w:cs="Times New Roman"/>
          <w:color w:val="auto"/>
          <w:lang w:eastAsia="ko-KR"/>
        </w:rPr>
      </w:pPr>
    </w:p>
    <w:p w:rsidR="00454632" w:rsidRPr="002A4B19" w:rsidRDefault="00137228" w:rsidP="00454632">
      <w:pPr>
        <w:pStyle w:val="Mdeck4text"/>
        <w:jc w:val="center"/>
        <w:rPr>
          <w:rFonts w:eastAsiaTheme="minorEastAsia" w:cs="Times New Roman"/>
          <w:color w:val="auto"/>
          <w:sz w:val="22"/>
          <w:szCs w:val="22"/>
          <w:lang w:eastAsia="ko-KR"/>
        </w:rPr>
      </w:pPr>
      <m:oMath>
        <m:sSub>
          <m:sSubPr>
            <m:ctrlPr>
              <w:rPr>
                <w:rFonts w:ascii="Cambria Math" w:eastAsiaTheme="minorEastAsia" w:hAnsi="Cambria Math" w:cs="Times New Roman"/>
                <w:color w:val="auto"/>
                <w:sz w:val="22"/>
                <w:szCs w:val="22"/>
              </w:rPr>
            </m:ctrlPr>
          </m:sSubPr>
          <m:e>
            <m:r>
              <w:rPr>
                <w:rFonts w:ascii="Cambria Math" w:eastAsiaTheme="minorEastAsia" w:hAnsi="Cambria Math" w:cs="Times New Roman"/>
                <w:color w:val="auto"/>
                <w:sz w:val="22"/>
                <w:szCs w:val="22"/>
                <w:lang w:eastAsia="ko-KR"/>
              </w:rPr>
              <m:t>AVA</m:t>
            </m:r>
          </m:e>
          <m:sub>
            <m:r>
              <w:rPr>
                <w:rFonts w:ascii="Cambria Math" w:eastAsiaTheme="minorEastAsia" w:hAnsi="Cambria Math" w:cs="Times New Roman"/>
                <w:color w:val="auto"/>
                <w:sz w:val="22"/>
                <w:szCs w:val="22"/>
                <w:lang w:eastAsia="ko-KR"/>
              </w:rPr>
              <m:t>i</m:t>
            </m:r>
          </m:sub>
        </m:sSub>
        <m:r>
          <m:rPr>
            <m:sty m:val="p"/>
          </m:rPr>
          <w:rPr>
            <w:rFonts w:ascii="Cambria Math" w:eastAsiaTheme="minorEastAsia" w:hAnsi="Cambria Math" w:cs="Times New Roman"/>
            <w:color w:val="auto"/>
            <w:sz w:val="22"/>
            <w:szCs w:val="22"/>
            <w:lang w:eastAsia="ko-KR"/>
          </w:rPr>
          <m:t>=</m:t>
        </m:r>
        <m:sSub>
          <m:sSubPr>
            <m:ctrlPr>
              <w:rPr>
                <w:rFonts w:ascii="Cambria Math" w:eastAsiaTheme="minorEastAsia" w:hAnsi="Cambria Math" w:cs="Times New Roman"/>
                <w:color w:val="auto"/>
                <w:sz w:val="22"/>
                <w:szCs w:val="22"/>
              </w:rPr>
            </m:ctrlPr>
          </m:sSubPr>
          <m:e>
            <m:r>
              <w:rPr>
                <w:rFonts w:ascii="Cambria Math" w:eastAsiaTheme="minorEastAsia" w:hAnsi="Cambria Math" w:cs="Times New Roman"/>
                <w:color w:val="auto"/>
                <w:sz w:val="22"/>
                <w:szCs w:val="22"/>
                <w:lang w:eastAsia="ko-KR"/>
              </w:rPr>
              <m:t>ava0</m:t>
            </m:r>
          </m:e>
          <m:sub>
            <m:r>
              <w:rPr>
                <w:rFonts w:ascii="Cambria Math" w:eastAsiaTheme="minorEastAsia" w:hAnsi="Cambria Math" w:cs="Times New Roman"/>
                <w:color w:val="auto"/>
                <w:sz w:val="22"/>
                <w:szCs w:val="22"/>
                <w:lang w:eastAsia="ko-KR"/>
              </w:rPr>
              <m:t>i</m:t>
            </m:r>
          </m:sub>
        </m:sSub>
        <m:r>
          <w:rPr>
            <w:rFonts w:ascii="Cambria Math" w:eastAsiaTheme="minorEastAsia" w:hAnsi="Cambria Math" w:cs="Times New Roman"/>
            <w:color w:val="auto"/>
            <w:sz w:val="22"/>
            <w:szCs w:val="22"/>
            <w:lang w:eastAsia="ko-KR"/>
          </w:rPr>
          <m:t>/</m:t>
        </m:r>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SPCOEFF</m:t>
            </m:r>
          </m:e>
          <m:sub>
            <m:r>
              <w:rPr>
                <w:rFonts w:ascii="Cambria Math" w:eastAsiaTheme="minorEastAsia" w:hAnsi="Cambria Math" w:cs="Times New Roman"/>
                <w:color w:val="auto"/>
                <w:sz w:val="22"/>
                <w:szCs w:val="22"/>
                <w:lang w:eastAsia="ko-KR"/>
              </w:rPr>
              <m:t>i</m:t>
            </m:r>
          </m:sub>
        </m:sSub>
      </m:oMath>
      <w:r w:rsidR="00454632" w:rsidRPr="002A4B19">
        <w:rPr>
          <w:rFonts w:eastAsiaTheme="minorEastAsia" w:cs="Times New Roman"/>
          <w:color w:val="auto"/>
          <w:sz w:val="22"/>
          <w:szCs w:val="22"/>
          <w:lang w:eastAsia="ko-KR"/>
        </w:rPr>
        <w:t xml:space="preserve">        Eq. (11)</w:t>
      </w:r>
    </w:p>
    <w:p w:rsidR="00454632" w:rsidRPr="002A4B19" w:rsidRDefault="00137228" w:rsidP="00454632">
      <w:pPr>
        <w:pStyle w:val="Mdeck4text"/>
        <w:jc w:val="center"/>
        <w:rPr>
          <w:rFonts w:eastAsiaTheme="minorEastAsia" w:cs="Times New Roman"/>
          <w:color w:val="auto"/>
          <w:lang w:eastAsia="ko-KR"/>
        </w:rPr>
      </w:pPr>
      <m:oMath>
        <m:sSub>
          <m:sSubPr>
            <m:ctrlPr>
              <w:rPr>
                <w:rFonts w:ascii="Cambria Math" w:eastAsiaTheme="minorEastAsia" w:hAnsi="Cambria Math" w:cs="Times New Roman"/>
                <w:color w:val="auto"/>
                <w:sz w:val="22"/>
                <w:szCs w:val="22"/>
              </w:rPr>
            </m:ctrlPr>
          </m:sSubPr>
          <m:e>
            <m:r>
              <w:rPr>
                <w:rFonts w:ascii="Cambria Math" w:eastAsiaTheme="minorEastAsia" w:hAnsi="Cambria Math" w:cs="Times New Roman"/>
                <w:color w:val="auto"/>
                <w:sz w:val="22"/>
                <w:szCs w:val="22"/>
                <w:lang w:eastAsia="ko-KR"/>
              </w:rPr>
              <m:t>VA</m:t>
            </m:r>
          </m:e>
          <m:sub>
            <m:r>
              <w:rPr>
                <w:rFonts w:ascii="Cambria Math" w:eastAsiaTheme="minorEastAsia" w:hAnsi="Cambria Math" w:cs="Times New Roman"/>
                <w:color w:val="auto"/>
                <w:sz w:val="22"/>
                <w:szCs w:val="22"/>
                <w:lang w:eastAsia="ko-KR"/>
              </w:rPr>
              <m:t>i</m:t>
            </m:r>
          </m:sub>
        </m:sSub>
        <m:r>
          <m:rPr>
            <m:sty m:val="p"/>
          </m:rPr>
          <w:rPr>
            <w:rFonts w:ascii="Cambria Math" w:eastAsiaTheme="minorEastAsia" w:hAnsi="Cambria Math" w:cs="Times New Roman"/>
            <w:color w:val="auto"/>
            <w:sz w:val="22"/>
            <w:szCs w:val="22"/>
            <w:lang w:eastAsia="ko-KR"/>
          </w:rPr>
          <m:t>=</m:t>
        </m:r>
        <m:sSub>
          <m:sSubPr>
            <m:ctrlPr>
              <w:rPr>
                <w:rFonts w:ascii="Cambria Math" w:eastAsiaTheme="minorEastAsia" w:hAnsi="Cambria Math" w:cs="Times New Roman"/>
                <w:color w:val="auto"/>
                <w:sz w:val="22"/>
                <w:szCs w:val="22"/>
              </w:rPr>
            </m:ctrlPr>
          </m:sSubPr>
          <m:e>
            <m:r>
              <w:rPr>
                <w:rFonts w:ascii="Cambria Math" w:eastAsiaTheme="minorEastAsia" w:hAnsi="Cambria Math" w:cs="Times New Roman"/>
                <w:color w:val="auto"/>
                <w:sz w:val="22"/>
                <w:szCs w:val="22"/>
                <w:lang w:eastAsia="ko-KR"/>
              </w:rPr>
              <m:t>AVA</m:t>
            </m:r>
          </m:e>
          <m:sub>
            <m:r>
              <w:rPr>
                <w:rFonts w:ascii="Cambria Math" w:eastAsiaTheme="minorEastAsia" w:hAnsi="Cambria Math" w:cs="Times New Roman"/>
                <w:color w:val="auto"/>
                <w:sz w:val="22"/>
                <w:szCs w:val="22"/>
                <w:lang w:eastAsia="ko-KR"/>
              </w:rPr>
              <m:t>i</m:t>
            </m:r>
          </m:sub>
        </m:sSub>
        <m:r>
          <w:rPr>
            <w:rFonts w:ascii="Cambria Math" w:eastAsiaTheme="minorEastAsia" w:hAnsi="Cambria Math" w:cs="Times New Roman"/>
            <w:color w:val="auto"/>
            <w:sz w:val="22"/>
            <w:szCs w:val="22"/>
            <w:lang w:eastAsia="ko-KR"/>
          </w:rPr>
          <m:t>∙</m:t>
        </m:r>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Z</m:t>
            </m:r>
          </m:e>
          <m:sub>
            <m:r>
              <w:rPr>
                <w:rFonts w:ascii="Cambria Math" w:eastAsiaTheme="minorEastAsia" w:hAnsi="Cambria Math" w:cs="Times New Roman"/>
                <w:color w:val="auto"/>
                <w:sz w:val="22"/>
                <w:szCs w:val="22"/>
                <w:lang w:eastAsia="ko-KR"/>
              </w:rPr>
              <m:t>i</m:t>
            </m:r>
          </m:sub>
        </m:sSub>
      </m:oMath>
      <w:r w:rsidR="00454632" w:rsidRPr="002A4B19">
        <w:rPr>
          <w:rFonts w:eastAsiaTheme="minorEastAsia" w:cs="Times New Roman"/>
          <w:color w:val="auto"/>
          <w:sz w:val="22"/>
          <w:szCs w:val="22"/>
          <w:lang w:eastAsia="ko-KR"/>
        </w:rPr>
        <w:t xml:space="preserve">                 Eq. (12)</w:t>
      </w:r>
    </w:p>
    <w:p w:rsidR="00454632" w:rsidRPr="002A4B19" w:rsidRDefault="00454632" w:rsidP="00454632">
      <w:pPr>
        <w:pStyle w:val="Mdeck4text"/>
        <w:rPr>
          <w:rFonts w:eastAsiaTheme="minorEastAsia" w:cs="Times New Roman"/>
          <w:color w:val="auto"/>
          <w:lang w:eastAsia="ko-KR"/>
        </w:rPr>
      </w:pPr>
    </w:p>
    <w:p w:rsidR="00454632" w:rsidRPr="002A4B19" w:rsidRDefault="00454632" w:rsidP="00454632">
      <w:pPr>
        <w:pStyle w:val="Mdeck4heading2"/>
        <w:spacing w:before="0"/>
        <w:rPr>
          <w:rFonts w:cs="Times New Roman"/>
          <w:b/>
          <w:color w:val="auto"/>
        </w:rPr>
      </w:pPr>
      <w:r w:rsidRPr="002A4B19">
        <w:rPr>
          <w:rFonts w:cs="Times New Roman"/>
          <w:b/>
          <w:color w:val="auto"/>
        </w:rPr>
        <w:t>3.5 The structure of knowledge-based CGE model: Households</w:t>
      </w:r>
    </w:p>
    <w:p w:rsidR="00454632" w:rsidRPr="002A4B19" w:rsidRDefault="00454632" w:rsidP="00454632">
      <w:pPr>
        <w:pStyle w:val="Mdeck4text"/>
        <w:rPr>
          <w:rFonts w:eastAsiaTheme="minorEastAsia" w:cs="Times New Roman"/>
          <w:color w:val="auto"/>
          <w:lang w:eastAsia="ko-KR"/>
        </w:rPr>
      </w:pPr>
      <w:r w:rsidRPr="002A4B19">
        <w:rPr>
          <w:rFonts w:eastAsiaTheme="minorEastAsia" w:cs="Times New Roman"/>
          <w:color w:val="auto"/>
          <w:lang w:eastAsia="ko-KR"/>
        </w:rPr>
        <w:t xml:space="preserve">In this model, households are classified into 20 quantiles based on income levels. Each income quantile of households derives income through wage, capital, and knowledge earnings. Equation (13) indicates wage incomes </w:t>
      </w:r>
      <w:r w:rsidRPr="002A4B19">
        <w:rPr>
          <w:rFonts w:eastAsiaTheme="minorEastAsia" w:cs="Times New Roman"/>
          <w:color w:val="auto"/>
          <w:szCs w:val="24"/>
          <w:lang w:eastAsia="ko-KR"/>
        </w:rPr>
        <w:t>for each skill type (</w:t>
      </w:r>
      <m:oMath>
        <m:sSub>
          <m:sSubPr>
            <m:ctrlPr>
              <w:rPr>
                <w:rFonts w:ascii="Cambria Math" w:eastAsiaTheme="minorEastAsia" w:hAnsi="Cambria Math" w:cs="Times New Roman"/>
                <w:i/>
                <w:color w:val="auto"/>
                <w:szCs w:val="24"/>
              </w:rPr>
            </m:ctrlPr>
          </m:sSubPr>
          <m:e>
            <m:r>
              <w:rPr>
                <w:rFonts w:ascii="Cambria Math" w:eastAsiaTheme="minorEastAsia" w:hAnsi="Cambria Math" w:cs="Times New Roman"/>
                <w:color w:val="auto"/>
                <w:szCs w:val="24"/>
                <w:lang w:eastAsia="ko-KR"/>
              </w:rPr>
              <m:t>HLINC</m:t>
            </m:r>
          </m:e>
          <m:sub>
            <m:r>
              <w:rPr>
                <w:rFonts w:ascii="Cambria Math" w:eastAsiaTheme="minorEastAsia" w:hAnsi="Cambria Math" w:cs="Times New Roman"/>
                <w:color w:val="auto"/>
                <w:szCs w:val="24"/>
                <w:lang w:eastAsia="ko-KR"/>
              </w:rPr>
              <m:t>type</m:t>
            </m:r>
          </m:sub>
        </m:sSub>
      </m:oMath>
      <w:r w:rsidRPr="002A4B19">
        <w:rPr>
          <w:rFonts w:eastAsiaTheme="minorEastAsia" w:cs="Times New Roman"/>
          <w:color w:val="auto"/>
          <w:szCs w:val="24"/>
          <w:lang w:eastAsia="ko-KR"/>
        </w:rPr>
        <w:t>), which is the sum of payments for labor in production activities and R&amp;D activities. Equation (14) and Equation (15) show capital and knowledge earnings, respectively. Capital earning</w:t>
      </w:r>
      <m:oMath>
        <m:r>
          <m:rPr>
            <m:sty m:val="p"/>
          </m:rPr>
          <w:rPr>
            <w:rFonts w:ascii="Cambria Math" w:eastAsiaTheme="minorEastAsia" w:hAnsi="Cambria Math" w:cs="Times New Roman"/>
            <w:color w:val="auto"/>
            <w:szCs w:val="24"/>
            <w:lang w:eastAsia="ko-KR"/>
          </w:rPr>
          <m:t xml:space="preserve"> (</m:t>
        </m:r>
        <m:r>
          <w:rPr>
            <w:rFonts w:ascii="Cambria Math" w:eastAsiaTheme="minorEastAsia" w:hAnsi="Cambria Math" w:cs="Times New Roman"/>
            <w:color w:val="auto"/>
            <w:szCs w:val="24"/>
            <w:lang w:eastAsia="ko-KR"/>
          </w:rPr>
          <m:t>HKINC</m:t>
        </m:r>
      </m:oMath>
      <w:r w:rsidRPr="002A4B19">
        <w:rPr>
          <w:rFonts w:eastAsiaTheme="minorEastAsia" w:cs="Times New Roman"/>
          <w:color w:val="auto"/>
          <w:szCs w:val="24"/>
          <w:lang w:eastAsia="ko-KR"/>
        </w:rPr>
        <w:t xml:space="preserve">) is the sum of returns for capital invested into production activities and </w:t>
      </w:r>
      <w:r w:rsidRPr="002A4B19">
        <w:rPr>
          <w:rFonts w:eastAsiaTheme="minorEastAsia" w:cs="Times New Roman"/>
          <w:color w:val="auto"/>
          <w:lang w:eastAsia="ko-KR"/>
        </w:rPr>
        <w:t>R&amp;D activities, and knowledge income</w:t>
      </w:r>
      <m:oMath>
        <m:r>
          <m:rPr>
            <m:sty m:val="p"/>
          </m:rPr>
          <w:rPr>
            <w:rFonts w:ascii="Cambria Math" w:eastAsiaTheme="minorEastAsia" w:hAnsi="Cambria Math" w:cs="Times New Roman"/>
            <w:color w:val="auto"/>
            <w:szCs w:val="24"/>
            <w:lang w:eastAsia="ko-KR"/>
          </w:rPr>
          <m:t>(</m:t>
        </m:r>
        <m:r>
          <w:rPr>
            <w:rFonts w:ascii="Cambria Math" w:eastAsiaTheme="minorEastAsia" w:hAnsi="Cambria Math" w:cs="Times New Roman"/>
            <w:color w:val="auto"/>
            <w:szCs w:val="24"/>
            <w:lang w:eastAsia="ko-KR"/>
          </w:rPr>
          <m:t>HHINC</m:t>
        </m:r>
      </m:oMath>
      <w:r w:rsidRPr="002A4B19">
        <w:rPr>
          <w:rFonts w:eastAsiaTheme="minorEastAsia" w:cs="Times New Roman"/>
          <w:color w:val="auto"/>
          <w:szCs w:val="24"/>
          <w:lang w:eastAsia="ko-KR"/>
        </w:rPr>
        <w:t xml:space="preserve">) </w:t>
      </w:r>
      <w:r w:rsidRPr="002A4B19">
        <w:rPr>
          <w:rFonts w:eastAsiaTheme="minorEastAsia" w:cs="Times New Roman"/>
          <w:color w:val="auto"/>
          <w:lang w:eastAsia="ko-KR"/>
        </w:rPr>
        <w:t>is earned from payments for the knowledge invested into production activities.</w:t>
      </w:r>
    </w:p>
    <w:p w:rsidR="00454632" w:rsidRPr="002A4B19" w:rsidRDefault="00454632" w:rsidP="00454632">
      <w:pPr>
        <w:pStyle w:val="Mdeck4text"/>
        <w:rPr>
          <w:rFonts w:eastAsiaTheme="minorEastAsia" w:cs="Times New Roman"/>
          <w:color w:val="auto"/>
          <w:lang w:eastAsia="ko-KR"/>
        </w:rPr>
      </w:pPr>
    </w:p>
    <w:p w:rsidR="00454632" w:rsidRPr="002A4B19" w:rsidRDefault="00137228" w:rsidP="00454632">
      <w:pPr>
        <w:pStyle w:val="Mdeck4text"/>
        <w:jc w:val="center"/>
        <w:rPr>
          <w:rFonts w:eastAsiaTheme="minorEastAsia" w:cs="Times New Roman"/>
          <w:color w:val="auto"/>
          <w:sz w:val="22"/>
          <w:szCs w:val="22"/>
          <w:lang w:eastAsia="ko-KR"/>
        </w:rPr>
      </w:pPr>
      <m:oMath>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HLINC</m:t>
            </m:r>
          </m:e>
          <m:sub>
            <m:r>
              <w:rPr>
                <w:rFonts w:ascii="Cambria Math" w:eastAsiaTheme="minorEastAsia" w:hAnsi="Cambria Math" w:cs="Times New Roman"/>
                <w:color w:val="auto"/>
                <w:sz w:val="22"/>
                <w:szCs w:val="22"/>
                <w:lang w:eastAsia="ko-KR"/>
              </w:rPr>
              <m:t>type</m:t>
            </m:r>
          </m:sub>
        </m:sSub>
        <m:r>
          <m:rPr>
            <m:sty m:val="p"/>
          </m:rPr>
          <w:rPr>
            <w:rFonts w:ascii="Cambria Math" w:eastAsiaTheme="minorEastAsia" w:hAnsi="Cambria Math" w:cs="Times New Roman"/>
            <w:color w:val="auto"/>
            <w:sz w:val="22"/>
            <w:szCs w:val="22"/>
            <w:lang w:eastAsia="ko-KR"/>
          </w:rPr>
          <m:t>=</m:t>
        </m:r>
        <m:nary>
          <m:naryPr>
            <m:chr m:val="∑"/>
            <m:limLoc m:val="undOvr"/>
            <m:supHide m:val="1"/>
            <m:ctrlPr>
              <w:rPr>
                <w:rFonts w:ascii="Cambria Math" w:eastAsiaTheme="minorEastAsia" w:hAnsi="Cambria Math" w:cs="Times New Roman"/>
                <w:color w:val="auto"/>
                <w:sz w:val="22"/>
                <w:szCs w:val="22"/>
              </w:rPr>
            </m:ctrlPr>
          </m:naryPr>
          <m:sub>
            <m:r>
              <w:rPr>
                <w:rFonts w:ascii="Cambria Math" w:eastAsiaTheme="minorEastAsia" w:hAnsi="Cambria Math" w:cs="Times New Roman"/>
                <w:color w:val="auto"/>
                <w:sz w:val="22"/>
                <w:szCs w:val="22"/>
                <w:lang w:eastAsia="ko-KR"/>
              </w:rPr>
              <m:t>i</m:t>
            </m:r>
          </m:sub>
          <m:sup/>
          <m:e>
            <m:d>
              <m:dPr>
                <m:ctrlPr>
                  <w:rPr>
                    <w:rFonts w:ascii="Cambria Math" w:eastAsiaTheme="minorEastAsia" w:hAnsi="Cambria Math" w:cs="Times New Roman"/>
                    <w:i/>
                    <w:color w:val="auto"/>
                    <w:sz w:val="22"/>
                    <w:szCs w:val="22"/>
                  </w:rPr>
                </m:ctrlPr>
              </m:dPr>
              <m:e>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L</m:t>
                    </m:r>
                  </m:e>
                  <m:sub>
                    <m:r>
                      <w:rPr>
                        <w:rFonts w:ascii="Cambria Math" w:eastAsiaTheme="minorEastAsia" w:hAnsi="Cambria Math" w:cs="Times New Roman"/>
                        <w:color w:val="auto"/>
                        <w:sz w:val="22"/>
                        <w:szCs w:val="22"/>
                        <w:lang w:eastAsia="ko-KR"/>
                      </w:rPr>
                      <m:t>i,type</m:t>
                    </m:r>
                  </m:sub>
                </m:sSub>
                <m:r>
                  <w:rPr>
                    <w:rFonts w:ascii="Cambria Math" w:eastAsiaTheme="minorEastAsia" w:hAnsi="Cambria Math" w:cs="Times New Roman"/>
                    <w:color w:val="auto"/>
                    <w:sz w:val="22"/>
                    <w:szCs w:val="22"/>
                    <w:lang w:eastAsia="ko-KR"/>
                  </w:rPr>
                  <m:t>∙</m:t>
                </m:r>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PL</m:t>
                    </m:r>
                  </m:e>
                  <m:sub>
                    <m:r>
                      <w:rPr>
                        <w:rFonts w:ascii="Cambria Math" w:eastAsiaTheme="minorEastAsia" w:hAnsi="Cambria Math" w:cs="Times New Roman"/>
                        <w:color w:val="auto"/>
                        <w:sz w:val="22"/>
                        <w:szCs w:val="22"/>
                        <w:lang w:eastAsia="ko-KR"/>
                      </w:rPr>
                      <m:t>type</m:t>
                    </m:r>
                  </m:sub>
                </m:sSub>
              </m:e>
            </m:d>
            <m:r>
              <w:rPr>
                <w:rFonts w:ascii="Cambria Math" w:eastAsiaTheme="minorEastAsia" w:hAnsi="Cambria Math" w:cs="Times New Roman"/>
                <w:color w:val="auto"/>
                <w:sz w:val="22"/>
                <w:szCs w:val="22"/>
                <w:lang w:eastAsia="ko-KR"/>
              </w:rPr>
              <m:t>+</m:t>
            </m:r>
          </m:e>
        </m:nary>
        <m:nary>
          <m:naryPr>
            <m:chr m:val="∑"/>
            <m:limLoc m:val="undOvr"/>
            <m:supHide m:val="1"/>
            <m:ctrlPr>
              <w:rPr>
                <w:rFonts w:ascii="Cambria Math" w:eastAsiaTheme="minorEastAsia" w:hAnsi="Cambria Math" w:cs="Times New Roman"/>
                <w:color w:val="auto"/>
                <w:sz w:val="22"/>
                <w:szCs w:val="22"/>
              </w:rPr>
            </m:ctrlPr>
          </m:naryPr>
          <m:sub>
            <m:r>
              <w:rPr>
                <w:rFonts w:ascii="Cambria Math" w:eastAsiaTheme="minorEastAsia" w:hAnsi="Cambria Math" w:cs="Times New Roman"/>
                <w:color w:val="auto"/>
                <w:sz w:val="22"/>
                <w:szCs w:val="22"/>
                <w:lang w:eastAsia="ko-KR"/>
              </w:rPr>
              <m:t>rdt</m:t>
            </m:r>
          </m:sub>
          <m:sup/>
          <m:e>
            <m:d>
              <m:dPr>
                <m:ctrlPr>
                  <w:rPr>
                    <w:rFonts w:ascii="Cambria Math" w:eastAsiaTheme="minorEastAsia" w:hAnsi="Cambria Math" w:cs="Times New Roman"/>
                    <w:i/>
                    <w:color w:val="auto"/>
                    <w:sz w:val="22"/>
                    <w:szCs w:val="22"/>
                  </w:rPr>
                </m:ctrlPr>
              </m:dPr>
              <m:e>
                <m:r>
                  <w:rPr>
                    <w:rFonts w:ascii="Cambria Math" w:eastAsiaTheme="minorEastAsia" w:hAnsi="Cambria Math" w:cs="Times New Roman"/>
                    <w:color w:val="auto"/>
                    <w:sz w:val="22"/>
                    <w:szCs w:val="22"/>
                    <w:lang w:eastAsia="ko-KR"/>
                  </w:rPr>
                  <m:t>R</m:t>
                </m:r>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LS</m:t>
                    </m:r>
                  </m:e>
                  <m:sub>
                    <m:r>
                      <w:rPr>
                        <w:rFonts w:ascii="Cambria Math" w:eastAsiaTheme="minorEastAsia" w:hAnsi="Cambria Math" w:cs="Times New Roman"/>
                        <w:color w:val="auto"/>
                        <w:sz w:val="22"/>
                        <w:szCs w:val="22"/>
                        <w:lang w:eastAsia="ko-KR"/>
                      </w:rPr>
                      <m:t>rdt,type</m:t>
                    </m:r>
                  </m:sub>
                </m:sSub>
                <m:r>
                  <w:rPr>
                    <w:rFonts w:ascii="Cambria Math" w:eastAsiaTheme="minorEastAsia" w:hAnsi="Cambria Math" w:cs="Times New Roman"/>
                    <w:color w:val="auto"/>
                    <w:sz w:val="22"/>
                    <w:szCs w:val="22"/>
                    <w:lang w:eastAsia="ko-KR"/>
                  </w:rPr>
                  <m:t>∙</m:t>
                </m:r>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PL</m:t>
                    </m:r>
                  </m:e>
                  <m:sub>
                    <m:r>
                      <w:rPr>
                        <w:rFonts w:ascii="Cambria Math" w:eastAsiaTheme="minorEastAsia" w:hAnsi="Cambria Math" w:cs="Times New Roman"/>
                        <w:color w:val="auto"/>
                        <w:sz w:val="22"/>
                        <w:szCs w:val="22"/>
                        <w:lang w:eastAsia="ko-KR"/>
                      </w:rPr>
                      <m:t>type</m:t>
                    </m:r>
                  </m:sub>
                </m:sSub>
              </m:e>
            </m:d>
          </m:e>
        </m:nary>
      </m:oMath>
      <w:r w:rsidR="00454632" w:rsidRPr="002A4B19">
        <w:rPr>
          <w:rFonts w:eastAsiaTheme="minorEastAsia" w:cs="Times New Roman"/>
          <w:color w:val="auto"/>
          <w:sz w:val="22"/>
          <w:szCs w:val="22"/>
          <w:lang w:eastAsia="ko-KR"/>
        </w:rPr>
        <w:t xml:space="preserve">   Eq. (13)</w:t>
      </w:r>
    </w:p>
    <w:p w:rsidR="00454632" w:rsidRPr="002A4B19" w:rsidRDefault="00454632" w:rsidP="00454632">
      <w:pPr>
        <w:pStyle w:val="Mdeck4text"/>
        <w:ind w:leftChars="50" w:left="2620" w:hangingChars="1050" w:hanging="2520"/>
        <w:rPr>
          <w:rFonts w:eastAsiaTheme="minorEastAsia" w:cs="Times New Roman"/>
          <w:i/>
          <w:color w:val="auto"/>
          <w:sz w:val="22"/>
          <w:szCs w:val="22"/>
          <w:lang w:eastAsia="ko-KR"/>
        </w:rPr>
      </w:pPr>
      <m:oMath>
        <m:r>
          <w:rPr>
            <w:rFonts w:ascii="Cambria Math" w:eastAsiaTheme="minorEastAsia" w:hAnsi="Cambria Math" w:cs="Times New Roman"/>
            <w:color w:val="auto"/>
            <w:lang w:eastAsia="ko-KR"/>
          </w:rPr>
          <m:t xml:space="preserve">                      where </m:t>
        </m:r>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L</m:t>
            </m:r>
          </m:e>
          <m:sub>
            <m:r>
              <w:rPr>
                <w:rFonts w:ascii="Cambria Math" w:eastAsiaTheme="minorEastAsia" w:hAnsi="Cambria Math" w:cs="Times New Roman"/>
                <w:color w:val="auto"/>
                <w:sz w:val="22"/>
                <w:szCs w:val="22"/>
                <w:lang w:eastAsia="ko-KR"/>
              </w:rPr>
              <m:t>i,type</m:t>
            </m:r>
          </m:sub>
        </m:sSub>
        <m:r>
          <w:rPr>
            <w:rFonts w:ascii="Cambria Math" w:eastAsiaTheme="minorEastAsia" w:hAnsi="Cambria Math" w:cs="Times New Roman"/>
            <w:color w:val="auto"/>
            <w:sz w:val="22"/>
            <w:szCs w:val="22"/>
            <w:lang w:eastAsia="ko-KR"/>
          </w:rPr>
          <m:t xml:space="preserve">: </m:t>
        </m:r>
      </m:oMath>
      <w:r w:rsidRPr="002A4B19">
        <w:rPr>
          <w:rFonts w:eastAsiaTheme="minorEastAsia" w:cs="Times New Roman"/>
          <w:i/>
          <w:color w:val="auto"/>
          <w:sz w:val="22"/>
          <w:szCs w:val="22"/>
          <w:lang w:eastAsia="ko-KR"/>
        </w:rPr>
        <w:t>Labor inputs for sector i by skill type;</w:t>
      </w:r>
    </w:p>
    <w:p w:rsidR="00454632" w:rsidRPr="002A4B19" w:rsidRDefault="00454632" w:rsidP="00454632">
      <w:pPr>
        <w:pStyle w:val="Mdeck4text"/>
        <w:rPr>
          <w:rFonts w:eastAsiaTheme="minorEastAsia" w:cs="Times New Roman"/>
          <w:i/>
          <w:color w:val="auto"/>
          <w:sz w:val="22"/>
          <w:szCs w:val="22"/>
          <w:lang w:eastAsia="ko-KR"/>
        </w:rPr>
      </w:pPr>
      <m:oMath>
        <m:r>
          <w:rPr>
            <w:rFonts w:ascii="Cambria Math" w:eastAsiaTheme="minorEastAsia" w:hAnsi="Cambria Math" w:cs="Times New Roman"/>
            <w:color w:val="auto"/>
            <w:sz w:val="22"/>
            <w:szCs w:val="22"/>
            <w:lang w:eastAsia="ko-KR"/>
          </w:rPr>
          <m:t xml:space="preserve">                                   </m:t>
        </m:r>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RLS</m:t>
            </m:r>
          </m:e>
          <m:sub>
            <m:r>
              <w:rPr>
                <w:rFonts w:ascii="Cambria Math" w:eastAsiaTheme="minorEastAsia" w:hAnsi="Cambria Math" w:cs="Times New Roman"/>
                <w:color w:val="auto"/>
                <w:sz w:val="22"/>
                <w:szCs w:val="22"/>
                <w:lang w:eastAsia="ko-KR"/>
              </w:rPr>
              <m:t>rdt,type</m:t>
            </m:r>
          </m:sub>
        </m:sSub>
        <m:r>
          <w:rPr>
            <w:rFonts w:ascii="Cambria Math" w:eastAsiaTheme="minorEastAsia" w:hAnsi="Cambria Math" w:cs="Times New Roman"/>
            <w:color w:val="auto"/>
            <w:sz w:val="22"/>
            <w:szCs w:val="22"/>
            <w:lang w:eastAsia="ko-KR"/>
          </w:rPr>
          <m:t>:</m:t>
        </m:r>
      </m:oMath>
      <w:r w:rsidRPr="002A4B19">
        <w:rPr>
          <w:rFonts w:eastAsiaTheme="minorEastAsia" w:cs="Times New Roman"/>
          <w:i/>
          <w:color w:val="auto"/>
          <w:sz w:val="22"/>
          <w:szCs w:val="22"/>
          <w:lang w:eastAsia="ko-KR"/>
        </w:rPr>
        <w:t xml:space="preserve"> Labor inputs for R&amp;D investments by skill type;</w:t>
      </w:r>
    </w:p>
    <w:p w:rsidR="00454632" w:rsidRPr="002A4B19" w:rsidRDefault="00454632" w:rsidP="00454632">
      <w:pPr>
        <w:pStyle w:val="Mdeck4text"/>
        <w:rPr>
          <w:rFonts w:eastAsiaTheme="minorEastAsia" w:cs="Times New Roman"/>
          <w:i/>
          <w:color w:val="auto"/>
          <w:lang w:eastAsia="ko-KR"/>
        </w:rPr>
      </w:pPr>
      <m:oMath>
        <m:r>
          <w:rPr>
            <w:rFonts w:ascii="Cambria Math" w:eastAsiaTheme="minorEastAsia" w:hAnsi="Cambria Math" w:cs="Times New Roman"/>
            <w:color w:val="auto"/>
            <w:sz w:val="22"/>
            <w:szCs w:val="22"/>
            <w:lang w:eastAsia="ko-KR"/>
          </w:rPr>
          <w:lastRenderedPageBreak/>
          <m:t xml:space="preserve">                                   </m:t>
        </m:r>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PL</m:t>
            </m:r>
          </m:e>
          <m:sub>
            <m:r>
              <w:rPr>
                <w:rFonts w:ascii="Cambria Math" w:eastAsiaTheme="minorEastAsia" w:hAnsi="Cambria Math" w:cs="Times New Roman"/>
                <w:color w:val="auto"/>
                <w:sz w:val="22"/>
                <w:szCs w:val="22"/>
                <w:lang w:eastAsia="ko-KR"/>
              </w:rPr>
              <m:t>type</m:t>
            </m:r>
          </m:sub>
        </m:sSub>
      </m:oMath>
      <w:r w:rsidRPr="002A4B19">
        <w:rPr>
          <w:rFonts w:eastAsiaTheme="minorEastAsia" w:cs="Times New Roman"/>
          <w:i/>
          <w:color w:val="auto"/>
          <w:sz w:val="22"/>
          <w:szCs w:val="22"/>
          <w:lang w:eastAsia="ko-KR"/>
        </w:rPr>
        <w:t>: Factor price of labor by skill type</w:t>
      </w:r>
    </w:p>
    <w:p w:rsidR="00454632" w:rsidRPr="002A4B19" w:rsidRDefault="00454632" w:rsidP="00454632">
      <w:pPr>
        <w:pStyle w:val="Mdeck4text"/>
        <w:rPr>
          <w:rFonts w:eastAsiaTheme="minorEastAsia" w:cs="Times New Roman"/>
          <w:color w:val="auto"/>
          <w:lang w:eastAsia="ko-KR"/>
        </w:rPr>
      </w:pPr>
    </w:p>
    <w:p w:rsidR="00454632" w:rsidRPr="002A4B19" w:rsidRDefault="00454632" w:rsidP="00454632">
      <w:pPr>
        <w:pStyle w:val="Mdeck4text"/>
        <w:jc w:val="center"/>
        <w:rPr>
          <w:rFonts w:eastAsiaTheme="minorEastAsia" w:cs="Times New Roman"/>
          <w:color w:val="auto"/>
          <w:sz w:val="22"/>
          <w:szCs w:val="22"/>
          <w:lang w:eastAsia="ko-KR"/>
        </w:rPr>
      </w:pPr>
      <m:oMath>
        <m:r>
          <w:rPr>
            <w:rFonts w:ascii="Cambria Math" w:eastAsiaTheme="minorEastAsia" w:hAnsi="Cambria Math" w:cs="Times New Roman"/>
            <w:color w:val="auto"/>
            <w:sz w:val="22"/>
            <w:szCs w:val="22"/>
            <w:lang w:eastAsia="ko-KR"/>
          </w:rPr>
          <m:t xml:space="preserve">HKINC= </m:t>
        </m:r>
        <m:nary>
          <m:naryPr>
            <m:chr m:val="∑"/>
            <m:limLoc m:val="undOvr"/>
            <m:supHide m:val="1"/>
            <m:ctrlPr>
              <w:rPr>
                <w:rFonts w:ascii="Cambria Math" w:eastAsiaTheme="minorEastAsia" w:hAnsi="Cambria Math" w:cs="Times New Roman"/>
                <w:i/>
                <w:color w:val="auto"/>
                <w:sz w:val="22"/>
                <w:szCs w:val="22"/>
              </w:rPr>
            </m:ctrlPr>
          </m:naryPr>
          <m:sub>
            <m:r>
              <w:rPr>
                <w:rFonts w:ascii="Cambria Math" w:eastAsiaTheme="minorEastAsia" w:hAnsi="Cambria Math" w:cs="Times New Roman"/>
                <w:color w:val="auto"/>
                <w:sz w:val="22"/>
                <w:szCs w:val="22"/>
                <w:lang w:eastAsia="ko-KR"/>
              </w:rPr>
              <m:t>i</m:t>
            </m:r>
          </m:sub>
          <m:sup/>
          <m:e>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(K</m:t>
                </m:r>
              </m:e>
              <m:sub>
                <m:r>
                  <w:rPr>
                    <w:rFonts w:ascii="Cambria Math" w:eastAsiaTheme="minorEastAsia" w:hAnsi="Cambria Math" w:cs="Times New Roman"/>
                    <w:color w:val="auto"/>
                    <w:sz w:val="22"/>
                    <w:szCs w:val="22"/>
                    <w:lang w:eastAsia="ko-KR"/>
                  </w:rPr>
                  <m:t>i</m:t>
                </m:r>
              </m:sub>
            </m:sSub>
            <m:r>
              <w:rPr>
                <w:rFonts w:ascii="Cambria Math" w:eastAsiaTheme="minorEastAsia" w:hAnsi="Cambria Math" w:cs="Times New Roman"/>
                <w:color w:val="auto"/>
                <w:sz w:val="22"/>
                <w:szCs w:val="22"/>
                <w:lang w:eastAsia="ko-KR"/>
              </w:rPr>
              <m:t>∙PK)+</m:t>
            </m:r>
            <m:nary>
              <m:naryPr>
                <m:chr m:val="∑"/>
                <m:limLoc m:val="undOvr"/>
                <m:supHide m:val="1"/>
                <m:ctrlPr>
                  <w:rPr>
                    <w:rFonts w:ascii="Cambria Math" w:eastAsiaTheme="minorEastAsia" w:hAnsi="Cambria Math" w:cs="Times New Roman"/>
                    <w:i/>
                    <w:color w:val="auto"/>
                    <w:sz w:val="22"/>
                    <w:szCs w:val="22"/>
                  </w:rPr>
                </m:ctrlPr>
              </m:naryPr>
              <m:sub>
                <m:r>
                  <w:rPr>
                    <w:rFonts w:ascii="Cambria Math" w:eastAsiaTheme="minorEastAsia" w:hAnsi="Cambria Math" w:cs="Times New Roman"/>
                    <w:color w:val="auto"/>
                    <w:sz w:val="22"/>
                    <w:szCs w:val="22"/>
                    <w:lang w:eastAsia="ko-KR"/>
                  </w:rPr>
                  <m:t>rdt</m:t>
                </m:r>
              </m:sub>
              <m:sup/>
              <m:e>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(RK</m:t>
                    </m:r>
                  </m:e>
                  <m:sub>
                    <m:r>
                      <w:rPr>
                        <w:rFonts w:ascii="Cambria Math" w:eastAsiaTheme="minorEastAsia" w:hAnsi="Cambria Math" w:cs="Times New Roman"/>
                        <w:color w:val="auto"/>
                        <w:sz w:val="22"/>
                        <w:szCs w:val="22"/>
                        <w:lang w:eastAsia="ko-KR"/>
                      </w:rPr>
                      <m:t>rdt</m:t>
                    </m:r>
                  </m:sub>
                </m:sSub>
                <m:r>
                  <w:rPr>
                    <w:rFonts w:ascii="Cambria Math" w:eastAsiaTheme="minorEastAsia" w:hAnsi="Cambria Math" w:cs="Times New Roman"/>
                    <w:color w:val="auto"/>
                    <w:sz w:val="22"/>
                    <w:szCs w:val="22"/>
                    <w:lang w:eastAsia="ko-KR"/>
                  </w:rPr>
                  <m:t>∙PK)</m:t>
                </m:r>
              </m:e>
            </m:nary>
          </m:e>
        </m:nary>
      </m:oMath>
      <w:r w:rsidRPr="002A4B19">
        <w:rPr>
          <w:rFonts w:eastAsiaTheme="minorEastAsia" w:cs="Times New Roman"/>
          <w:color w:val="auto"/>
          <w:sz w:val="22"/>
          <w:szCs w:val="22"/>
          <w:lang w:eastAsia="ko-KR"/>
        </w:rPr>
        <w:t xml:space="preserve">   Eq. (14)</w:t>
      </w:r>
    </w:p>
    <w:p w:rsidR="00454632" w:rsidRPr="002A4B19" w:rsidRDefault="00454632" w:rsidP="00454632">
      <w:pPr>
        <w:pStyle w:val="Mdeck4text"/>
        <w:ind w:leftChars="1000" w:left="2960" w:hangingChars="400" w:hanging="960"/>
        <w:rPr>
          <w:rFonts w:eastAsiaTheme="minorEastAsia" w:cs="Times New Roman"/>
          <w:i/>
          <w:color w:val="auto"/>
          <w:sz w:val="22"/>
          <w:szCs w:val="22"/>
          <w:lang w:eastAsia="ko-KR"/>
        </w:rPr>
      </w:pPr>
      <m:oMath>
        <m:r>
          <w:rPr>
            <w:rFonts w:ascii="Cambria Math" w:eastAsiaTheme="minorEastAsia" w:hAnsi="Cambria Math" w:cs="Times New Roman"/>
            <w:color w:val="auto"/>
            <w:lang w:eastAsia="ko-KR"/>
          </w:rPr>
          <m:t xml:space="preserve">   where </m:t>
        </m:r>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K</m:t>
            </m:r>
          </m:e>
          <m:sub>
            <m:r>
              <w:rPr>
                <w:rFonts w:ascii="Cambria Math" w:eastAsiaTheme="minorEastAsia" w:hAnsi="Cambria Math" w:cs="Times New Roman"/>
                <w:color w:val="auto"/>
                <w:sz w:val="22"/>
                <w:szCs w:val="22"/>
                <w:lang w:eastAsia="ko-KR"/>
              </w:rPr>
              <m:t>i</m:t>
            </m:r>
          </m:sub>
        </m:sSub>
        <m:r>
          <w:rPr>
            <w:rFonts w:ascii="Cambria Math" w:eastAsiaTheme="minorEastAsia" w:hAnsi="Cambria Math" w:cs="Times New Roman"/>
            <w:color w:val="auto"/>
            <w:sz w:val="22"/>
            <w:szCs w:val="22"/>
            <w:lang w:eastAsia="ko-KR"/>
          </w:rPr>
          <m:t xml:space="preserve">: </m:t>
        </m:r>
      </m:oMath>
      <w:r w:rsidRPr="002A4B19">
        <w:rPr>
          <w:rFonts w:eastAsiaTheme="minorEastAsia" w:cs="Times New Roman"/>
          <w:i/>
          <w:color w:val="auto"/>
          <w:sz w:val="22"/>
          <w:szCs w:val="22"/>
          <w:lang w:eastAsia="ko-KR"/>
        </w:rPr>
        <w:t>Physical capital inputs for sector i;</w:t>
      </w:r>
    </w:p>
    <w:p w:rsidR="00454632" w:rsidRPr="002A4B19" w:rsidRDefault="00454632" w:rsidP="00454632">
      <w:pPr>
        <w:pStyle w:val="Mdeck4text"/>
        <w:ind w:leftChars="1350" w:left="2810" w:hangingChars="50" w:hanging="110"/>
        <w:rPr>
          <w:rFonts w:eastAsiaTheme="minorEastAsia" w:cs="Times New Roman"/>
          <w:i/>
          <w:color w:val="auto"/>
          <w:sz w:val="22"/>
          <w:szCs w:val="22"/>
          <w:lang w:eastAsia="ko-KR"/>
        </w:rPr>
      </w:pPr>
      <m:oMath>
        <m:r>
          <w:rPr>
            <w:rFonts w:ascii="Cambria Math" w:eastAsiaTheme="minorEastAsia" w:hAnsi="Cambria Math" w:cs="Times New Roman"/>
            <w:color w:val="auto"/>
            <w:sz w:val="22"/>
            <w:szCs w:val="22"/>
            <w:lang w:eastAsia="ko-KR"/>
          </w:rPr>
          <m:t xml:space="preserve">   </m:t>
        </m:r>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RK</m:t>
            </m:r>
          </m:e>
          <m:sub>
            <m:r>
              <w:rPr>
                <w:rFonts w:ascii="Cambria Math" w:eastAsiaTheme="minorEastAsia" w:hAnsi="Cambria Math" w:cs="Times New Roman"/>
                <w:color w:val="auto"/>
                <w:sz w:val="22"/>
                <w:szCs w:val="22"/>
                <w:lang w:eastAsia="ko-KR"/>
              </w:rPr>
              <m:t>rdt</m:t>
            </m:r>
          </m:sub>
        </m:sSub>
        <m:r>
          <w:rPr>
            <w:rFonts w:ascii="Cambria Math" w:eastAsiaTheme="minorEastAsia" w:hAnsi="Cambria Math" w:cs="Times New Roman"/>
            <w:color w:val="auto"/>
            <w:sz w:val="22"/>
            <w:szCs w:val="22"/>
            <w:lang w:eastAsia="ko-KR"/>
          </w:rPr>
          <m:t>:</m:t>
        </m:r>
      </m:oMath>
      <w:r w:rsidRPr="002A4B19">
        <w:rPr>
          <w:rFonts w:eastAsiaTheme="minorEastAsia" w:cs="Times New Roman"/>
          <w:i/>
          <w:color w:val="auto"/>
          <w:sz w:val="22"/>
          <w:szCs w:val="22"/>
          <w:lang w:eastAsia="ko-KR"/>
        </w:rPr>
        <w:t xml:space="preserve"> Physical capital inputs for R&amp;D investments;</w:t>
      </w:r>
    </w:p>
    <w:p w:rsidR="00454632" w:rsidRPr="002A4B19" w:rsidRDefault="00454632" w:rsidP="00454632">
      <w:pPr>
        <w:pStyle w:val="Mdeck4text"/>
        <w:ind w:firstLineChars="450" w:firstLine="990"/>
        <w:rPr>
          <w:rFonts w:eastAsiaTheme="minorEastAsia" w:cs="Times New Roman"/>
          <w:i/>
          <w:color w:val="auto"/>
          <w:sz w:val="22"/>
          <w:szCs w:val="22"/>
          <w:lang w:eastAsia="ko-KR"/>
        </w:rPr>
      </w:pPr>
      <m:oMath>
        <m:r>
          <w:rPr>
            <w:rFonts w:ascii="Cambria Math" w:eastAsiaTheme="minorEastAsia" w:hAnsi="Cambria Math" w:cs="Times New Roman"/>
            <w:color w:val="auto"/>
            <w:sz w:val="22"/>
            <w:szCs w:val="22"/>
            <w:lang w:eastAsia="ko-KR"/>
          </w:rPr>
          <m:t xml:space="preserve">                                      PK:</m:t>
        </m:r>
      </m:oMath>
      <w:r w:rsidRPr="002A4B19">
        <w:rPr>
          <w:rFonts w:eastAsiaTheme="minorEastAsia" w:cs="Times New Roman"/>
          <w:i/>
          <w:color w:val="auto"/>
          <w:sz w:val="22"/>
          <w:szCs w:val="22"/>
          <w:lang w:eastAsia="ko-KR"/>
        </w:rPr>
        <w:t xml:space="preserve"> Returns of capital</w:t>
      </w:r>
    </w:p>
    <w:p w:rsidR="00454632" w:rsidRPr="002A4B19" w:rsidRDefault="00454632" w:rsidP="00454632">
      <w:pPr>
        <w:pStyle w:val="Mdeck4text"/>
        <w:jc w:val="center"/>
        <w:rPr>
          <w:rFonts w:eastAsiaTheme="minorEastAsia" w:cs="Times New Roman"/>
          <w:color w:val="auto"/>
          <w:sz w:val="22"/>
          <w:szCs w:val="22"/>
          <w:lang w:eastAsia="ko-KR"/>
        </w:rPr>
      </w:pPr>
    </w:p>
    <w:p w:rsidR="00454632" w:rsidRPr="002A4B19" w:rsidRDefault="00454632" w:rsidP="00454632">
      <w:pPr>
        <w:pStyle w:val="Mdeck4text"/>
        <w:jc w:val="center"/>
        <w:rPr>
          <w:rFonts w:eastAsiaTheme="minorEastAsia" w:cs="Times New Roman"/>
          <w:color w:val="auto"/>
          <w:sz w:val="22"/>
          <w:szCs w:val="22"/>
          <w:lang w:eastAsia="ko-KR"/>
        </w:rPr>
      </w:pPr>
      <m:oMath>
        <m:r>
          <w:rPr>
            <w:rFonts w:ascii="Cambria Math" w:eastAsiaTheme="minorEastAsia" w:hAnsi="Cambria Math" w:cs="Times New Roman"/>
            <w:color w:val="auto"/>
            <w:sz w:val="22"/>
            <w:szCs w:val="22"/>
            <w:lang w:eastAsia="ko-KR"/>
          </w:rPr>
          <m:t xml:space="preserve">  HHINC= </m:t>
        </m:r>
        <m:nary>
          <m:naryPr>
            <m:chr m:val="∑"/>
            <m:limLoc m:val="undOvr"/>
            <m:supHide m:val="1"/>
            <m:ctrlPr>
              <w:rPr>
                <w:rFonts w:ascii="Cambria Math" w:eastAsiaTheme="minorEastAsia" w:hAnsi="Cambria Math" w:cs="Times New Roman"/>
                <w:i/>
                <w:color w:val="auto"/>
                <w:sz w:val="22"/>
                <w:szCs w:val="22"/>
              </w:rPr>
            </m:ctrlPr>
          </m:naryPr>
          <m:sub>
            <m:r>
              <w:rPr>
                <w:rFonts w:ascii="Cambria Math" w:eastAsiaTheme="minorEastAsia" w:hAnsi="Cambria Math" w:cs="Times New Roman"/>
                <w:color w:val="auto"/>
                <w:sz w:val="22"/>
                <w:szCs w:val="22"/>
                <w:lang w:eastAsia="ko-KR"/>
              </w:rPr>
              <m:t>i</m:t>
            </m:r>
          </m:sub>
          <m:sup/>
          <m:e>
            <m:sSub>
              <m:sSubPr>
                <m:ctrlPr>
                  <w:rPr>
                    <w:rFonts w:ascii="Cambria Math" w:eastAsiaTheme="minorEastAsia" w:hAnsi="Cambria Math" w:cs="Times New Roman"/>
                    <w:i/>
                    <w:color w:val="auto"/>
                    <w:sz w:val="22"/>
                    <w:szCs w:val="22"/>
                  </w:rPr>
                </m:ctrlPr>
              </m:sSubPr>
              <m:e>
                <m:r>
                  <w:rPr>
                    <w:rFonts w:ascii="Cambria Math" w:eastAsiaTheme="minorEastAsia" w:hAnsi="Cambria Math" w:cs="Times New Roman"/>
                    <w:color w:val="auto"/>
                    <w:sz w:val="22"/>
                    <w:szCs w:val="22"/>
                    <w:lang w:eastAsia="ko-KR"/>
                  </w:rPr>
                  <m:t>(H</m:t>
                </m:r>
              </m:e>
              <m:sub>
                <m:r>
                  <w:rPr>
                    <w:rFonts w:ascii="Cambria Math" w:eastAsiaTheme="minorEastAsia" w:hAnsi="Cambria Math" w:cs="Times New Roman"/>
                    <w:color w:val="auto"/>
                    <w:sz w:val="22"/>
                    <w:szCs w:val="22"/>
                    <w:lang w:eastAsia="ko-KR"/>
                  </w:rPr>
                  <m:t>i</m:t>
                </m:r>
              </m:sub>
            </m:sSub>
            <m:r>
              <w:rPr>
                <w:rFonts w:ascii="Cambria Math" w:eastAsiaTheme="minorEastAsia" w:hAnsi="Cambria Math" w:cs="Times New Roman"/>
                <w:color w:val="auto"/>
                <w:sz w:val="22"/>
                <w:szCs w:val="22"/>
                <w:lang w:eastAsia="ko-KR"/>
              </w:rPr>
              <m:t>∙PRD)</m:t>
            </m:r>
          </m:e>
        </m:nary>
      </m:oMath>
      <w:r w:rsidRPr="002A4B19">
        <w:rPr>
          <w:rFonts w:eastAsiaTheme="minorEastAsia" w:cs="Times New Roman"/>
          <w:color w:val="auto"/>
          <w:sz w:val="22"/>
          <w:szCs w:val="22"/>
          <w:lang w:eastAsia="ko-KR"/>
        </w:rPr>
        <w:t xml:space="preserve">                   Eq. (15)</w:t>
      </w:r>
    </w:p>
    <w:p w:rsidR="00454632" w:rsidRPr="002A4B19" w:rsidRDefault="00454632" w:rsidP="00454632">
      <w:pPr>
        <w:pStyle w:val="Mdeck4text"/>
        <w:ind w:leftChars="1000" w:left="2960" w:hangingChars="400" w:hanging="960"/>
        <w:rPr>
          <w:rFonts w:eastAsiaTheme="minorEastAsia" w:cs="Times New Roman"/>
          <w:i/>
          <w:color w:val="auto"/>
          <w:sz w:val="22"/>
          <w:szCs w:val="22"/>
          <w:lang w:eastAsia="ko-KR"/>
        </w:rPr>
      </w:pPr>
      <m:oMath>
        <m:r>
          <w:rPr>
            <w:rFonts w:ascii="Cambria Math" w:eastAsiaTheme="minorEastAsia" w:hAnsi="Cambria Math" w:cs="Times New Roman"/>
            <w:color w:val="auto"/>
            <w:lang w:eastAsia="ko-KR"/>
          </w:rPr>
          <m:t xml:space="preserve">   where </m:t>
        </m:r>
        <m:r>
          <w:rPr>
            <w:rFonts w:ascii="Cambria Math" w:eastAsiaTheme="minorEastAsia" w:hAnsi="Cambria Math" w:cs="Times New Roman"/>
            <w:color w:val="auto"/>
            <w:sz w:val="22"/>
            <w:szCs w:val="22"/>
            <w:lang w:eastAsia="ko-KR"/>
          </w:rPr>
          <m:t xml:space="preserve">H: Knowledge </m:t>
        </m:r>
      </m:oMath>
      <w:r w:rsidRPr="002A4B19">
        <w:rPr>
          <w:rFonts w:eastAsiaTheme="minorEastAsia" w:cs="Times New Roman"/>
          <w:i/>
          <w:color w:val="auto"/>
          <w:sz w:val="22"/>
          <w:szCs w:val="22"/>
          <w:lang w:eastAsia="ko-KR"/>
        </w:rPr>
        <w:t>capital inputs for sector i;</w:t>
      </w:r>
    </w:p>
    <w:p w:rsidR="00454632" w:rsidRPr="002A4B19" w:rsidRDefault="00454632" w:rsidP="00454632">
      <w:pPr>
        <w:pStyle w:val="Mdeck4text"/>
        <w:ind w:leftChars="1350" w:left="2810" w:hangingChars="50" w:hanging="110"/>
        <w:rPr>
          <w:rFonts w:eastAsiaTheme="minorEastAsia" w:cs="Times New Roman"/>
          <w:i/>
          <w:color w:val="auto"/>
          <w:sz w:val="22"/>
          <w:szCs w:val="22"/>
          <w:lang w:eastAsia="ko-KR"/>
        </w:rPr>
      </w:pPr>
      <m:oMath>
        <m:r>
          <w:rPr>
            <w:rFonts w:ascii="Cambria Math" w:eastAsiaTheme="minorEastAsia" w:hAnsi="Cambria Math" w:cs="Times New Roman"/>
            <w:color w:val="auto"/>
            <w:sz w:val="22"/>
            <w:szCs w:val="22"/>
            <w:lang w:eastAsia="ko-KR"/>
          </w:rPr>
          <m:t xml:space="preserve">   PRD:</m:t>
        </m:r>
      </m:oMath>
      <w:r w:rsidRPr="002A4B19">
        <w:rPr>
          <w:rFonts w:eastAsiaTheme="minorEastAsia" w:cs="Times New Roman"/>
          <w:i/>
          <w:color w:val="auto"/>
          <w:sz w:val="22"/>
          <w:szCs w:val="22"/>
          <w:lang w:eastAsia="ko-KR"/>
        </w:rPr>
        <w:t xml:space="preserve"> Factor price of knowledge capital</w:t>
      </w:r>
    </w:p>
    <w:p w:rsidR="00454632" w:rsidRPr="002A4B19" w:rsidRDefault="00454632" w:rsidP="00454632">
      <w:pPr>
        <w:pStyle w:val="Mdeck4text"/>
        <w:rPr>
          <w:rFonts w:eastAsiaTheme="minorEastAsia" w:cs="Times New Roman"/>
          <w:color w:val="auto"/>
          <w:lang w:eastAsia="ko-KR"/>
        </w:rPr>
      </w:pPr>
    </w:p>
    <w:p w:rsidR="00454632" w:rsidRPr="002A4B19" w:rsidRDefault="00454632" w:rsidP="00454632">
      <w:pPr>
        <w:pStyle w:val="Mdeck4text"/>
        <w:rPr>
          <w:rFonts w:eastAsiaTheme="minorEastAsia" w:cs="Times New Roman"/>
          <w:color w:val="auto"/>
          <w:lang w:eastAsia="ko-KR"/>
        </w:rPr>
      </w:pPr>
      <w:r w:rsidRPr="002A4B19">
        <w:rPr>
          <w:rFonts w:eastAsiaTheme="minorEastAsia" w:cs="Times New Roman"/>
          <w:color w:val="auto"/>
          <w:lang w:eastAsia="ko-KR"/>
        </w:rPr>
        <w:t>Furthermore, the aggregate household earning from each primary factor described in Equations (13), (14), and (15) is divided into 20 groups of households, in proportion to the share of each income quantile, to characterize the distribution of households’ incomes. The incomes of households are either saved or paid to the government as transfer payments. The remaining incomes are then spent for consumption. Consumption expenditures of households at different income quantiles are determined by the consumption structure, drawn from micro-level data of the Household Income and Expenditure (HIE) Survey.</w:t>
      </w:r>
    </w:p>
    <w:p w:rsidR="00454632" w:rsidRPr="002A4B19" w:rsidRDefault="00454632"/>
    <w:p w:rsidR="00454632" w:rsidRPr="002A4B19" w:rsidRDefault="00454632"/>
    <w:p w:rsidR="00454632" w:rsidRPr="002A4B19" w:rsidRDefault="00454632" w:rsidP="00454632">
      <w:pPr>
        <w:pStyle w:val="Mdeck4heading1"/>
        <w:spacing w:before="0"/>
        <w:rPr>
          <w:rFonts w:cs="Times New Roman"/>
          <w:color w:val="auto"/>
          <w:lang w:eastAsia="zh-CN"/>
        </w:rPr>
      </w:pPr>
      <w:r w:rsidRPr="002A4B19">
        <w:rPr>
          <w:rFonts w:cs="Times New Roman"/>
          <w:color w:val="auto"/>
          <w:lang w:eastAsia="zh-CN"/>
        </w:rPr>
        <w:t>4. Scenario Settings</w:t>
      </w:r>
    </w:p>
    <w:p w:rsidR="00454632" w:rsidRPr="002A4B19" w:rsidRDefault="00454632" w:rsidP="00454632">
      <w:pPr>
        <w:pStyle w:val="Mdeck4heading2"/>
        <w:spacing w:before="0"/>
        <w:rPr>
          <w:rFonts w:cs="Times New Roman"/>
          <w:b/>
          <w:color w:val="auto"/>
        </w:rPr>
      </w:pPr>
      <w:r w:rsidRPr="002A4B19">
        <w:rPr>
          <w:rFonts w:cs="Times New Roman"/>
          <w:b/>
          <w:color w:val="auto"/>
        </w:rPr>
        <w:t>4.1 Implementation of factor-biased technological change</w:t>
      </w:r>
    </w:p>
    <w:p w:rsidR="00454632" w:rsidRPr="002A4B19" w:rsidRDefault="00454632" w:rsidP="00454632">
      <w:pPr>
        <w:pStyle w:val="Mdeck4text"/>
        <w:rPr>
          <w:rFonts w:eastAsiaTheme="minorEastAsia" w:cs="Times New Roman"/>
          <w:color w:val="auto"/>
          <w:lang w:eastAsia="ko-KR"/>
        </w:rPr>
      </w:pPr>
      <w:r w:rsidRPr="002A4B19">
        <w:rPr>
          <w:rFonts w:eastAsiaTheme="minorEastAsia" w:cs="Times New Roman"/>
          <w:color w:val="auto"/>
          <w:lang w:eastAsia="ko-KR"/>
        </w:rPr>
        <w:t>Model settings, as discussed in the previous chapter, give us information on methodological foundations to examine direct and indirect employment effects arising from innovations. A brief representation of the methodological approaches is shown in Figure 1. To account for indirect effects of technological innovations on employment structure, we have introduced R&amp;D investments and characteristics of knowledge into our model. In this context, the CGE model is set up so that spillover effects from innovation increase productivity, influencing other sectors in the economy, as shown in Equations (9) to (12). Consequently, R&amp;D investments and productivity improvements from knowledge accumulation can bring about expansion of outputs in industrial sectors and economic growth, resulting in indirect creation of employment.</w:t>
      </w:r>
    </w:p>
    <w:p w:rsidR="00454632" w:rsidRPr="002A4B19" w:rsidRDefault="00454632" w:rsidP="00454632">
      <w:pPr>
        <w:pStyle w:val="Mdeck4text"/>
        <w:rPr>
          <w:rFonts w:eastAsiaTheme="minorEastAsia" w:cs="Times New Roman"/>
          <w:color w:val="auto"/>
          <w:lang w:eastAsia="ko-KR"/>
        </w:rPr>
      </w:pPr>
      <w:r w:rsidRPr="002A4B19">
        <w:rPr>
          <w:rFonts w:eastAsiaTheme="minorEastAsia" w:cs="Times New Roman"/>
          <w:color w:val="auto"/>
          <w:lang w:eastAsia="ko-KR"/>
        </w:rPr>
        <w:t xml:space="preserve">In addition, we have explored key determinants behind the technological unemployment derived from the literature review in Section 2. To understand direct effects of technological innovations on the employment structure, it is essential to explicitly represent the SBTC and capital-biased technical change within the CGE framework. In the production structure, as shown in Figure 2, the CES functional form has been chosen as a production function in each </w:t>
      </w:r>
      <w:r w:rsidRPr="002A4B19">
        <w:rPr>
          <w:rFonts w:eastAsiaTheme="minorEastAsia" w:cs="Times New Roman"/>
          <w:color w:val="auto"/>
          <w:lang w:eastAsia="ko-KR"/>
        </w:rPr>
        <w:lastRenderedPageBreak/>
        <w:t>sector.</w:t>
      </w:r>
      <w:r w:rsidRPr="002A4B19">
        <w:rPr>
          <w:rStyle w:val="a8"/>
          <w:rFonts w:eastAsiaTheme="minorEastAsia" w:cs="Times New Roman"/>
          <w:color w:val="auto"/>
          <w:lang w:eastAsia="ko-KR"/>
        </w:rPr>
        <w:footnoteReference w:id="6"/>
      </w:r>
      <w:r w:rsidRPr="002A4B19">
        <w:rPr>
          <w:rFonts w:eastAsiaTheme="minorEastAsia" w:cs="Times New Roman"/>
          <w:color w:val="auto"/>
          <w:lang w:eastAsia="ko-KR"/>
        </w:rPr>
        <w:t xml:space="preserve"> To incorporate SBTC and capital-biased technical change into the production structure, the value for elasticity of substitution among L3 (high-skilled labor), K (capital), and H (knowledge) is set to be less than 1 (</w:t>
      </w:r>
      <m:oMath>
        <m:sSub>
          <m:sSubPr>
            <m:ctrlPr>
              <w:rPr>
                <w:rFonts w:ascii="Cambria Math" w:eastAsiaTheme="minorEastAsia" w:hAnsi="Cambria Math" w:cs="Times New Roman"/>
                <w:color w:val="auto"/>
              </w:rPr>
            </m:ctrlPr>
          </m:sSubPr>
          <m:e>
            <m:r>
              <w:rPr>
                <w:rFonts w:ascii="Cambria Math" w:eastAsiaTheme="minorEastAsia" w:hAnsi="Cambria Math" w:cs="Times New Roman"/>
                <w:color w:val="auto"/>
                <w:lang w:eastAsia="ko-KR"/>
              </w:rPr>
              <m:t>σ</m:t>
            </m:r>
          </m:e>
          <m:sub>
            <m:r>
              <w:rPr>
                <w:rFonts w:ascii="Cambria Math" w:eastAsiaTheme="minorEastAsia" w:hAnsi="Cambria Math" w:cs="Times New Roman"/>
                <w:color w:val="auto"/>
                <w:lang w:eastAsia="ko-KR"/>
              </w:rPr>
              <m:t>1</m:t>
            </m:r>
          </m:sub>
        </m:sSub>
        <m:r>
          <w:rPr>
            <w:rFonts w:ascii="Cambria Math" w:eastAsiaTheme="minorEastAsia" w:hAnsi="Cambria Math" w:cs="Times New Roman"/>
            <w:color w:val="auto"/>
            <w:lang w:eastAsia="ko-KR"/>
          </w:rPr>
          <m:t>=0.67</m:t>
        </m:r>
      </m:oMath>
      <w:r w:rsidRPr="002A4B19">
        <w:rPr>
          <w:rFonts w:eastAsiaTheme="minorEastAsia" w:cs="Times New Roman"/>
          <w:color w:val="auto"/>
          <w:lang w:eastAsia="ko-KR"/>
        </w:rPr>
        <w:t>), while that value among HLK (the composite of high-skilled labor, capital and knowledge), L2 (skilled labor), and L1 (unskilled labor) is set to be larger than 1 (</w:t>
      </w:r>
      <m:oMath>
        <m:sSub>
          <m:sSubPr>
            <m:ctrlPr>
              <w:rPr>
                <w:rFonts w:ascii="Cambria Math" w:eastAsiaTheme="minorEastAsia" w:hAnsi="Cambria Math" w:cs="Times New Roman"/>
                <w:color w:val="auto"/>
              </w:rPr>
            </m:ctrlPr>
          </m:sSubPr>
          <m:e>
            <m:r>
              <w:rPr>
                <w:rFonts w:ascii="Cambria Math" w:eastAsiaTheme="minorEastAsia" w:hAnsi="Cambria Math" w:cs="Times New Roman"/>
                <w:color w:val="auto"/>
                <w:lang w:eastAsia="ko-KR"/>
              </w:rPr>
              <m:t>σ</m:t>
            </m:r>
          </m:e>
          <m:sub>
            <m:r>
              <w:rPr>
                <w:rFonts w:ascii="Cambria Math" w:eastAsiaTheme="minorEastAsia" w:hAnsi="Cambria Math" w:cs="Times New Roman"/>
                <w:color w:val="auto"/>
                <w:lang w:eastAsia="ko-KR"/>
              </w:rPr>
              <m:t>2</m:t>
            </m:r>
          </m:sub>
        </m:sSub>
        <m:r>
          <w:rPr>
            <w:rFonts w:ascii="Cambria Math" w:eastAsiaTheme="minorEastAsia" w:hAnsi="Cambria Math" w:cs="Times New Roman"/>
            <w:color w:val="auto"/>
            <w:lang w:eastAsia="ko-KR"/>
          </w:rPr>
          <m:t>=1.67)</m:t>
        </m:r>
      </m:oMath>
      <w:r w:rsidRPr="002A4B19">
        <w:rPr>
          <w:rFonts w:eastAsiaTheme="minorEastAsia" w:cs="Times New Roman"/>
          <w:color w:val="auto"/>
          <w:lang w:eastAsia="ko-KR"/>
        </w:rPr>
        <w:t>. The elasticity of substitution larger than 1 implies substitutive relationships among HLK, L2, and LI, and represents the SBTC and capital-biased technical change. The values of substitution elasticities are adopted from Krusell et al. (2000).</w:t>
      </w:r>
    </w:p>
    <w:p w:rsidR="00454632" w:rsidRPr="002A4B19" w:rsidRDefault="00454632"/>
    <w:p w:rsidR="00454632" w:rsidRPr="002A4B19" w:rsidRDefault="00454632" w:rsidP="00454632">
      <w:pPr>
        <w:pStyle w:val="Mdeck4heading2"/>
        <w:spacing w:before="0"/>
        <w:rPr>
          <w:rFonts w:cs="Times New Roman"/>
          <w:b/>
          <w:color w:val="auto"/>
        </w:rPr>
      </w:pPr>
      <w:r w:rsidRPr="002A4B19">
        <w:rPr>
          <w:rFonts w:cs="Times New Roman"/>
          <w:b/>
          <w:color w:val="auto"/>
        </w:rPr>
        <w:t>4.2 Business-As-Usual (BAU) scenario</w:t>
      </w:r>
    </w:p>
    <w:p w:rsidR="00454632" w:rsidRPr="002A4B19" w:rsidRDefault="00454632" w:rsidP="00454632">
      <w:pPr>
        <w:pStyle w:val="Mdeck4text"/>
        <w:rPr>
          <w:rFonts w:eastAsiaTheme="minorEastAsia" w:cs="Times New Roman"/>
          <w:color w:val="auto"/>
          <w:lang w:eastAsia="ko-KR"/>
        </w:rPr>
      </w:pPr>
      <w:r w:rsidRPr="002A4B19">
        <w:rPr>
          <w:rFonts w:eastAsiaTheme="minorEastAsia" w:cs="Times New Roman"/>
          <w:color w:val="auto"/>
          <w:lang w:eastAsia="ko-KR"/>
        </w:rPr>
        <w:t>Using the above-mentioned methodological foundations, the model is built and calibrated on the basis of the economic situation of Korea in 2010. However, since this analysis aims to investigate the macroeconomic impacts of technological innovations on employment structure and economic growth in 2030, the BAU scenario up to 2030 is generated by expanding the base-year economy, incorporating projection data. Projection data contain forecast figures for long-term economic growth (gross domestic product (GDP) forecasts), and the forecast values for GDP growth (Table 2) are adopted from National Assembly Budget Office (NABO) (2012). It is also assumed that R&amp;D intensity is maintained at 4% from the base year of 2010 to the target year of 2030. The level of the R&amp;D intensity in 2010 is based on the current status of R&amp;D investments in Korea.</w:t>
      </w:r>
    </w:p>
    <w:p w:rsidR="00454632" w:rsidRPr="002A4B19" w:rsidRDefault="00454632" w:rsidP="00454632">
      <w:pPr>
        <w:pStyle w:val="Mdeck4text"/>
        <w:rPr>
          <w:rFonts w:eastAsiaTheme="minorEastAsia" w:cs="Times New Roman"/>
          <w:color w:val="auto"/>
          <w:lang w:eastAsia="ko-KR"/>
        </w:rPr>
      </w:pPr>
    </w:p>
    <w:p w:rsidR="00454632" w:rsidRPr="002A4B19" w:rsidRDefault="00454632" w:rsidP="00454632">
      <w:pPr>
        <w:pStyle w:val="a6"/>
        <w:keepNext/>
        <w:jc w:val="center"/>
        <w:rPr>
          <w:rFonts w:ascii="Times New Roman" w:hAnsi="Times New Roman" w:cs="Times New Roman"/>
          <w:sz w:val="24"/>
        </w:rPr>
      </w:pPr>
      <w:r w:rsidRPr="002A4B19">
        <w:rPr>
          <w:rFonts w:ascii="Times New Roman" w:hAnsi="Times New Roman" w:cs="Times New Roman"/>
          <w:b w:val="0"/>
          <w:sz w:val="24"/>
        </w:rPr>
        <w:t xml:space="preserve">Table </w:t>
      </w:r>
      <w:r w:rsidRPr="002A4B19">
        <w:rPr>
          <w:rFonts w:ascii="Times New Roman" w:hAnsi="Times New Roman" w:cs="Times New Roman"/>
          <w:b w:val="0"/>
          <w:sz w:val="24"/>
        </w:rPr>
        <w:fldChar w:fldCharType="begin"/>
      </w:r>
      <w:r w:rsidRPr="002A4B19">
        <w:rPr>
          <w:rFonts w:ascii="Times New Roman" w:hAnsi="Times New Roman" w:cs="Times New Roman"/>
          <w:b w:val="0"/>
          <w:sz w:val="24"/>
        </w:rPr>
        <w:instrText xml:space="preserve"> SEQ Table \* ARABIC </w:instrText>
      </w:r>
      <w:r w:rsidRPr="002A4B19">
        <w:rPr>
          <w:rFonts w:ascii="Times New Roman" w:hAnsi="Times New Roman" w:cs="Times New Roman"/>
          <w:b w:val="0"/>
          <w:sz w:val="24"/>
        </w:rPr>
        <w:fldChar w:fldCharType="separate"/>
      </w:r>
      <w:r w:rsidRPr="002A4B19">
        <w:rPr>
          <w:rFonts w:ascii="Times New Roman" w:hAnsi="Times New Roman" w:cs="Times New Roman"/>
          <w:b w:val="0"/>
          <w:sz w:val="24"/>
        </w:rPr>
        <w:t>2</w:t>
      </w:r>
      <w:r w:rsidRPr="002A4B19">
        <w:rPr>
          <w:rFonts w:ascii="Times New Roman" w:hAnsi="Times New Roman" w:cs="Times New Roman"/>
          <w:b w:val="0"/>
          <w:sz w:val="24"/>
        </w:rPr>
        <w:fldChar w:fldCharType="end"/>
      </w:r>
      <w:r w:rsidRPr="002A4B19">
        <w:rPr>
          <w:rFonts w:ascii="Times New Roman" w:hAnsi="Times New Roman" w:cs="Times New Roman"/>
          <w:b w:val="0"/>
          <w:sz w:val="24"/>
        </w:rPr>
        <w:t>. GDP projections for business-as-usual (BAU) scenario (2010 = 1)</w:t>
      </w:r>
    </w:p>
    <w:tbl>
      <w:tblPr>
        <w:tblW w:w="0" w:type="auto"/>
        <w:jc w:val="center"/>
        <w:tblLayout w:type="fixed"/>
        <w:tblLook w:val="04A0" w:firstRow="1" w:lastRow="0" w:firstColumn="1" w:lastColumn="0" w:noHBand="0" w:noVBand="1"/>
      </w:tblPr>
      <w:tblGrid>
        <w:gridCol w:w="1276"/>
        <w:gridCol w:w="704"/>
        <w:gridCol w:w="705"/>
        <w:gridCol w:w="704"/>
        <w:gridCol w:w="705"/>
        <w:gridCol w:w="704"/>
        <w:gridCol w:w="705"/>
        <w:gridCol w:w="704"/>
        <w:gridCol w:w="705"/>
        <w:gridCol w:w="704"/>
        <w:gridCol w:w="705"/>
        <w:gridCol w:w="705"/>
      </w:tblGrid>
      <w:tr w:rsidR="002A4B19" w:rsidRPr="002A4B19" w:rsidTr="00FA22B7">
        <w:trPr>
          <w:trHeight w:val="330"/>
          <w:jc w:val="center"/>
        </w:trPr>
        <w:tc>
          <w:tcPr>
            <w:tcW w:w="1276" w:type="dxa"/>
            <w:tcBorders>
              <w:top w:val="single" w:sz="18" w:space="0" w:color="auto"/>
              <w:left w:val="nil"/>
              <w:bottom w:val="single" w:sz="4" w:space="0" w:color="auto"/>
              <w:right w:val="nil"/>
            </w:tcBorders>
            <w:shd w:val="clear" w:color="auto" w:fill="auto"/>
            <w:noWrap/>
            <w:vAlign w:val="center"/>
            <w:hideMark/>
          </w:tcPr>
          <w:p w:rsidR="00454632" w:rsidRPr="002A4B19" w:rsidRDefault="00454632" w:rsidP="00FA22B7">
            <w:pPr>
              <w:widowControl/>
              <w:wordWrap/>
              <w:autoSpaceDE/>
              <w:autoSpaceDN/>
              <w:spacing w:after="0" w:line="340" w:lineRule="atLeast"/>
              <w:jc w:val="center"/>
              <w:rPr>
                <w:rFonts w:ascii="Times New Roman" w:hAnsi="Times New Roman"/>
                <w:b/>
                <w:sz w:val="22"/>
                <w:szCs w:val="24"/>
              </w:rPr>
            </w:pPr>
            <w:r w:rsidRPr="002A4B19">
              <w:rPr>
                <w:rFonts w:ascii="Times New Roman" w:hAnsi="Times New Roman"/>
                <w:b/>
                <w:sz w:val="22"/>
                <w:szCs w:val="24"/>
              </w:rPr>
              <w:t>Year</w:t>
            </w:r>
          </w:p>
        </w:tc>
        <w:tc>
          <w:tcPr>
            <w:tcW w:w="704" w:type="dxa"/>
            <w:tcBorders>
              <w:top w:val="single" w:sz="18" w:space="0" w:color="auto"/>
              <w:left w:val="nil"/>
              <w:bottom w:val="single" w:sz="4" w:space="0" w:color="auto"/>
              <w:right w:val="nil"/>
            </w:tcBorders>
            <w:shd w:val="clear" w:color="auto" w:fill="auto"/>
            <w:noWrap/>
            <w:vAlign w:val="center"/>
            <w:hideMark/>
          </w:tcPr>
          <w:p w:rsidR="00454632" w:rsidRPr="002A4B19" w:rsidRDefault="00454632" w:rsidP="00FA22B7">
            <w:pPr>
              <w:widowControl/>
              <w:wordWrap/>
              <w:autoSpaceDE/>
              <w:autoSpaceDN/>
              <w:spacing w:after="0" w:line="340" w:lineRule="atLeast"/>
              <w:jc w:val="center"/>
              <w:rPr>
                <w:rFonts w:ascii="Times New Roman" w:hAnsi="Times New Roman"/>
                <w:sz w:val="22"/>
                <w:szCs w:val="24"/>
              </w:rPr>
            </w:pPr>
            <w:r w:rsidRPr="002A4B19">
              <w:rPr>
                <w:rFonts w:ascii="Times New Roman" w:hAnsi="Times New Roman"/>
                <w:sz w:val="22"/>
                <w:szCs w:val="24"/>
              </w:rPr>
              <w:t>‘10</w:t>
            </w:r>
          </w:p>
        </w:tc>
        <w:tc>
          <w:tcPr>
            <w:tcW w:w="705" w:type="dxa"/>
            <w:tcBorders>
              <w:top w:val="single" w:sz="18" w:space="0" w:color="auto"/>
              <w:left w:val="nil"/>
              <w:bottom w:val="single" w:sz="4" w:space="0" w:color="auto"/>
              <w:right w:val="nil"/>
            </w:tcBorders>
            <w:shd w:val="clear" w:color="auto" w:fill="auto"/>
            <w:noWrap/>
            <w:vAlign w:val="center"/>
            <w:hideMark/>
          </w:tcPr>
          <w:p w:rsidR="00454632" w:rsidRPr="002A4B19" w:rsidRDefault="00454632" w:rsidP="00FA22B7">
            <w:pPr>
              <w:widowControl/>
              <w:wordWrap/>
              <w:autoSpaceDE/>
              <w:autoSpaceDN/>
              <w:spacing w:after="0" w:line="340" w:lineRule="atLeast"/>
              <w:jc w:val="center"/>
              <w:rPr>
                <w:rFonts w:ascii="Times New Roman" w:hAnsi="Times New Roman"/>
                <w:sz w:val="22"/>
                <w:szCs w:val="24"/>
              </w:rPr>
            </w:pPr>
            <w:r w:rsidRPr="002A4B19">
              <w:rPr>
                <w:rFonts w:ascii="Times New Roman" w:hAnsi="Times New Roman"/>
                <w:sz w:val="22"/>
                <w:szCs w:val="24"/>
              </w:rPr>
              <w:t>‘11</w:t>
            </w:r>
          </w:p>
        </w:tc>
        <w:tc>
          <w:tcPr>
            <w:tcW w:w="704" w:type="dxa"/>
            <w:tcBorders>
              <w:top w:val="single" w:sz="18" w:space="0" w:color="auto"/>
              <w:left w:val="nil"/>
              <w:bottom w:val="single" w:sz="4" w:space="0" w:color="auto"/>
              <w:right w:val="nil"/>
            </w:tcBorders>
            <w:shd w:val="clear" w:color="auto" w:fill="auto"/>
            <w:noWrap/>
            <w:vAlign w:val="center"/>
            <w:hideMark/>
          </w:tcPr>
          <w:p w:rsidR="00454632" w:rsidRPr="002A4B19" w:rsidRDefault="00454632" w:rsidP="00FA22B7">
            <w:pPr>
              <w:widowControl/>
              <w:wordWrap/>
              <w:autoSpaceDE/>
              <w:autoSpaceDN/>
              <w:spacing w:after="0" w:line="340" w:lineRule="atLeast"/>
              <w:jc w:val="center"/>
              <w:rPr>
                <w:rFonts w:ascii="Times New Roman" w:hAnsi="Times New Roman"/>
                <w:sz w:val="22"/>
                <w:szCs w:val="24"/>
              </w:rPr>
            </w:pPr>
            <w:r w:rsidRPr="002A4B19">
              <w:rPr>
                <w:rFonts w:ascii="Times New Roman" w:hAnsi="Times New Roman"/>
                <w:sz w:val="22"/>
                <w:szCs w:val="24"/>
              </w:rPr>
              <w:t>‘12</w:t>
            </w:r>
          </w:p>
        </w:tc>
        <w:tc>
          <w:tcPr>
            <w:tcW w:w="705" w:type="dxa"/>
            <w:tcBorders>
              <w:top w:val="single" w:sz="18" w:space="0" w:color="auto"/>
              <w:left w:val="nil"/>
              <w:bottom w:val="single" w:sz="4" w:space="0" w:color="auto"/>
              <w:right w:val="nil"/>
            </w:tcBorders>
            <w:shd w:val="clear" w:color="auto" w:fill="auto"/>
            <w:noWrap/>
            <w:vAlign w:val="center"/>
            <w:hideMark/>
          </w:tcPr>
          <w:p w:rsidR="00454632" w:rsidRPr="002A4B19" w:rsidRDefault="00454632" w:rsidP="00FA22B7">
            <w:pPr>
              <w:widowControl/>
              <w:wordWrap/>
              <w:autoSpaceDE/>
              <w:autoSpaceDN/>
              <w:spacing w:after="0" w:line="340" w:lineRule="atLeast"/>
              <w:jc w:val="center"/>
              <w:rPr>
                <w:rFonts w:ascii="Times New Roman" w:hAnsi="Times New Roman"/>
                <w:sz w:val="22"/>
                <w:szCs w:val="24"/>
              </w:rPr>
            </w:pPr>
            <w:r w:rsidRPr="002A4B19">
              <w:rPr>
                <w:rFonts w:ascii="Times New Roman" w:hAnsi="Times New Roman"/>
                <w:sz w:val="22"/>
                <w:szCs w:val="24"/>
              </w:rPr>
              <w:t>‘13</w:t>
            </w:r>
          </w:p>
        </w:tc>
        <w:tc>
          <w:tcPr>
            <w:tcW w:w="704" w:type="dxa"/>
            <w:tcBorders>
              <w:top w:val="single" w:sz="18" w:space="0" w:color="auto"/>
              <w:left w:val="nil"/>
              <w:bottom w:val="single" w:sz="4" w:space="0" w:color="auto"/>
              <w:right w:val="nil"/>
            </w:tcBorders>
            <w:shd w:val="clear" w:color="auto" w:fill="auto"/>
            <w:noWrap/>
            <w:vAlign w:val="center"/>
            <w:hideMark/>
          </w:tcPr>
          <w:p w:rsidR="00454632" w:rsidRPr="002A4B19" w:rsidRDefault="00454632" w:rsidP="00FA22B7">
            <w:pPr>
              <w:widowControl/>
              <w:wordWrap/>
              <w:autoSpaceDE/>
              <w:autoSpaceDN/>
              <w:spacing w:after="0" w:line="340" w:lineRule="atLeast"/>
              <w:jc w:val="center"/>
              <w:rPr>
                <w:rFonts w:ascii="Times New Roman" w:hAnsi="Times New Roman"/>
                <w:sz w:val="22"/>
                <w:szCs w:val="24"/>
              </w:rPr>
            </w:pPr>
            <w:r w:rsidRPr="002A4B19">
              <w:rPr>
                <w:rFonts w:ascii="Times New Roman" w:hAnsi="Times New Roman"/>
                <w:sz w:val="22"/>
                <w:szCs w:val="24"/>
              </w:rPr>
              <w:t>‘14</w:t>
            </w:r>
          </w:p>
        </w:tc>
        <w:tc>
          <w:tcPr>
            <w:tcW w:w="705" w:type="dxa"/>
            <w:tcBorders>
              <w:top w:val="single" w:sz="18" w:space="0" w:color="auto"/>
              <w:left w:val="nil"/>
              <w:bottom w:val="single" w:sz="4" w:space="0" w:color="auto"/>
              <w:right w:val="nil"/>
            </w:tcBorders>
            <w:shd w:val="clear" w:color="auto" w:fill="auto"/>
            <w:noWrap/>
            <w:vAlign w:val="center"/>
            <w:hideMark/>
          </w:tcPr>
          <w:p w:rsidR="00454632" w:rsidRPr="002A4B19" w:rsidRDefault="00454632" w:rsidP="00FA22B7">
            <w:pPr>
              <w:widowControl/>
              <w:wordWrap/>
              <w:autoSpaceDE/>
              <w:autoSpaceDN/>
              <w:spacing w:after="0" w:line="340" w:lineRule="atLeast"/>
              <w:jc w:val="center"/>
              <w:rPr>
                <w:rFonts w:ascii="Times New Roman" w:hAnsi="Times New Roman"/>
                <w:sz w:val="22"/>
                <w:szCs w:val="24"/>
              </w:rPr>
            </w:pPr>
            <w:r w:rsidRPr="002A4B19">
              <w:rPr>
                <w:rFonts w:ascii="Times New Roman" w:hAnsi="Times New Roman"/>
                <w:sz w:val="22"/>
                <w:szCs w:val="24"/>
              </w:rPr>
              <w:t>‘15</w:t>
            </w:r>
          </w:p>
        </w:tc>
        <w:tc>
          <w:tcPr>
            <w:tcW w:w="704" w:type="dxa"/>
            <w:tcBorders>
              <w:top w:val="single" w:sz="18" w:space="0" w:color="auto"/>
              <w:left w:val="nil"/>
              <w:bottom w:val="single" w:sz="4" w:space="0" w:color="auto"/>
              <w:right w:val="nil"/>
            </w:tcBorders>
            <w:shd w:val="clear" w:color="auto" w:fill="auto"/>
            <w:noWrap/>
            <w:vAlign w:val="center"/>
            <w:hideMark/>
          </w:tcPr>
          <w:p w:rsidR="00454632" w:rsidRPr="002A4B19" w:rsidRDefault="00454632" w:rsidP="00FA22B7">
            <w:pPr>
              <w:widowControl/>
              <w:wordWrap/>
              <w:autoSpaceDE/>
              <w:autoSpaceDN/>
              <w:spacing w:after="0" w:line="340" w:lineRule="atLeast"/>
              <w:jc w:val="center"/>
              <w:rPr>
                <w:rFonts w:ascii="Times New Roman" w:hAnsi="Times New Roman"/>
                <w:sz w:val="22"/>
                <w:szCs w:val="24"/>
              </w:rPr>
            </w:pPr>
            <w:r w:rsidRPr="002A4B19">
              <w:rPr>
                <w:rFonts w:ascii="Times New Roman" w:hAnsi="Times New Roman"/>
                <w:sz w:val="22"/>
                <w:szCs w:val="24"/>
              </w:rPr>
              <w:t>‘16</w:t>
            </w:r>
          </w:p>
        </w:tc>
        <w:tc>
          <w:tcPr>
            <w:tcW w:w="705" w:type="dxa"/>
            <w:tcBorders>
              <w:top w:val="single" w:sz="18" w:space="0" w:color="auto"/>
              <w:left w:val="nil"/>
              <w:bottom w:val="single" w:sz="4" w:space="0" w:color="auto"/>
              <w:right w:val="nil"/>
            </w:tcBorders>
            <w:shd w:val="clear" w:color="auto" w:fill="auto"/>
            <w:noWrap/>
            <w:vAlign w:val="center"/>
            <w:hideMark/>
          </w:tcPr>
          <w:p w:rsidR="00454632" w:rsidRPr="002A4B19" w:rsidRDefault="00454632" w:rsidP="00FA22B7">
            <w:pPr>
              <w:widowControl/>
              <w:wordWrap/>
              <w:autoSpaceDE/>
              <w:autoSpaceDN/>
              <w:spacing w:after="0" w:line="340" w:lineRule="atLeast"/>
              <w:jc w:val="center"/>
              <w:rPr>
                <w:rFonts w:ascii="Times New Roman" w:hAnsi="Times New Roman"/>
                <w:sz w:val="22"/>
                <w:szCs w:val="24"/>
              </w:rPr>
            </w:pPr>
            <w:r w:rsidRPr="002A4B19">
              <w:rPr>
                <w:rFonts w:ascii="Times New Roman" w:hAnsi="Times New Roman"/>
                <w:sz w:val="22"/>
                <w:szCs w:val="24"/>
              </w:rPr>
              <w:t>‘17</w:t>
            </w:r>
          </w:p>
        </w:tc>
        <w:tc>
          <w:tcPr>
            <w:tcW w:w="704" w:type="dxa"/>
            <w:tcBorders>
              <w:top w:val="single" w:sz="18" w:space="0" w:color="auto"/>
              <w:left w:val="nil"/>
              <w:bottom w:val="single" w:sz="4" w:space="0" w:color="auto"/>
              <w:right w:val="nil"/>
            </w:tcBorders>
            <w:shd w:val="clear" w:color="auto" w:fill="auto"/>
            <w:noWrap/>
            <w:vAlign w:val="center"/>
            <w:hideMark/>
          </w:tcPr>
          <w:p w:rsidR="00454632" w:rsidRPr="002A4B19" w:rsidRDefault="00454632" w:rsidP="00FA22B7">
            <w:pPr>
              <w:widowControl/>
              <w:wordWrap/>
              <w:autoSpaceDE/>
              <w:autoSpaceDN/>
              <w:spacing w:after="0" w:line="340" w:lineRule="atLeast"/>
              <w:jc w:val="center"/>
              <w:rPr>
                <w:rFonts w:ascii="Times New Roman" w:hAnsi="Times New Roman"/>
                <w:sz w:val="22"/>
                <w:szCs w:val="24"/>
              </w:rPr>
            </w:pPr>
            <w:r w:rsidRPr="002A4B19">
              <w:rPr>
                <w:rFonts w:ascii="Times New Roman" w:hAnsi="Times New Roman"/>
                <w:sz w:val="22"/>
                <w:szCs w:val="24"/>
              </w:rPr>
              <w:t>‘18</w:t>
            </w:r>
          </w:p>
        </w:tc>
        <w:tc>
          <w:tcPr>
            <w:tcW w:w="705" w:type="dxa"/>
            <w:tcBorders>
              <w:top w:val="single" w:sz="18" w:space="0" w:color="auto"/>
              <w:left w:val="nil"/>
              <w:bottom w:val="single" w:sz="4" w:space="0" w:color="auto"/>
              <w:right w:val="nil"/>
            </w:tcBorders>
            <w:shd w:val="clear" w:color="auto" w:fill="auto"/>
            <w:noWrap/>
            <w:vAlign w:val="center"/>
            <w:hideMark/>
          </w:tcPr>
          <w:p w:rsidR="00454632" w:rsidRPr="002A4B19" w:rsidRDefault="00454632" w:rsidP="00FA22B7">
            <w:pPr>
              <w:widowControl/>
              <w:wordWrap/>
              <w:autoSpaceDE/>
              <w:autoSpaceDN/>
              <w:spacing w:after="0" w:line="340" w:lineRule="atLeast"/>
              <w:jc w:val="center"/>
              <w:rPr>
                <w:rFonts w:ascii="Times New Roman" w:hAnsi="Times New Roman"/>
                <w:sz w:val="22"/>
                <w:szCs w:val="24"/>
              </w:rPr>
            </w:pPr>
            <w:r w:rsidRPr="002A4B19">
              <w:rPr>
                <w:rFonts w:ascii="Times New Roman" w:hAnsi="Times New Roman"/>
                <w:sz w:val="22"/>
                <w:szCs w:val="24"/>
              </w:rPr>
              <w:t>‘19</w:t>
            </w:r>
          </w:p>
        </w:tc>
        <w:tc>
          <w:tcPr>
            <w:tcW w:w="705" w:type="dxa"/>
            <w:tcBorders>
              <w:top w:val="single" w:sz="18" w:space="0" w:color="auto"/>
              <w:left w:val="nil"/>
              <w:bottom w:val="single" w:sz="4" w:space="0" w:color="auto"/>
              <w:right w:val="nil"/>
            </w:tcBorders>
            <w:shd w:val="clear" w:color="auto" w:fill="auto"/>
            <w:noWrap/>
            <w:vAlign w:val="center"/>
            <w:hideMark/>
          </w:tcPr>
          <w:p w:rsidR="00454632" w:rsidRPr="002A4B19" w:rsidRDefault="00454632" w:rsidP="00FA22B7">
            <w:pPr>
              <w:widowControl/>
              <w:wordWrap/>
              <w:autoSpaceDE/>
              <w:autoSpaceDN/>
              <w:spacing w:after="0" w:line="340" w:lineRule="atLeast"/>
              <w:jc w:val="center"/>
              <w:rPr>
                <w:rFonts w:ascii="Times New Roman" w:hAnsi="Times New Roman"/>
                <w:sz w:val="22"/>
                <w:szCs w:val="24"/>
              </w:rPr>
            </w:pPr>
            <w:r w:rsidRPr="002A4B19">
              <w:rPr>
                <w:rFonts w:ascii="Times New Roman" w:hAnsi="Times New Roman"/>
                <w:sz w:val="22"/>
                <w:szCs w:val="24"/>
              </w:rPr>
              <w:t>‘20</w:t>
            </w:r>
          </w:p>
        </w:tc>
      </w:tr>
      <w:tr w:rsidR="00454632" w:rsidRPr="002A4B19" w:rsidTr="00FA22B7">
        <w:trPr>
          <w:trHeight w:val="213"/>
          <w:jc w:val="center"/>
        </w:trPr>
        <w:tc>
          <w:tcPr>
            <w:tcW w:w="1276" w:type="dxa"/>
            <w:tcBorders>
              <w:top w:val="single" w:sz="4" w:space="0" w:color="auto"/>
              <w:left w:val="nil"/>
              <w:bottom w:val="single" w:sz="18" w:space="0" w:color="auto"/>
              <w:right w:val="nil"/>
            </w:tcBorders>
            <w:shd w:val="clear" w:color="auto" w:fill="auto"/>
            <w:noWrap/>
            <w:vAlign w:val="center"/>
            <w:hideMark/>
          </w:tcPr>
          <w:p w:rsidR="00454632" w:rsidRPr="002A4B19" w:rsidRDefault="00454632" w:rsidP="00FA22B7">
            <w:pPr>
              <w:widowControl/>
              <w:wordWrap/>
              <w:autoSpaceDE/>
              <w:autoSpaceDN/>
              <w:spacing w:after="0" w:line="340" w:lineRule="atLeast"/>
              <w:jc w:val="center"/>
              <w:rPr>
                <w:rFonts w:ascii="Times New Roman" w:hAnsi="Times New Roman"/>
                <w:b/>
                <w:sz w:val="22"/>
                <w:szCs w:val="24"/>
              </w:rPr>
            </w:pPr>
            <w:r w:rsidRPr="002A4B19">
              <w:rPr>
                <w:rFonts w:ascii="Times New Roman" w:hAnsi="Times New Roman"/>
                <w:b/>
                <w:sz w:val="22"/>
                <w:szCs w:val="24"/>
              </w:rPr>
              <w:t>GDP level</w:t>
            </w:r>
          </w:p>
        </w:tc>
        <w:tc>
          <w:tcPr>
            <w:tcW w:w="704" w:type="dxa"/>
            <w:tcBorders>
              <w:top w:val="single" w:sz="4" w:space="0" w:color="auto"/>
              <w:left w:val="nil"/>
              <w:bottom w:val="single" w:sz="18" w:space="0" w:color="auto"/>
              <w:right w:val="nil"/>
            </w:tcBorders>
            <w:shd w:val="clear" w:color="auto" w:fill="auto"/>
            <w:vAlign w:val="center"/>
          </w:tcPr>
          <w:p w:rsidR="00454632" w:rsidRPr="002A4B19" w:rsidRDefault="00454632" w:rsidP="00FA22B7">
            <w:pPr>
              <w:widowControl/>
              <w:wordWrap/>
              <w:autoSpaceDE/>
              <w:autoSpaceDN/>
              <w:spacing w:after="0" w:line="340" w:lineRule="atLeast"/>
              <w:jc w:val="center"/>
              <w:rPr>
                <w:rFonts w:ascii="Times New Roman" w:hAnsi="Times New Roman"/>
                <w:sz w:val="22"/>
                <w:szCs w:val="24"/>
              </w:rPr>
            </w:pPr>
            <w:r w:rsidRPr="002A4B19">
              <w:rPr>
                <w:rFonts w:ascii="Times New Roman" w:hAnsi="Times New Roman"/>
                <w:sz w:val="22"/>
                <w:szCs w:val="24"/>
              </w:rPr>
              <w:t>1.00</w:t>
            </w:r>
          </w:p>
        </w:tc>
        <w:tc>
          <w:tcPr>
            <w:tcW w:w="705" w:type="dxa"/>
            <w:tcBorders>
              <w:top w:val="single" w:sz="4" w:space="0" w:color="auto"/>
              <w:left w:val="nil"/>
              <w:bottom w:val="single" w:sz="18" w:space="0" w:color="auto"/>
              <w:right w:val="nil"/>
            </w:tcBorders>
            <w:shd w:val="clear" w:color="auto" w:fill="auto"/>
            <w:vAlign w:val="center"/>
          </w:tcPr>
          <w:p w:rsidR="00454632" w:rsidRPr="002A4B19" w:rsidRDefault="00454632" w:rsidP="00FA22B7">
            <w:pPr>
              <w:widowControl/>
              <w:wordWrap/>
              <w:autoSpaceDE/>
              <w:autoSpaceDN/>
              <w:spacing w:after="0" w:line="340" w:lineRule="atLeast"/>
              <w:jc w:val="center"/>
              <w:rPr>
                <w:rFonts w:ascii="Times New Roman" w:hAnsi="Times New Roman"/>
                <w:sz w:val="22"/>
                <w:szCs w:val="24"/>
              </w:rPr>
            </w:pPr>
            <w:r w:rsidRPr="002A4B19">
              <w:rPr>
                <w:rFonts w:ascii="Times New Roman" w:hAnsi="Times New Roman"/>
                <w:sz w:val="22"/>
                <w:szCs w:val="24"/>
              </w:rPr>
              <w:t>1.04</w:t>
            </w:r>
          </w:p>
        </w:tc>
        <w:tc>
          <w:tcPr>
            <w:tcW w:w="704" w:type="dxa"/>
            <w:tcBorders>
              <w:top w:val="single" w:sz="4" w:space="0" w:color="auto"/>
              <w:left w:val="nil"/>
              <w:bottom w:val="single" w:sz="18" w:space="0" w:color="auto"/>
              <w:right w:val="nil"/>
            </w:tcBorders>
            <w:shd w:val="clear" w:color="auto" w:fill="auto"/>
            <w:vAlign w:val="center"/>
          </w:tcPr>
          <w:p w:rsidR="00454632" w:rsidRPr="002A4B19" w:rsidRDefault="00454632" w:rsidP="00FA22B7">
            <w:pPr>
              <w:widowControl/>
              <w:wordWrap/>
              <w:autoSpaceDE/>
              <w:autoSpaceDN/>
              <w:spacing w:after="0" w:line="340" w:lineRule="atLeast"/>
              <w:jc w:val="center"/>
              <w:rPr>
                <w:rFonts w:ascii="Times New Roman" w:hAnsi="Times New Roman"/>
                <w:sz w:val="22"/>
                <w:szCs w:val="24"/>
              </w:rPr>
            </w:pPr>
            <w:r w:rsidRPr="002A4B19">
              <w:rPr>
                <w:rFonts w:ascii="Times New Roman" w:hAnsi="Times New Roman"/>
                <w:sz w:val="22"/>
                <w:szCs w:val="24"/>
              </w:rPr>
              <w:t>1.07</w:t>
            </w:r>
          </w:p>
        </w:tc>
        <w:tc>
          <w:tcPr>
            <w:tcW w:w="705" w:type="dxa"/>
            <w:tcBorders>
              <w:top w:val="single" w:sz="4" w:space="0" w:color="auto"/>
              <w:left w:val="nil"/>
              <w:bottom w:val="single" w:sz="18" w:space="0" w:color="auto"/>
              <w:right w:val="nil"/>
            </w:tcBorders>
            <w:shd w:val="clear" w:color="auto" w:fill="auto"/>
            <w:vAlign w:val="center"/>
          </w:tcPr>
          <w:p w:rsidR="00454632" w:rsidRPr="002A4B19" w:rsidRDefault="00454632" w:rsidP="00FA22B7">
            <w:pPr>
              <w:widowControl/>
              <w:wordWrap/>
              <w:autoSpaceDE/>
              <w:autoSpaceDN/>
              <w:spacing w:after="0" w:line="340" w:lineRule="atLeast"/>
              <w:jc w:val="center"/>
              <w:rPr>
                <w:rFonts w:ascii="Times New Roman" w:hAnsi="Times New Roman"/>
                <w:sz w:val="22"/>
                <w:szCs w:val="24"/>
              </w:rPr>
            </w:pPr>
            <w:r w:rsidRPr="002A4B19">
              <w:rPr>
                <w:rFonts w:ascii="Times New Roman" w:hAnsi="Times New Roman"/>
                <w:sz w:val="22"/>
                <w:szCs w:val="24"/>
              </w:rPr>
              <w:t>1.10</w:t>
            </w:r>
          </w:p>
        </w:tc>
        <w:tc>
          <w:tcPr>
            <w:tcW w:w="704" w:type="dxa"/>
            <w:tcBorders>
              <w:top w:val="single" w:sz="4" w:space="0" w:color="auto"/>
              <w:left w:val="nil"/>
              <w:bottom w:val="single" w:sz="18" w:space="0" w:color="auto"/>
              <w:right w:val="nil"/>
            </w:tcBorders>
            <w:shd w:val="clear" w:color="auto" w:fill="auto"/>
            <w:vAlign w:val="center"/>
          </w:tcPr>
          <w:p w:rsidR="00454632" w:rsidRPr="002A4B19" w:rsidRDefault="00454632" w:rsidP="00FA22B7">
            <w:pPr>
              <w:widowControl/>
              <w:wordWrap/>
              <w:autoSpaceDE/>
              <w:autoSpaceDN/>
              <w:spacing w:after="0" w:line="340" w:lineRule="atLeast"/>
              <w:jc w:val="center"/>
              <w:rPr>
                <w:rFonts w:ascii="Times New Roman" w:hAnsi="Times New Roman"/>
                <w:sz w:val="22"/>
                <w:szCs w:val="24"/>
              </w:rPr>
            </w:pPr>
            <w:r w:rsidRPr="002A4B19">
              <w:rPr>
                <w:rFonts w:ascii="Times New Roman" w:hAnsi="Times New Roman"/>
                <w:sz w:val="22"/>
                <w:szCs w:val="24"/>
              </w:rPr>
              <w:t>1.13</w:t>
            </w:r>
          </w:p>
        </w:tc>
        <w:tc>
          <w:tcPr>
            <w:tcW w:w="705" w:type="dxa"/>
            <w:tcBorders>
              <w:top w:val="single" w:sz="4" w:space="0" w:color="auto"/>
              <w:left w:val="nil"/>
              <w:bottom w:val="single" w:sz="18" w:space="0" w:color="auto"/>
              <w:right w:val="nil"/>
            </w:tcBorders>
            <w:shd w:val="clear" w:color="auto" w:fill="auto"/>
            <w:vAlign w:val="center"/>
          </w:tcPr>
          <w:p w:rsidR="00454632" w:rsidRPr="002A4B19" w:rsidRDefault="00454632" w:rsidP="00FA22B7">
            <w:pPr>
              <w:widowControl/>
              <w:wordWrap/>
              <w:autoSpaceDE/>
              <w:autoSpaceDN/>
              <w:spacing w:after="0" w:line="340" w:lineRule="atLeast"/>
              <w:jc w:val="center"/>
              <w:rPr>
                <w:rFonts w:ascii="Times New Roman" w:hAnsi="Times New Roman"/>
                <w:sz w:val="22"/>
                <w:szCs w:val="24"/>
              </w:rPr>
            </w:pPr>
            <w:r w:rsidRPr="002A4B19">
              <w:rPr>
                <w:rFonts w:ascii="Times New Roman" w:hAnsi="Times New Roman"/>
                <w:sz w:val="22"/>
                <w:szCs w:val="24"/>
              </w:rPr>
              <w:t>1.16</w:t>
            </w:r>
          </w:p>
        </w:tc>
        <w:tc>
          <w:tcPr>
            <w:tcW w:w="704" w:type="dxa"/>
            <w:tcBorders>
              <w:top w:val="single" w:sz="4" w:space="0" w:color="auto"/>
              <w:left w:val="nil"/>
              <w:bottom w:val="single" w:sz="18" w:space="0" w:color="auto"/>
              <w:right w:val="nil"/>
            </w:tcBorders>
            <w:shd w:val="clear" w:color="auto" w:fill="auto"/>
            <w:vAlign w:val="center"/>
          </w:tcPr>
          <w:p w:rsidR="00454632" w:rsidRPr="002A4B19" w:rsidRDefault="00454632" w:rsidP="00FA22B7">
            <w:pPr>
              <w:widowControl/>
              <w:wordWrap/>
              <w:autoSpaceDE/>
              <w:autoSpaceDN/>
              <w:spacing w:after="0" w:line="340" w:lineRule="atLeast"/>
              <w:jc w:val="center"/>
              <w:rPr>
                <w:rFonts w:ascii="Times New Roman" w:hAnsi="Times New Roman"/>
                <w:sz w:val="22"/>
                <w:szCs w:val="24"/>
              </w:rPr>
            </w:pPr>
            <w:r w:rsidRPr="002A4B19">
              <w:rPr>
                <w:rFonts w:ascii="Times New Roman" w:hAnsi="Times New Roman"/>
                <w:sz w:val="22"/>
                <w:szCs w:val="24"/>
              </w:rPr>
              <w:t>1.19</w:t>
            </w:r>
          </w:p>
        </w:tc>
        <w:tc>
          <w:tcPr>
            <w:tcW w:w="705" w:type="dxa"/>
            <w:tcBorders>
              <w:top w:val="single" w:sz="4" w:space="0" w:color="auto"/>
              <w:left w:val="nil"/>
              <w:bottom w:val="single" w:sz="18" w:space="0" w:color="auto"/>
              <w:right w:val="nil"/>
            </w:tcBorders>
            <w:shd w:val="clear" w:color="auto" w:fill="auto"/>
            <w:vAlign w:val="center"/>
          </w:tcPr>
          <w:p w:rsidR="00454632" w:rsidRPr="002A4B19" w:rsidRDefault="00454632" w:rsidP="00FA22B7">
            <w:pPr>
              <w:widowControl/>
              <w:wordWrap/>
              <w:autoSpaceDE/>
              <w:autoSpaceDN/>
              <w:spacing w:after="0" w:line="340" w:lineRule="atLeast"/>
              <w:jc w:val="center"/>
              <w:rPr>
                <w:rFonts w:ascii="Times New Roman" w:hAnsi="Times New Roman"/>
                <w:sz w:val="22"/>
                <w:szCs w:val="24"/>
              </w:rPr>
            </w:pPr>
            <w:r w:rsidRPr="002A4B19">
              <w:rPr>
                <w:rFonts w:ascii="Times New Roman" w:hAnsi="Times New Roman"/>
                <w:sz w:val="22"/>
                <w:szCs w:val="24"/>
              </w:rPr>
              <w:t>1.22</w:t>
            </w:r>
          </w:p>
        </w:tc>
        <w:tc>
          <w:tcPr>
            <w:tcW w:w="704" w:type="dxa"/>
            <w:tcBorders>
              <w:top w:val="single" w:sz="4" w:space="0" w:color="auto"/>
              <w:left w:val="nil"/>
              <w:bottom w:val="single" w:sz="18" w:space="0" w:color="auto"/>
              <w:right w:val="nil"/>
            </w:tcBorders>
            <w:shd w:val="clear" w:color="auto" w:fill="auto"/>
            <w:vAlign w:val="center"/>
          </w:tcPr>
          <w:p w:rsidR="00454632" w:rsidRPr="002A4B19" w:rsidRDefault="00454632" w:rsidP="00FA22B7">
            <w:pPr>
              <w:widowControl/>
              <w:wordWrap/>
              <w:autoSpaceDE/>
              <w:autoSpaceDN/>
              <w:spacing w:after="0" w:line="340" w:lineRule="atLeast"/>
              <w:jc w:val="center"/>
              <w:rPr>
                <w:rFonts w:ascii="Times New Roman" w:hAnsi="Times New Roman"/>
                <w:sz w:val="22"/>
                <w:szCs w:val="24"/>
              </w:rPr>
            </w:pPr>
            <w:r w:rsidRPr="002A4B19">
              <w:rPr>
                <w:rFonts w:ascii="Times New Roman" w:hAnsi="Times New Roman"/>
                <w:sz w:val="22"/>
                <w:szCs w:val="24"/>
              </w:rPr>
              <w:t>1.24</w:t>
            </w:r>
          </w:p>
        </w:tc>
        <w:tc>
          <w:tcPr>
            <w:tcW w:w="705" w:type="dxa"/>
            <w:tcBorders>
              <w:top w:val="single" w:sz="4" w:space="0" w:color="auto"/>
              <w:left w:val="nil"/>
              <w:bottom w:val="single" w:sz="18" w:space="0" w:color="auto"/>
              <w:right w:val="nil"/>
            </w:tcBorders>
            <w:shd w:val="clear" w:color="auto" w:fill="auto"/>
            <w:vAlign w:val="center"/>
          </w:tcPr>
          <w:p w:rsidR="00454632" w:rsidRPr="002A4B19" w:rsidRDefault="00454632" w:rsidP="00FA22B7">
            <w:pPr>
              <w:widowControl/>
              <w:wordWrap/>
              <w:autoSpaceDE/>
              <w:autoSpaceDN/>
              <w:spacing w:after="0" w:line="340" w:lineRule="atLeast"/>
              <w:jc w:val="center"/>
              <w:rPr>
                <w:rFonts w:ascii="Times New Roman" w:hAnsi="Times New Roman"/>
                <w:sz w:val="22"/>
                <w:szCs w:val="24"/>
              </w:rPr>
            </w:pPr>
            <w:r w:rsidRPr="002A4B19">
              <w:rPr>
                <w:rFonts w:ascii="Times New Roman" w:hAnsi="Times New Roman"/>
                <w:sz w:val="22"/>
                <w:szCs w:val="24"/>
              </w:rPr>
              <w:t>1.26</w:t>
            </w:r>
          </w:p>
        </w:tc>
        <w:tc>
          <w:tcPr>
            <w:tcW w:w="705" w:type="dxa"/>
            <w:tcBorders>
              <w:top w:val="single" w:sz="4" w:space="0" w:color="auto"/>
              <w:left w:val="nil"/>
              <w:bottom w:val="single" w:sz="18" w:space="0" w:color="auto"/>
              <w:right w:val="nil"/>
            </w:tcBorders>
            <w:shd w:val="clear" w:color="auto" w:fill="auto"/>
            <w:vAlign w:val="center"/>
            <w:hideMark/>
          </w:tcPr>
          <w:p w:rsidR="00454632" w:rsidRPr="002A4B19" w:rsidRDefault="00454632" w:rsidP="00FA22B7">
            <w:pPr>
              <w:widowControl/>
              <w:wordWrap/>
              <w:autoSpaceDE/>
              <w:autoSpaceDN/>
              <w:spacing w:after="0" w:line="340" w:lineRule="atLeast"/>
              <w:jc w:val="center"/>
              <w:rPr>
                <w:rFonts w:ascii="Times New Roman" w:hAnsi="Times New Roman"/>
                <w:sz w:val="22"/>
                <w:szCs w:val="24"/>
              </w:rPr>
            </w:pPr>
            <w:r w:rsidRPr="002A4B19">
              <w:rPr>
                <w:rFonts w:ascii="Times New Roman" w:hAnsi="Times New Roman"/>
                <w:sz w:val="22"/>
                <w:szCs w:val="24"/>
              </w:rPr>
              <w:t>1.28</w:t>
            </w:r>
          </w:p>
        </w:tc>
      </w:tr>
    </w:tbl>
    <w:p w:rsidR="00454632" w:rsidRPr="002A4B19" w:rsidRDefault="00454632" w:rsidP="00454632">
      <w:pPr>
        <w:pStyle w:val="Mdeck4text"/>
        <w:rPr>
          <w:rFonts w:eastAsiaTheme="minorEastAsia" w:cs="Times New Roman"/>
          <w:color w:val="auto"/>
          <w:lang w:eastAsia="ko-KR"/>
        </w:rPr>
      </w:pPr>
    </w:p>
    <w:tbl>
      <w:tblPr>
        <w:tblStyle w:val="aa"/>
        <w:tblW w:w="0" w:type="auto"/>
        <w:jc w:val="center"/>
        <w:tblLayout w:type="fixed"/>
        <w:tblLook w:val="04A0" w:firstRow="1" w:lastRow="0" w:firstColumn="1" w:lastColumn="0" w:noHBand="0" w:noVBand="1"/>
      </w:tblPr>
      <w:tblGrid>
        <w:gridCol w:w="1291"/>
        <w:gridCol w:w="770"/>
        <w:gridCol w:w="770"/>
        <w:gridCol w:w="770"/>
        <w:gridCol w:w="770"/>
        <w:gridCol w:w="770"/>
        <w:gridCol w:w="770"/>
        <w:gridCol w:w="770"/>
        <w:gridCol w:w="770"/>
        <w:gridCol w:w="770"/>
        <w:gridCol w:w="771"/>
      </w:tblGrid>
      <w:tr w:rsidR="002A4B19" w:rsidRPr="002A4B19" w:rsidTr="00FA22B7">
        <w:trPr>
          <w:trHeight w:val="268"/>
          <w:jc w:val="center"/>
        </w:trPr>
        <w:tc>
          <w:tcPr>
            <w:tcW w:w="1291" w:type="dxa"/>
            <w:tcBorders>
              <w:top w:val="single" w:sz="18" w:space="0" w:color="auto"/>
              <w:left w:val="nil"/>
              <w:bottom w:val="single" w:sz="4" w:space="0" w:color="auto"/>
              <w:right w:val="nil"/>
            </w:tcBorders>
            <w:vAlign w:val="center"/>
          </w:tcPr>
          <w:p w:rsidR="00454632" w:rsidRPr="002A4B19" w:rsidRDefault="00454632" w:rsidP="00FA22B7">
            <w:pPr>
              <w:widowControl/>
              <w:wordWrap/>
              <w:autoSpaceDE/>
              <w:autoSpaceDN/>
              <w:spacing w:line="340" w:lineRule="atLeast"/>
              <w:jc w:val="center"/>
              <w:rPr>
                <w:rFonts w:ascii="Times New Roman" w:hAnsi="Times New Roman"/>
                <w:sz w:val="22"/>
                <w:szCs w:val="24"/>
              </w:rPr>
            </w:pPr>
            <w:r w:rsidRPr="002A4B19">
              <w:rPr>
                <w:rFonts w:ascii="Times New Roman" w:hAnsi="Times New Roman"/>
                <w:b/>
                <w:sz w:val="22"/>
                <w:szCs w:val="24"/>
              </w:rPr>
              <w:t>Year</w:t>
            </w:r>
          </w:p>
        </w:tc>
        <w:tc>
          <w:tcPr>
            <w:tcW w:w="770" w:type="dxa"/>
            <w:tcBorders>
              <w:top w:val="single" w:sz="18" w:space="0" w:color="auto"/>
              <w:left w:val="nil"/>
              <w:bottom w:val="single" w:sz="4" w:space="0" w:color="auto"/>
              <w:right w:val="nil"/>
            </w:tcBorders>
            <w:shd w:val="clear" w:color="auto" w:fill="auto"/>
            <w:noWrap/>
            <w:vAlign w:val="center"/>
            <w:hideMark/>
          </w:tcPr>
          <w:p w:rsidR="00454632" w:rsidRPr="002A4B19" w:rsidRDefault="00454632" w:rsidP="00FA22B7">
            <w:pPr>
              <w:widowControl/>
              <w:wordWrap/>
              <w:autoSpaceDE/>
              <w:autoSpaceDN/>
              <w:spacing w:line="340" w:lineRule="atLeast"/>
              <w:jc w:val="center"/>
              <w:rPr>
                <w:rFonts w:ascii="Times New Roman" w:hAnsi="Times New Roman"/>
                <w:sz w:val="22"/>
                <w:szCs w:val="24"/>
              </w:rPr>
            </w:pPr>
            <w:r w:rsidRPr="002A4B19">
              <w:rPr>
                <w:rFonts w:ascii="Times New Roman" w:hAnsi="Times New Roman"/>
                <w:sz w:val="22"/>
                <w:szCs w:val="24"/>
              </w:rPr>
              <w:t>‘21</w:t>
            </w:r>
          </w:p>
        </w:tc>
        <w:tc>
          <w:tcPr>
            <w:tcW w:w="770" w:type="dxa"/>
            <w:tcBorders>
              <w:top w:val="single" w:sz="18" w:space="0" w:color="auto"/>
              <w:left w:val="nil"/>
              <w:bottom w:val="single" w:sz="4" w:space="0" w:color="auto"/>
              <w:right w:val="nil"/>
            </w:tcBorders>
            <w:shd w:val="clear" w:color="auto" w:fill="auto"/>
            <w:noWrap/>
            <w:vAlign w:val="center"/>
            <w:hideMark/>
          </w:tcPr>
          <w:p w:rsidR="00454632" w:rsidRPr="002A4B19" w:rsidRDefault="00454632" w:rsidP="00FA22B7">
            <w:pPr>
              <w:widowControl/>
              <w:wordWrap/>
              <w:autoSpaceDE/>
              <w:autoSpaceDN/>
              <w:spacing w:line="340" w:lineRule="atLeast"/>
              <w:jc w:val="center"/>
              <w:rPr>
                <w:rFonts w:ascii="Times New Roman" w:hAnsi="Times New Roman"/>
                <w:sz w:val="22"/>
                <w:szCs w:val="24"/>
              </w:rPr>
            </w:pPr>
            <w:r w:rsidRPr="002A4B19">
              <w:rPr>
                <w:rFonts w:ascii="Times New Roman" w:hAnsi="Times New Roman"/>
                <w:sz w:val="22"/>
                <w:szCs w:val="24"/>
              </w:rPr>
              <w:t>‘22</w:t>
            </w:r>
          </w:p>
        </w:tc>
        <w:tc>
          <w:tcPr>
            <w:tcW w:w="770" w:type="dxa"/>
            <w:tcBorders>
              <w:top w:val="single" w:sz="18" w:space="0" w:color="auto"/>
              <w:left w:val="nil"/>
              <w:bottom w:val="single" w:sz="4" w:space="0" w:color="auto"/>
              <w:right w:val="nil"/>
            </w:tcBorders>
            <w:shd w:val="clear" w:color="auto" w:fill="auto"/>
            <w:noWrap/>
            <w:vAlign w:val="center"/>
            <w:hideMark/>
          </w:tcPr>
          <w:p w:rsidR="00454632" w:rsidRPr="002A4B19" w:rsidRDefault="00454632" w:rsidP="00FA22B7">
            <w:pPr>
              <w:widowControl/>
              <w:wordWrap/>
              <w:autoSpaceDE/>
              <w:autoSpaceDN/>
              <w:spacing w:line="340" w:lineRule="atLeast"/>
              <w:rPr>
                <w:rFonts w:ascii="Times New Roman" w:hAnsi="Times New Roman"/>
                <w:sz w:val="22"/>
                <w:szCs w:val="24"/>
              </w:rPr>
            </w:pPr>
            <w:r w:rsidRPr="002A4B19">
              <w:rPr>
                <w:rFonts w:ascii="Times New Roman" w:hAnsi="Times New Roman"/>
                <w:sz w:val="22"/>
                <w:szCs w:val="24"/>
              </w:rPr>
              <w:t>‘23</w:t>
            </w:r>
          </w:p>
        </w:tc>
        <w:tc>
          <w:tcPr>
            <w:tcW w:w="770" w:type="dxa"/>
            <w:tcBorders>
              <w:top w:val="single" w:sz="18" w:space="0" w:color="auto"/>
              <w:left w:val="nil"/>
              <w:bottom w:val="single" w:sz="4" w:space="0" w:color="auto"/>
              <w:right w:val="nil"/>
            </w:tcBorders>
            <w:shd w:val="clear" w:color="auto" w:fill="auto"/>
            <w:noWrap/>
            <w:vAlign w:val="center"/>
            <w:hideMark/>
          </w:tcPr>
          <w:p w:rsidR="00454632" w:rsidRPr="002A4B19" w:rsidRDefault="00454632" w:rsidP="00FA22B7">
            <w:pPr>
              <w:widowControl/>
              <w:wordWrap/>
              <w:autoSpaceDE/>
              <w:autoSpaceDN/>
              <w:spacing w:line="340" w:lineRule="atLeast"/>
              <w:jc w:val="center"/>
              <w:rPr>
                <w:rFonts w:ascii="Times New Roman" w:hAnsi="Times New Roman"/>
                <w:sz w:val="22"/>
                <w:szCs w:val="24"/>
              </w:rPr>
            </w:pPr>
            <w:r w:rsidRPr="002A4B19">
              <w:rPr>
                <w:rFonts w:ascii="Times New Roman" w:hAnsi="Times New Roman"/>
                <w:sz w:val="22"/>
                <w:szCs w:val="24"/>
              </w:rPr>
              <w:t>‘24</w:t>
            </w:r>
          </w:p>
        </w:tc>
        <w:tc>
          <w:tcPr>
            <w:tcW w:w="770" w:type="dxa"/>
            <w:tcBorders>
              <w:top w:val="single" w:sz="18" w:space="0" w:color="auto"/>
              <w:left w:val="nil"/>
              <w:bottom w:val="single" w:sz="4" w:space="0" w:color="auto"/>
              <w:right w:val="nil"/>
            </w:tcBorders>
            <w:shd w:val="clear" w:color="auto" w:fill="auto"/>
            <w:noWrap/>
            <w:vAlign w:val="center"/>
            <w:hideMark/>
          </w:tcPr>
          <w:p w:rsidR="00454632" w:rsidRPr="002A4B19" w:rsidRDefault="00454632" w:rsidP="00FA22B7">
            <w:pPr>
              <w:widowControl/>
              <w:wordWrap/>
              <w:autoSpaceDE/>
              <w:autoSpaceDN/>
              <w:spacing w:line="340" w:lineRule="atLeast"/>
              <w:jc w:val="center"/>
              <w:rPr>
                <w:rFonts w:ascii="Times New Roman" w:hAnsi="Times New Roman"/>
                <w:sz w:val="22"/>
                <w:szCs w:val="24"/>
              </w:rPr>
            </w:pPr>
            <w:r w:rsidRPr="002A4B19">
              <w:rPr>
                <w:rFonts w:ascii="Times New Roman" w:hAnsi="Times New Roman"/>
                <w:sz w:val="22"/>
                <w:szCs w:val="24"/>
              </w:rPr>
              <w:t>‘25</w:t>
            </w:r>
          </w:p>
        </w:tc>
        <w:tc>
          <w:tcPr>
            <w:tcW w:w="770" w:type="dxa"/>
            <w:tcBorders>
              <w:top w:val="single" w:sz="18" w:space="0" w:color="auto"/>
              <w:left w:val="nil"/>
              <w:bottom w:val="single" w:sz="4" w:space="0" w:color="auto"/>
              <w:right w:val="nil"/>
            </w:tcBorders>
            <w:shd w:val="clear" w:color="auto" w:fill="auto"/>
            <w:noWrap/>
            <w:vAlign w:val="center"/>
            <w:hideMark/>
          </w:tcPr>
          <w:p w:rsidR="00454632" w:rsidRPr="002A4B19" w:rsidRDefault="00454632" w:rsidP="00FA22B7">
            <w:pPr>
              <w:widowControl/>
              <w:wordWrap/>
              <w:autoSpaceDE/>
              <w:autoSpaceDN/>
              <w:spacing w:line="340" w:lineRule="atLeast"/>
              <w:jc w:val="center"/>
              <w:rPr>
                <w:rFonts w:ascii="Times New Roman" w:hAnsi="Times New Roman"/>
                <w:sz w:val="22"/>
                <w:szCs w:val="24"/>
              </w:rPr>
            </w:pPr>
            <w:r w:rsidRPr="002A4B19">
              <w:rPr>
                <w:rFonts w:ascii="Times New Roman" w:hAnsi="Times New Roman"/>
                <w:sz w:val="22"/>
                <w:szCs w:val="24"/>
              </w:rPr>
              <w:t>‘26</w:t>
            </w:r>
          </w:p>
        </w:tc>
        <w:tc>
          <w:tcPr>
            <w:tcW w:w="770" w:type="dxa"/>
            <w:tcBorders>
              <w:top w:val="single" w:sz="18" w:space="0" w:color="auto"/>
              <w:left w:val="nil"/>
              <w:bottom w:val="single" w:sz="4" w:space="0" w:color="auto"/>
              <w:right w:val="nil"/>
            </w:tcBorders>
            <w:shd w:val="clear" w:color="auto" w:fill="auto"/>
            <w:noWrap/>
            <w:vAlign w:val="center"/>
            <w:hideMark/>
          </w:tcPr>
          <w:p w:rsidR="00454632" w:rsidRPr="002A4B19" w:rsidRDefault="00454632" w:rsidP="00FA22B7">
            <w:pPr>
              <w:widowControl/>
              <w:wordWrap/>
              <w:autoSpaceDE/>
              <w:autoSpaceDN/>
              <w:spacing w:line="340" w:lineRule="atLeast"/>
              <w:jc w:val="center"/>
              <w:rPr>
                <w:rFonts w:ascii="Times New Roman" w:hAnsi="Times New Roman"/>
                <w:sz w:val="22"/>
                <w:szCs w:val="24"/>
              </w:rPr>
            </w:pPr>
            <w:r w:rsidRPr="002A4B19">
              <w:rPr>
                <w:rFonts w:ascii="Times New Roman" w:hAnsi="Times New Roman"/>
                <w:sz w:val="22"/>
                <w:szCs w:val="24"/>
              </w:rPr>
              <w:t>‘27</w:t>
            </w:r>
          </w:p>
        </w:tc>
        <w:tc>
          <w:tcPr>
            <w:tcW w:w="770" w:type="dxa"/>
            <w:tcBorders>
              <w:top w:val="single" w:sz="18" w:space="0" w:color="auto"/>
              <w:left w:val="nil"/>
              <w:bottom w:val="single" w:sz="4" w:space="0" w:color="auto"/>
              <w:right w:val="nil"/>
            </w:tcBorders>
            <w:shd w:val="clear" w:color="auto" w:fill="auto"/>
            <w:noWrap/>
            <w:vAlign w:val="center"/>
            <w:hideMark/>
          </w:tcPr>
          <w:p w:rsidR="00454632" w:rsidRPr="002A4B19" w:rsidRDefault="00454632" w:rsidP="00FA22B7">
            <w:pPr>
              <w:widowControl/>
              <w:wordWrap/>
              <w:autoSpaceDE/>
              <w:autoSpaceDN/>
              <w:spacing w:line="340" w:lineRule="atLeast"/>
              <w:jc w:val="center"/>
              <w:rPr>
                <w:rFonts w:ascii="Times New Roman" w:hAnsi="Times New Roman"/>
                <w:sz w:val="22"/>
                <w:szCs w:val="24"/>
              </w:rPr>
            </w:pPr>
            <w:r w:rsidRPr="002A4B19">
              <w:rPr>
                <w:rFonts w:ascii="Times New Roman" w:hAnsi="Times New Roman"/>
                <w:sz w:val="22"/>
                <w:szCs w:val="24"/>
              </w:rPr>
              <w:t>‘28</w:t>
            </w:r>
          </w:p>
        </w:tc>
        <w:tc>
          <w:tcPr>
            <w:tcW w:w="770" w:type="dxa"/>
            <w:tcBorders>
              <w:top w:val="single" w:sz="18" w:space="0" w:color="auto"/>
              <w:left w:val="nil"/>
              <w:bottom w:val="single" w:sz="4" w:space="0" w:color="auto"/>
              <w:right w:val="nil"/>
            </w:tcBorders>
            <w:shd w:val="clear" w:color="auto" w:fill="auto"/>
            <w:noWrap/>
            <w:vAlign w:val="center"/>
            <w:hideMark/>
          </w:tcPr>
          <w:p w:rsidR="00454632" w:rsidRPr="002A4B19" w:rsidRDefault="00454632" w:rsidP="00FA22B7">
            <w:pPr>
              <w:widowControl/>
              <w:wordWrap/>
              <w:autoSpaceDE/>
              <w:autoSpaceDN/>
              <w:spacing w:line="340" w:lineRule="atLeast"/>
              <w:jc w:val="center"/>
              <w:rPr>
                <w:rFonts w:ascii="Times New Roman" w:hAnsi="Times New Roman"/>
                <w:sz w:val="22"/>
                <w:szCs w:val="24"/>
              </w:rPr>
            </w:pPr>
            <w:r w:rsidRPr="002A4B19">
              <w:rPr>
                <w:rFonts w:ascii="Times New Roman" w:hAnsi="Times New Roman"/>
                <w:sz w:val="22"/>
                <w:szCs w:val="24"/>
              </w:rPr>
              <w:t>‘29</w:t>
            </w:r>
          </w:p>
        </w:tc>
        <w:tc>
          <w:tcPr>
            <w:tcW w:w="771" w:type="dxa"/>
            <w:tcBorders>
              <w:top w:val="single" w:sz="18" w:space="0" w:color="auto"/>
              <w:left w:val="nil"/>
              <w:bottom w:val="single" w:sz="4" w:space="0" w:color="auto"/>
              <w:right w:val="nil"/>
            </w:tcBorders>
            <w:shd w:val="clear" w:color="auto" w:fill="auto"/>
            <w:noWrap/>
            <w:vAlign w:val="center"/>
            <w:hideMark/>
          </w:tcPr>
          <w:p w:rsidR="00454632" w:rsidRPr="002A4B19" w:rsidRDefault="00454632" w:rsidP="00FA22B7">
            <w:pPr>
              <w:widowControl/>
              <w:wordWrap/>
              <w:autoSpaceDE/>
              <w:autoSpaceDN/>
              <w:spacing w:line="340" w:lineRule="atLeast"/>
              <w:jc w:val="center"/>
              <w:rPr>
                <w:rFonts w:ascii="Times New Roman" w:hAnsi="Times New Roman"/>
                <w:sz w:val="22"/>
                <w:szCs w:val="24"/>
              </w:rPr>
            </w:pPr>
            <w:r w:rsidRPr="002A4B19">
              <w:rPr>
                <w:rFonts w:ascii="Times New Roman" w:hAnsi="Times New Roman"/>
                <w:sz w:val="22"/>
                <w:szCs w:val="24"/>
              </w:rPr>
              <w:t>‘30</w:t>
            </w:r>
          </w:p>
        </w:tc>
      </w:tr>
      <w:tr w:rsidR="00454632" w:rsidRPr="002A4B19" w:rsidTr="00FA22B7">
        <w:trPr>
          <w:trHeight w:val="324"/>
          <w:jc w:val="center"/>
        </w:trPr>
        <w:tc>
          <w:tcPr>
            <w:tcW w:w="1291" w:type="dxa"/>
            <w:tcBorders>
              <w:top w:val="single" w:sz="4" w:space="0" w:color="auto"/>
              <w:left w:val="nil"/>
              <w:bottom w:val="single" w:sz="18" w:space="0" w:color="auto"/>
              <w:right w:val="nil"/>
            </w:tcBorders>
            <w:vAlign w:val="center"/>
          </w:tcPr>
          <w:p w:rsidR="00454632" w:rsidRPr="002A4B19" w:rsidRDefault="00454632" w:rsidP="00FA22B7">
            <w:pPr>
              <w:widowControl/>
              <w:wordWrap/>
              <w:autoSpaceDE/>
              <w:autoSpaceDN/>
              <w:spacing w:line="340" w:lineRule="atLeast"/>
              <w:jc w:val="center"/>
              <w:rPr>
                <w:rFonts w:ascii="Times New Roman" w:hAnsi="Times New Roman"/>
                <w:sz w:val="22"/>
                <w:szCs w:val="24"/>
              </w:rPr>
            </w:pPr>
            <w:r w:rsidRPr="002A4B19">
              <w:rPr>
                <w:rFonts w:ascii="Times New Roman" w:hAnsi="Times New Roman"/>
                <w:b/>
                <w:sz w:val="22"/>
                <w:szCs w:val="24"/>
              </w:rPr>
              <w:t>GDP level</w:t>
            </w:r>
          </w:p>
        </w:tc>
        <w:tc>
          <w:tcPr>
            <w:tcW w:w="770" w:type="dxa"/>
            <w:tcBorders>
              <w:top w:val="single" w:sz="4" w:space="0" w:color="auto"/>
              <w:left w:val="nil"/>
              <w:bottom w:val="single" w:sz="18" w:space="0" w:color="auto"/>
              <w:right w:val="nil"/>
            </w:tcBorders>
            <w:shd w:val="clear" w:color="auto" w:fill="auto"/>
            <w:vAlign w:val="center"/>
            <w:hideMark/>
          </w:tcPr>
          <w:p w:rsidR="00454632" w:rsidRPr="002A4B19" w:rsidRDefault="00454632" w:rsidP="00FA22B7">
            <w:pPr>
              <w:widowControl/>
              <w:wordWrap/>
              <w:autoSpaceDE/>
              <w:autoSpaceDN/>
              <w:spacing w:line="340" w:lineRule="atLeast"/>
              <w:jc w:val="center"/>
              <w:rPr>
                <w:rFonts w:ascii="Times New Roman" w:hAnsi="Times New Roman"/>
                <w:sz w:val="22"/>
                <w:szCs w:val="24"/>
              </w:rPr>
            </w:pPr>
            <w:r w:rsidRPr="002A4B19">
              <w:rPr>
                <w:rFonts w:ascii="Times New Roman" w:hAnsi="Times New Roman"/>
                <w:sz w:val="22"/>
                <w:szCs w:val="24"/>
              </w:rPr>
              <w:t>1.29</w:t>
            </w:r>
          </w:p>
        </w:tc>
        <w:tc>
          <w:tcPr>
            <w:tcW w:w="770" w:type="dxa"/>
            <w:tcBorders>
              <w:top w:val="single" w:sz="4" w:space="0" w:color="auto"/>
              <w:left w:val="nil"/>
              <w:bottom w:val="single" w:sz="18" w:space="0" w:color="auto"/>
              <w:right w:val="nil"/>
            </w:tcBorders>
            <w:shd w:val="clear" w:color="auto" w:fill="auto"/>
            <w:vAlign w:val="center"/>
            <w:hideMark/>
          </w:tcPr>
          <w:p w:rsidR="00454632" w:rsidRPr="002A4B19" w:rsidRDefault="00454632" w:rsidP="00FA22B7">
            <w:pPr>
              <w:widowControl/>
              <w:wordWrap/>
              <w:autoSpaceDE/>
              <w:autoSpaceDN/>
              <w:spacing w:line="340" w:lineRule="atLeast"/>
              <w:jc w:val="center"/>
              <w:rPr>
                <w:rFonts w:ascii="Times New Roman" w:hAnsi="Times New Roman"/>
                <w:sz w:val="22"/>
                <w:szCs w:val="24"/>
              </w:rPr>
            </w:pPr>
            <w:r w:rsidRPr="002A4B19">
              <w:rPr>
                <w:rFonts w:ascii="Times New Roman" w:hAnsi="Times New Roman"/>
                <w:sz w:val="22"/>
                <w:szCs w:val="24"/>
              </w:rPr>
              <w:t>1.31</w:t>
            </w:r>
          </w:p>
        </w:tc>
        <w:tc>
          <w:tcPr>
            <w:tcW w:w="770" w:type="dxa"/>
            <w:tcBorders>
              <w:top w:val="single" w:sz="4" w:space="0" w:color="auto"/>
              <w:left w:val="nil"/>
              <w:bottom w:val="single" w:sz="18" w:space="0" w:color="auto"/>
              <w:right w:val="nil"/>
            </w:tcBorders>
            <w:shd w:val="clear" w:color="auto" w:fill="auto"/>
            <w:vAlign w:val="center"/>
            <w:hideMark/>
          </w:tcPr>
          <w:p w:rsidR="00454632" w:rsidRPr="002A4B19" w:rsidRDefault="00454632" w:rsidP="00FA22B7">
            <w:pPr>
              <w:widowControl/>
              <w:wordWrap/>
              <w:autoSpaceDE/>
              <w:autoSpaceDN/>
              <w:spacing w:line="340" w:lineRule="atLeast"/>
              <w:jc w:val="center"/>
              <w:rPr>
                <w:rFonts w:ascii="Times New Roman" w:hAnsi="Times New Roman"/>
                <w:sz w:val="22"/>
                <w:szCs w:val="24"/>
              </w:rPr>
            </w:pPr>
            <w:r w:rsidRPr="002A4B19">
              <w:rPr>
                <w:rFonts w:ascii="Times New Roman" w:hAnsi="Times New Roman"/>
                <w:sz w:val="22"/>
                <w:szCs w:val="24"/>
              </w:rPr>
              <w:t>1.32</w:t>
            </w:r>
          </w:p>
        </w:tc>
        <w:tc>
          <w:tcPr>
            <w:tcW w:w="770" w:type="dxa"/>
            <w:tcBorders>
              <w:top w:val="single" w:sz="4" w:space="0" w:color="auto"/>
              <w:left w:val="nil"/>
              <w:bottom w:val="single" w:sz="18" w:space="0" w:color="auto"/>
              <w:right w:val="nil"/>
            </w:tcBorders>
            <w:shd w:val="clear" w:color="auto" w:fill="auto"/>
            <w:vAlign w:val="center"/>
            <w:hideMark/>
          </w:tcPr>
          <w:p w:rsidR="00454632" w:rsidRPr="002A4B19" w:rsidRDefault="00454632" w:rsidP="00FA22B7">
            <w:pPr>
              <w:widowControl/>
              <w:wordWrap/>
              <w:autoSpaceDE/>
              <w:autoSpaceDN/>
              <w:spacing w:line="340" w:lineRule="atLeast"/>
              <w:jc w:val="center"/>
              <w:rPr>
                <w:rFonts w:ascii="Times New Roman" w:hAnsi="Times New Roman"/>
                <w:sz w:val="22"/>
                <w:szCs w:val="24"/>
              </w:rPr>
            </w:pPr>
            <w:r w:rsidRPr="002A4B19">
              <w:rPr>
                <w:rFonts w:ascii="Times New Roman" w:hAnsi="Times New Roman"/>
                <w:sz w:val="22"/>
                <w:szCs w:val="24"/>
              </w:rPr>
              <w:t>1.34</w:t>
            </w:r>
          </w:p>
        </w:tc>
        <w:tc>
          <w:tcPr>
            <w:tcW w:w="770" w:type="dxa"/>
            <w:tcBorders>
              <w:top w:val="single" w:sz="4" w:space="0" w:color="auto"/>
              <w:left w:val="nil"/>
              <w:bottom w:val="single" w:sz="18" w:space="0" w:color="auto"/>
              <w:right w:val="nil"/>
            </w:tcBorders>
            <w:shd w:val="clear" w:color="auto" w:fill="auto"/>
            <w:vAlign w:val="center"/>
            <w:hideMark/>
          </w:tcPr>
          <w:p w:rsidR="00454632" w:rsidRPr="002A4B19" w:rsidRDefault="00454632" w:rsidP="00FA22B7">
            <w:pPr>
              <w:widowControl/>
              <w:wordWrap/>
              <w:autoSpaceDE/>
              <w:autoSpaceDN/>
              <w:spacing w:line="340" w:lineRule="atLeast"/>
              <w:jc w:val="center"/>
              <w:rPr>
                <w:rFonts w:ascii="Times New Roman" w:hAnsi="Times New Roman"/>
                <w:sz w:val="22"/>
                <w:szCs w:val="24"/>
              </w:rPr>
            </w:pPr>
            <w:r w:rsidRPr="002A4B19">
              <w:rPr>
                <w:rFonts w:ascii="Times New Roman" w:hAnsi="Times New Roman"/>
                <w:sz w:val="22"/>
                <w:szCs w:val="24"/>
              </w:rPr>
              <w:t>1.35</w:t>
            </w:r>
          </w:p>
        </w:tc>
        <w:tc>
          <w:tcPr>
            <w:tcW w:w="770" w:type="dxa"/>
            <w:tcBorders>
              <w:top w:val="single" w:sz="4" w:space="0" w:color="auto"/>
              <w:left w:val="nil"/>
              <w:bottom w:val="single" w:sz="18" w:space="0" w:color="auto"/>
              <w:right w:val="nil"/>
            </w:tcBorders>
            <w:shd w:val="clear" w:color="auto" w:fill="auto"/>
            <w:vAlign w:val="center"/>
            <w:hideMark/>
          </w:tcPr>
          <w:p w:rsidR="00454632" w:rsidRPr="002A4B19" w:rsidRDefault="00454632" w:rsidP="00FA22B7">
            <w:pPr>
              <w:widowControl/>
              <w:wordWrap/>
              <w:autoSpaceDE/>
              <w:autoSpaceDN/>
              <w:spacing w:line="340" w:lineRule="atLeast"/>
              <w:jc w:val="center"/>
              <w:rPr>
                <w:rFonts w:ascii="Times New Roman" w:hAnsi="Times New Roman"/>
                <w:sz w:val="22"/>
                <w:szCs w:val="24"/>
              </w:rPr>
            </w:pPr>
            <w:r w:rsidRPr="002A4B19">
              <w:rPr>
                <w:rFonts w:ascii="Times New Roman" w:hAnsi="Times New Roman"/>
                <w:sz w:val="22"/>
                <w:szCs w:val="24"/>
              </w:rPr>
              <w:t>1.36</w:t>
            </w:r>
          </w:p>
        </w:tc>
        <w:tc>
          <w:tcPr>
            <w:tcW w:w="770" w:type="dxa"/>
            <w:tcBorders>
              <w:top w:val="single" w:sz="4" w:space="0" w:color="auto"/>
              <w:left w:val="nil"/>
              <w:bottom w:val="single" w:sz="18" w:space="0" w:color="auto"/>
              <w:right w:val="nil"/>
            </w:tcBorders>
            <w:shd w:val="clear" w:color="auto" w:fill="auto"/>
            <w:vAlign w:val="center"/>
            <w:hideMark/>
          </w:tcPr>
          <w:p w:rsidR="00454632" w:rsidRPr="002A4B19" w:rsidRDefault="00454632" w:rsidP="00FA22B7">
            <w:pPr>
              <w:widowControl/>
              <w:wordWrap/>
              <w:autoSpaceDE/>
              <w:autoSpaceDN/>
              <w:spacing w:line="340" w:lineRule="atLeast"/>
              <w:jc w:val="center"/>
              <w:rPr>
                <w:rFonts w:ascii="Times New Roman" w:hAnsi="Times New Roman"/>
                <w:sz w:val="22"/>
                <w:szCs w:val="24"/>
              </w:rPr>
            </w:pPr>
            <w:r w:rsidRPr="002A4B19">
              <w:rPr>
                <w:rFonts w:ascii="Times New Roman" w:hAnsi="Times New Roman"/>
                <w:sz w:val="22"/>
                <w:szCs w:val="24"/>
              </w:rPr>
              <w:t>1.36</w:t>
            </w:r>
          </w:p>
        </w:tc>
        <w:tc>
          <w:tcPr>
            <w:tcW w:w="770" w:type="dxa"/>
            <w:tcBorders>
              <w:top w:val="single" w:sz="4" w:space="0" w:color="auto"/>
              <w:left w:val="nil"/>
              <w:bottom w:val="single" w:sz="18" w:space="0" w:color="auto"/>
              <w:right w:val="nil"/>
            </w:tcBorders>
            <w:shd w:val="clear" w:color="auto" w:fill="auto"/>
            <w:vAlign w:val="center"/>
            <w:hideMark/>
          </w:tcPr>
          <w:p w:rsidR="00454632" w:rsidRPr="002A4B19" w:rsidRDefault="00454632" w:rsidP="00FA22B7">
            <w:pPr>
              <w:widowControl/>
              <w:wordWrap/>
              <w:autoSpaceDE/>
              <w:autoSpaceDN/>
              <w:spacing w:line="340" w:lineRule="atLeast"/>
              <w:jc w:val="center"/>
              <w:rPr>
                <w:rFonts w:ascii="Times New Roman" w:hAnsi="Times New Roman"/>
                <w:sz w:val="22"/>
                <w:szCs w:val="24"/>
              </w:rPr>
            </w:pPr>
            <w:r w:rsidRPr="002A4B19">
              <w:rPr>
                <w:rFonts w:ascii="Times New Roman" w:hAnsi="Times New Roman"/>
                <w:sz w:val="22"/>
                <w:szCs w:val="24"/>
              </w:rPr>
              <w:t>1.37</w:t>
            </w:r>
          </w:p>
        </w:tc>
        <w:tc>
          <w:tcPr>
            <w:tcW w:w="770" w:type="dxa"/>
            <w:tcBorders>
              <w:top w:val="single" w:sz="4" w:space="0" w:color="auto"/>
              <w:left w:val="nil"/>
              <w:bottom w:val="single" w:sz="18" w:space="0" w:color="auto"/>
              <w:right w:val="nil"/>
            </w:tcBorders>
            <w:shd w:val="clear" w:color="auto" w:fill="auto"/>
            <w:vAlign w:val="center"/>
            <w:hideMark/>
          </w:tcPr>
          <w:p w:rsidR="00454632" w:rsidRPr="002A4B19" w:rsidRDefault="00454632" w:rsidP="00FA22B7">
            <w:pPr>
              <w:widowControl/>
              <w:wordWrap/>
              <w:autoSpaceDE/>
              <w:autoSpaceDN/>
              <w:spacing w:line="340" w:lineRule="atLeast"/>
              <w:jc w:val="center"/>
              <w:rPr>
                <w:rFonts w:ascii="Times New Roman" w:hAnsi="Times New Roman"/>
                <w:sz w:val="22"/>
                <w:szCs w:val="24"/>
              </w:rPr>
            </w:pPr>
            <w:r w:rsidRPr="002A4B19">
              <w:rPr>
                <w:rFonts w:ascii="Times New Roman" w:hAnsi="Times New Roman"/>
                <w:sz w:val="22"/>
                <w:szCs w:val="24"/>
              </w:rPr>
              <w:t>1.38</w:t>
            </w:r>
          </w:p>
        </w:tc>
        <w:tc>
          <w:tcPr>
            <w:tcW w:w="771" w:type="dxa"/>
            <w:tcBorders>
              <w:top w:val="single" w:sz="4" w:space="0" w:color="auto"/>
              <w:left w:val="nil"/>
              <w:bottom w:val="single" w:sz="18" w:space="0" w:color="auto"/>
              <w:right w:val="nil"/>
            </w:tcBorders>
            <w:shd w:val="clear" w:color="auto" w:fill="auto"/>
            <w:vAlign w:val="center"/>
            <w:hideMark/>
          </w:tcPr>
          <w:p w:rsidR="00454632" w:rsidRPr="002A4B19" w:rsidRDefault="00454632" w:rsidP="00FA22B7">
            <w:pPr>
              <w:widowControl/>
              <w:wordWrap/>
              <w:autoSpaceDE/>
              <w:autoSpaceDN/>
              <w:spacing w:line="340" w:lineRule="atLeast"/>
              <w:jc w:val="center"/>
              <w:rPr>
                <w:rFonts w:ascii="Times New Roman" w:hAnsi="Times New Roman"/>
                <w:sz w:val="22"/>
                <w:szCs w:val="24"/>
              </w:rPr>
            </w:pPr>
            <w:r w:rsidRPr="002A4B19">
              <w:rPr>
                <w:rFonts w:ascii="Times New Roman" w:hAnsi="Times New Roman"/>
                <w:sz w:val="22"/>
                <w:szCs w:val="24"/>
              </w:rPr>
              <w:t>1.39</w:t>
            </w:r>
          </w:p>
        </w:tc>
      </w:tr>
    </w:tbl>
    <w:p w:rsidR="00454632" w:rsidRPr="002A4B19" w:rsidRDefault="00454632" w:rsidP="00454632">
      <w:pPr>
        <w:pStyle w:val="Mdeck4text"/>
        <w:rPr>
          <w:rFonts w:eastAsiaTheme="minorEastAsia" w:cs="Times New Roman"/>
          <w:color w:val="auto"/>
          <w:lang w:eastAsia="ko-KR"/>
        </w:rPr>
      </w:pPr>
    </w:p>
    <w:p w:rsidR="00454632" w:rsidRPr="002A4B19" w:rsidRDefault="00454632" w:rsidP="00454632">
      <w:pPr>
        <w:pStyle w:val="Mdeck4heading2"/>
        <w:spacing w:before="0"/>
        <w:rPr>
          <w:rFonts w:cs="Times New Roman"/>
          <w:b/>
          <w:color w:val="auto"/>
        </w:rPr>
      </w:pPr>
      <w:r w:rsidRPr="002A4B19">
        <w:rPr>
          <w:rFonts w:cs="Times New Roman"/>
          <w:b/>
          <w:color w:val="auto"/>
        </w:rPr>
        <w:t>4.3 Policy scenario settings</w:t>
      </w:r>
    </w:p>
    <w:p w:rsidR="00454632" w:rsidRPr="002A4B19" w:rsidRDefault="00454632" w:rsidP="00454632">
      <w:pPr>
        <w:pStyle w:val="Mdeck4text"/>
        <w:rPr>
          <w:rFonts w:eastAsiaTheme="minorEastAsia" w:cs="Times New Roman"/>
          <w:color w:val="auto"/>
          <w:lang w:eastAsia="ko-KR"/>
        </w:rPr>
      </w:pPr>
      <w:r w:rsidRPr="002A4B19">
        <w:rPr>
          <w:rFonts w:eastAsiaTheme="minorEastAsia" w:cs="Times New Roman"/>
          <w:color w:val="auto"/>
          <w:lang w:eastAsia="ko-KR"/>
        </w:rPr>
        <w:t xml:space="preserve">This study examines the effects of technological innovation on employment structure and economic growth. The level of R&amp;D investments, or R&amp;D intensity, is used for a proxy variable to represent innovative activities, and two policy scenarios are constructed for the analysis. In the first scenario (SCN1), R&amp;D intensity gradually decreases from 4%, in the base </w:t>
      </w:r>
      <w:r w:rsidRPr="002A4B19">
        <w:rPr>
          <w:rFonts w:eastAsiaTheme="minorEastAsia" w:cs="Times New Roman"/>
          <w:color w:val="auto"/>
          <w:lang w:eastAsia="ko-KR"/>
        </w:rPr>
        <w:lastRenderedPageBreak/>
        <w:t>year of 2010, to 3%, in 2020. In the second scenario (SCN2), R&amp;D intensity gradually increases from 4%, in the base year of 2010, to 5%, in 2020. For the analysis, we set the target year as 2030 and assume that R&amp;D intensity in 2020 for each scenario is maintained until 2030. The scenarios constructed for the analysis are summarized in Table 3.</w:t>
      </w:r>
    </w:p>
    <w:p w:rsidR="00454632" w:rsidRPr="002A4B19" w:rsidRDefault="00454632" w:rsidP="00454632">
      <w:pPr>
        <w:pStyle w:val="Mdeck4text"/>
        <w:rPr>
          <w:rFonts w:eastAsiaTheme="minorEastAsia" w:cs="Times New Roman"/>
          <w:color w:val="auto"/>
          <w:lang w:eastAsia="ko-KR"/>
        </w:rPr>
      </w:pPr>
    </w:p>
    <w:p w:rsidR="00454632" w:rsidRPr="002A4B19" w:rsidRDefault="00454632" w:rsidP="00454632">
      <w:pPr>
        <w:pStyle w:val="a6"/>
        <w:keepNext/>
        <w:jc w:val="center"/>
        <w:rPr>
          <w:rFonts w:ascii="Times New Roman" w:hAnsi="Times New Roman" w:cs="Times New Roman"/>
          <w:b w:val="0"/>
          <w:sz w:val="24"/>
          <w:szCs w:val="22"/>
        </w:rPr>
      </w:pPr>
      <w:r w:rsidRPr="002A4B19">
        <w:rPr>
          <w:rFonts w:ascii="Times New Roman" w:hAnsi="Times New Roman" w:cs="Times New Roman"/>
          <w:b w:val="0"/>
          <w:sz w:val="24"/>
          <w:szCs w:val="22"/>
        </w:rPr>
        <w:t xml:space="preserve">Table </w:t>
      </w:r>
      <w:r w:rsidRPr="002A4B19">
        <w:rPr>
          <w:rFonts w:ascii="Times New Roman" w:hAnsi="Times New Roman" w:cs="Times New Roman"/>
          <w:b w:val="0"/>
          <w:sz w:val="24"/>
          <w:szCs w:val="22"/>
        </w:rPr>
        <w:fldChar w:fldCharType="begin"/>
      </w:r>
      <w:r w:rsidRPr="002A4B19">
        <w:rPr>
          <w:rFonts w:ascii="Times New Roman" w:hAnsi="Times New Roman" w:cs="Times New Roman"/>
          <w:b w:val="0"/>
          <w:sz w:val="24"/>
          <w:szCs w:val="22"/>
        </w:rPr>
        <w:instrText xml:space="preserve"> SEQ Table \* ARABIC </w:instrText>
      </w:r>
      <w:r w:rsidRPr="002A4B19">
        <w:rPr>
          <w:rFonts w:ascii="Times New Roman" w:hAnsi="Times New Roman" w:cs="Times New Roman"/>
          <w:b w:val="0"/>
          <w:sz w:val="24"/>
          <w:szCs w:val="22"/>
        </w:rPr>
        <w:fldChar w:fldCharType="separate"/>
      </w:r>
      <w:r w:rsidRPr="002A4B19">
        <w:rPr>
          <w:rFonts w:ascii="Times New Roman" w:hAnsi="Times New Roman" w:cs="Times New Roman"/>
          <w:b w:val="0"/>
          <w:sz w:val="24"/>
          <w:szCs w:val="22"/>
        </w:rPr>
        <w:t>3</w:t>
      </w:r>
      <w:r w:rsidRPr="002A4B19">
        <w:rPr>
          <w:rFonts w:ascii="Times New Roman" w:hAnsi="Times New Roman" w:cs="Times New Roman"/>
          <w:b w:val="0"/>
          <w:sz w:val="24"/>
          <w:szCs w:val="22"/>
        </w:rPr>
        <w:fldChar w:fldCharType="end"/>
      </w:r>
      <w:r w:rsidRPr="002A4B19">
        <w:rPr>
          <w:rFonts w:ascii="Times New Roman" w:hAnsi="Times New Roman" w:cs="Times New Roman"/>
          <w:b w:val="0"/>
          <w:sz w:val="24"/>
          <w:szCs w:val="22"/>
        </w:rPr>
        <w:t>. Scenario descriptions</w:t>
      </w:r>
    </w:p>
    <w:tbl>
      <w:tblPr>
        <w:tblW w:w="0" w:type="auto"/>
        <w:jc w:val="center"/>
        <w:tblLook w:val="04A0" w:firstRow="1" w:lastRow="0" w:firstColumn="1" w:lastColumn="0" w:noHBand="0" w:noVBand="1"/>
      </w:tblPr>
      <w:tblGrid>
        <w:gridCol w:w="2694"/>
        <w:gridCol w:w="3087"/>
        <w:gridCol w:w="3088"/>
      </w:tblGrid>
      <w:tr w:rsidR="002A4B19" w:rsidRPr="002A4B19" w:rsidTr="00FA22B7">
        <w:trPr>
          <w:trHeight w:val="354"/>
          <w:jc w:val="center"/>
        </w:trPr>
        <w:tc>
          <w:tcPr>
            <w:tcW w:w="2694" w:type="dxa"/>
            <w:tcBorders>
              <w:top w:val="single" w:sz="18" w:space="0" w:color="auto"/>
              <w:left w:val="nil"/>
              <w:right w:val="nil"/>
            </w:tcBorders>
          </w:tcPr>
          <w:p w:rsidR="00454632" w:rsidRPr="002A4B19" w:rsidRDefault="00454632" w:rsidP="00FA22B7">
            <w:pPr>
              <w:pStyle w:val="Mdeck4text"/>
              <w:ind w:firstLine="0"/>
              <w:rPr>
                <w:rFonts w:eastAsia="SimSun" w:cs="Times New Roman"/>
                <w:color w:val="auto"/>
                <w:szCs w:val="22"/>
                <w:lang w:eastAsia="zh-CN"/>
              </w:rPr>
            </w:pPr>
          </w:p>
        </w:tc>
        <w:tc>
          <w:tcPr>
            <w:tcW w:w="3087" w:type="dxa"/>
            <w:tcBorders>
              <w:top w:val="single" w:sz="18" w:space="0" w:color="auto"/>
              <w:left w:val="nil"/>
              <w:right w:val="nil"/>
            </w:tcBorders>
            <w:hideMark/>
          </w:tcPr>
          <w:p w:rsidR="00454632" w:rsidRPr="002A4B19" w:rsidRDefault="00454632" w:rsidP="00FA22B7">
            <w:pPr>
              <w:pStyle w:val="Mdeck4text"/>
              <w:ind w:firstLine="0"/>
              <w:jc w:val="center"/>
              <w:rPr>
                <w:rFonts w:eastAsiaTheme="minorEastAsia" w:cs="Times New Roman"/>
                <w:b/>
                <w:color w:val="auto"/>
                <w:lang w:eastAsia="ko-KR"/>
              </w:rPr>
            </w:pPr>
            <w:r w:rsidRPr="002A4B19">
              <w:rPr>
                <w:rFonts w:eastAsiaTheme="minorEastAsia" w:cs="Times New Roman"/>
                <w:b/>
                <w:color w:val="auto"/>
                <w:lang w:eastAsia="ko-KR"/>
              </w:rPr>
              <w:t>R&amp;D intensity in 2010</w:t>
            </w:r>
          </w:p>
        </w:tc>
        <w:tc>
          <w:tcPr>
            <w:tcW w:w="3088" w:type="dxa"/>
            <w:tcBorders>
              <w:top w:val="single" w:sz="18" w:space="0" w:color="auto"/>
              <w:left w:val="nil"/>
              <w:right w:val="nil"/>
            </w:tcBorders>
            <w:hideMark/>
          </w:tcPr>
          <w:p w:rsidR="00454632" w:rsidRPr="002A4B19" w:rsidRDefault="00454632" w:rsidP="00FA22B7">
            <w:pPr>
              <w:pStyle w:val="Mdeck4text"/>
              <w:ind w:firstLine="0"/>
              <w:jc w:val="center"/>
              <w:rPr>
                <w:rFonts w:eastAsia="SimSun" w:cs="Times New Roman"/>
                <w:b/>
                <w:color w:val="auto"/>
                <w:lang w:eastAsia="zh-CN"/>
              </w:rPr>
            </w:pPr>
            <w:r w:rsidRPr="002A4B19">
              <w:rPr>
                <w:rFonts w:eastAsiaTheme="minorEastAsia" w:cs="Times New Roman"/>
                <w:b/>
                <w:color w:val="auto"/>
                <w:lang w:eastAsia="ko-KR"/>
              </w:rPr>
              <w:t>R&amp;D intensity in 2020</w:t>
            </w:r>
          </w:p>
        </w:tc>
      </w:tr>
      <w:tr w:rsidR="002A4B19" w:rsidRPr="002A4B19" w:rsidTr="00FA22B7">
        <w:trPr>
          <w:trHeight w:val="337"/>
          <w:jc w:val="center"/>
        </w:trPr>
        <w:tc>
          <w:tcPr>
            <w:tcW w:w="2694" w:type="dxa"/>
            <w:tcBorders>
              <w:left w:val="nil"/>
              <w:bottom w:val="nil"/>
              <w:right w:val="nil"/>
            </w:tcBorders>
            <w:hideMark/>
          </w:tcPr>
          <w:p w:rsidR="00454632" w:rsidRPr="002A4B19" w:rsidRDefault="00454632" w:rsidP="00FA22B7">
            <w:pPr>
              <w:pStyle w:val="Mdeck4text"/>
              <w:ind w:firstLine="0"/>
              <w:jc w:val="center"/>
              <w:rPr>
                <w:rFonts w:eastAsiaTheme="minorEastAsia" w:cs="Times New Roman"/>
                <w:b/>
                <w:color w:val="auto"/>
                <w:lang w:eastAsia="ko-KR"/>
              </w:rPr>
            </w:pPr>
            <w:r w:rsidRPr="002A4B19">
              <w:rPr>
                <w:rFonts w:eastAsiaTheme="minorEastAsia" w:cs="Times New Roman"/>
                <w:b/>
                <w:color w:val="auto"/>
                <w:lang w:eastAsia="ko-KR"/>
              </w:rPr>
              <w:t>BAU Scenario (BAU)</w:t>
            </w:r>
          </w:p>
        </w:tc>
        <w:tc>
          <w:tcPr>
            <w:tcW w:w="3087" w:type="dxa"/>
            <w:tcBorders>
              <w:left w:val="nil"/>
              <w:bottom w:val="nil"/>
              <w:right w:val="nil"/>
            </w:tcBorders>
            <w:hideMark/>
          </w:tcPr>
          <w:p w:rsidR="00454632" w:rsidRPr="002A4B19" w:rsidRDefault="00454632" w:rsidP="00FA22B7">
            <w:pPr>
              <w:pStyle w:val="Mdeck4text"/>
              <w:ind w:firstLine="0"/>
              <w:jc w:val="center"/>
              <w:rPr>
                <w:rFonts w:eastAsiaTheme="minorEastAsia" w:cs="Times New Roman"/>
                <w:color w:val="auto"/>
                <w:lang w:eastAsia="ko-KR"/>
              </w:rPr>
            </w:pPr>
            <w:r w:rsidRPr="002A4B19">
              <w:rPr>
                <w:rFonts w:eastAsiaTheme="minorEastAsia" w:cs="Times New Roman"/>
                <w:color w:val="auto"/>
                <w:lang w:eastAsia="ko-KR"/>
              </w:rPr>
              <w:t>4%</w:t>
            </w:r>
          </w:p>
        </w:tc>
        <w:tc>
          <w:tcPr>
            <w:tcW w:w="3088" w:type="dxa"/>
            <w:tcBorders>
              <w:left w:val="nil"/>
              <w:bottom w:val="nil"/>
              <w:right w:val="nil"/>
            </w:tcBorders>
            <w:hideMark/>
          </w:tcPr>
          <w:p w:rsidR="00454632" w:rsidRPr="002A4B19" w:rsidRDefault="00454632" w:rsidP="00FA22B7">
            <w:pPr>
              <w:pStyle w:val="Mdeck4text"/>
              <w:ind w:firstLine="0"/>
              <w:jc w:val="center"/>
              <w:rPr>
                <w:rFonts w:eastAsiaTheme="minorEastAsia" w:cs="Times New Roman"/>
                <w:color w:val="auto"/>
                <w:lang w:eastAsia="ko-KR"/>
              </w:rPr>
            </w:pPr>
            <w:r w:rsidRPr="002A4B19">
              <w:rPr>
                <w:rFonts w:eastAsiaTheme="minorEastAsia" w:cs="Times New Roman"/>
                <w:color w:val="auto"/>
                <w:lang w:eastAsia="ko-KR"/>
              </w:rPr>
              <w:t>4%</w:t>
            </w:r>
          </w:p>
        </w:tc>
      </w:tr>
      <w:tr w:rsidR="002A4B19" w:rsidRPr="002A4B19" w:rsidTr="00FA22B7">
        <w:trPr>
          <w:trHeight w:val="337"/>
          <w:jc w:val="center"/>
        </w:trPr>
        <w:tc>
          <w:tcPr>
            <w:tcW w:w="2694" w:type="dxa"/>
            <w:tcBorders>
              <w:top w:val="nil"/>
              <w:left w:val="nil"/>
              <w:bottom w:val="nil"/>
              <w:right w:val="nil"/>
            </w:tcBorders>
            <w:hideMark/>
          </w:tcPr>
          <w:p w:rsidR="00454632" w:rsidRPr="002A4B19" w:rsidRDefault="00454632" w:rsidP="00FA22B7">
            <w:pPr>
              <w:pStyle w:val="Mdeck4text"/>
              <w:ind w:firstLine="0"/>
              <w:jc w:val="center"/>
              <w:rPr>
                <w:rFonts w:eastAsiaTheme="minorEastAsia" w:cs="Times New Roman"/>
                <w:b/>
                <w:color w:val="auto"/>
                <w:lang w:eastAsia="ko-KR"/>
              </w:rPr>
            </w:pPr>
            <w:r w:rsidRPr="002A4B19">
              <w:rPr>
                <w:rFonts w:eastAsiaTheme="minorEastAsia" w:cs="Times New Roman"/>
                <w:b/>
                <w:color w:val="auto"/>
                <w:lang w:eastAsia="ko-KR"/>
              </w:rPr>
              <w:t>Scenario 1 (SCN1)</w:t>
            </w:r>
          </w:p>
        </w:tc>
        <w:tc>
          <w:tcPr>
            <w:tcW w:w="3087" w:type="dxa"/>
            <w:tcBorders>
              <w:top w:val="nil"/>
              <w:left w:val="nil"/>
              <w:bottom w:val="nil"/>
              <w:right w:val="nil"/>
            </w:tcBorders>
            <w:hideMark/>
          </w:tcPr>
          <w:p w:rsidR="00454632" w:rsidRPr="002A4B19" w:rsidRDefault="00454632" w:rsidP="00FA22B7">
            <w:pPr>
              <w:pStyle w:val="Mdeck4text"/>
              <w:ind w:firstLine="0"/>
              <w:jc w:val="center"/>
              <w:rPr>
                <w:rFonts w:eastAsiaTheme="minorEastAsia" w:cs="Times New Roman"/>
                <w:color w:val="auto"/>
                <w:lang w:eastAsia="ko-KR"/>
              </w:rPr>
            </w:pPr>
            <w:r w:rsidRPr="002A4B19">
              <w:rPr>
                <w:rFonts w:eastAsiaTheme="minorEastAsia" w:cs="Times New Roman"/>
                <w:color w:val="auto"/>
                <w:lang w:eastAsia="ko-KR"/>
              </w:rPr>
              <w:t>4%</w:t>
            </w:r>
          </w:p>
        </w:tc>
        <w:tc>
          <w:tcPr>
            <w:tcW w:w="3088" w:type="dxa"/>
            <w:tcBorders>
              <w:top w:val="nil"/>
              <w:left w:val="nil"/>
              <w:bottom w:val="nil"/>
              <w:right w:val="nil"/>
            </w:tcBorders>
            <w:hideMark/>
          </w:tcPr>
          <w:p w:rsidR="00454632" w:rsidRPr="002A4B19" w:rsidRDefault="00454632" w:rsidP="00FA22B7">
            <w:pPr>
              <w:pStyle w:val="Mdeck4text"/>
              <w:ind w:firstLine="0"/>
              <w:jc w:val="center"/>
              <w:rPr>
                <w:rFonts w:eastAsiaTheme="minorEastAsia" w:cs="Times New Roman"/>
                <w:color w:val="auto"/>
                <w:lang w:eastAsia="ko-KR"/>
              </w:rPr>
            </w:pPr>
            <w:r w:rsidRPr="002A4B19">
              <w:rPr>
                <w:rFonts w:eastAsiaTheme="minorEastAsia" w:cs="Times New Roman"/>
                <w:color w:val="auto"/>
                <w:lang w:eastAsia="ko-KR"/>
              </w:rPr>
              <w:t>3%</w:t>
            </w:r>
          </w:p>
        </w:tc>
      </w:tr>
      <w:tr w:rsidR="00454632" w:rsidRPr="002A4B19" w:rsidTr="00FA22B7">
        <w:trPr>
          <w:trHeight w:val="354"/>
          <w:jc w:val="center"/>
        </w:trPr>
        <w:tc>
          <w:tcPr>
            <w:tcW w:w="2694" w:type="dxa"/>
            <w:tcBorders>
              <w:top w:val="nil"/>
              <w:left w:val="nil"/>
              <w:bottom w:val="single" w:sz="18" w:space="0" w:color="auto"/>
              <w:right w:val="nil"/>
            </w:tcBorders>
            <w:hideMark/>
          </w:tcPr>
          <w:p w:rsidR="00454632" w:rsidRPr="002A4B19" w:rsidRDefault="00454632" w:rsidP="00FA22B7">
            <w:pPr>
              <w:pStyle w:val="Mdeck4text"/>
              <w:ind w:firstLine="0"/>
              <w:jc w:val="center"/>
              <w:rPr>
                <w:rFonts w:eastAsia="SimSun" w:cs="Times New Roman"/>
                <w:b/>
                <w:color w:val="auto"/>
                <w:lang w:eastAsia="zh-CN"/>
              </w:rPr>
            </w:pPr>
            <w:r w:rsidRPr="002A4B19">
              <w:rPr>
                <w:rFonts w:eastAsiaTheme="minorEastAsia" w:cs="Times New Roman"/>
                <w:b/>
                <w:color w:val="auto"/>
                <w:lang w:eastAsia="ko-KR"/>
              </w:rPr>
              <w:t>Scenario 2 (SCN2)</w:t>
            </w:r>
          </w:p>
        </w:tc>
        <w:tc>
          <w:tcPr>
            <w:tcW w:w="3087" w:type="dxa"/>
            <w:tcBorders>
              <w:top w:val="nil"/>
              <w:left w:val="nil"/>
              <w:bottom w:val="single" w:sz="18" w:space="0" w:color="auto"/>
              <w:right w:val="nil"/>
            </w:tcBorders>
            <w:hideMark/>
          </w:tcPr>
          <w:p w:rsidR="00454632" w:rsidRPr="002A4B19" w:rsidRDefault="00454632" w:rsidP="00FA22B7">
            <w:pPr>
              <w:pStyle w:val="Mdeck4text"/>
              <w:ind w:firstLine="0"/>
              <w:jc w:val="center"/>
              <w:rPr>
                <w:rFonts w:eastAsiaTheme="minorEastAsia" w:cs="Times New Roman"/>
                <w:color w:val="auto"/>
                <w:lang w:eastAsia="ko-KR"/>
              </w:rPr>
            </w:pPr>
            <w:r w:rsidRPr="002A4B19">
              <w:rPr>
                <w:rFonts w:eastAsiaTheme="minorEastAsia" w:cs="Times New Roman"/>
                <w:color w:val="auto"/>
                <w:lang w:eastAsia="ko-KR"/>
              </w:rPr>
              <w:t>4%</w:t>
            </w:r>
          </w:p>
        </w:tc>
        <w:tc>
          <w:tcPr>
            <w:tcW w:w="3088" w:type="dxa"/>
            <w:tcBorders>
              <w:top w:val="nil"/>
              <w:left w:val="nil"/>
              <w:bottom w:val="single" w:sz="18" w:space="0" w:color="auto"/>
              <w:right w:val="nil"/>
            </w:tcBorders>
            <w:hideMark/>
          </w:tcPr>
          <w:p w:rsidR="00454632" w:rsidRPr="002A4B19" w:rsidRDefault="00454632" w:rsidP="00FA22B7">
            <w:pPr>
              <w:pStyle w:val="Mdeck4text"/>
              <w:ind w:firstLine="0"/>
              <w:jc w:val="center"/>
              <w:rPr>
                <w:rFonts w:eastAsiaTheme="minorEastAsia" w:cs="Times New Roman"/>
                <w:color w:val="auto"/>
                <w:lang w:eastAsia="ko-KR"/>
              </w:rPr>
            </w:pPr>
            <w:r w:rsidRPr="002A4B19">
              <w:rPr>
                <w:rFonts w:eastAsiaTheme="minorEastAsia" w:cs="Times New Roman"/>
                <w:color w:val="auto"/>
                <w:lang w:eastAsia="ko-KR"/>
              </w:rPr>
              <w:t>5%</w:t>
            </w:r>
          </w:p>
        </w:tc>
      </w:tr>
    </w:tbl>
    <w:p w:rsidR="00454632" w:rsidRPr="002A4B19" w:rsidRDefault="00454632"/>
    <w:p w:rsidR="00454632" w:rsidRPr="002A4B19" w:rsidRDefault="00454632"/>
    <w:p w:rsidR="00454632" w:rsidRPr="002A4B19" w:rsidRDefault="00454632" w:rsidP="00454632">
      <w:pPr>
        <w:pStyle w:val="Mdeck4heading1"/>
        <w:spacing w:before="0"/>
        <w:rPr>
          <w:rFonts w:eastAsiaTheme="minorEastAsia" w:cs="Times New Roman"/>
          <w:color w:val="auto"/>
          <w:lang w:eastAsia="ko-KR"/>
        </w:rPr>
      </w:pPr>
      <w:r w:rsidRPr="002A4B19">
        <w:rPr>
          <w:rFonts w:cs="Times New Roman"/>
          <w:color w:val="auto"/>
          <w:lang w:eastAsia="zh-CN"/>
        </w:rPr>
        <w:t>5. Main Results</w:t>
      </w:r>
    </w:p>
    <w:p w:rsidR="00454632" w:rsidRPr="002A4B19" w:rsidRDefault="00454632" w:rsidP="00454632">
      <w:pPr>
        <w:pStyle w:val="Mdeck4heading2"/>
        <w:spacing w:before="0"/>
        <w:rPr>
          <w:rFonts w:cs="Times New Roman"/>
          <w:b/>
          <w:color w:val="auto"/>
        </w:rPr>
      </w:pPr>
      <w:r w:rsidRPr="002A4B19">
        <w:rPr>
          <w:rFonts w:cs="Times New Roman"/>
          <w:b/>
          <w:color w:val="auto"/>
        </w:rPr>
        <w:t>5.1 Effects on the employment structure</w:t>
      </w:r>
    </w:p>
    <w:p w:rsidR="00454632" w:rsidRPr="002A4B19" w:rsidRDefault="00454632" w:rsidP="00454632">
      <w:pPr>
        <w:pStyle w:val="Mdeck4text"/>
        <w:rPr>
          <w:rFonts w:eastAsiaTheme="minorEastAsia" w:cs="Times New Roman"/>
          <w:color w:val="auto"/>
          <w:lang w:eastAsia="ko-KR"/>
        </w:rPr>
      </w:pPr>
      <w:r w:rsidRPr="002A4B19">
        <w:rPr>
          <w:rFonts w:eastAsiaTheme="minorEastAsia" w:cs="Times New Roman"/>
          <w:color w:val="auto"/>
          <w:lang w:eastAsia="ko-KR"/>
        </w:rPr>
        <w:t>Based on the scenario settings presented in the previous section, we firstly examine the changes of aggregate labor demand by scenario type. Table 4 illustrates the rate of changes in the aggregate labor demand between a base year (2010) and a target year (2030) for each scenario, as well as the changes of aggregate employment levels in 2030 relative to the BAU scenario (for SCN1 and SCN2 scenarios). Market clearance conditions of the general equilibrium framework imply that flows of goods and factors must be absorbed by production and consumption activities in the economy (Sue Wing, 2004). This suggests that, for a given factor the quantities demanded by industrial sectors must be balanced against the aggregate supply endowed to the households. Accordingly, changes of labor demand by scenario type can be understood as changes of labor supply for each scenario.</w:t>
      </w:r>
    </w:p>
    <w:p w:rsidR="00454632" w:rsidRPr="002A4B19" w:rsidRDefault="00454632" w:rsidP="00454632">
      <w:pPr>
        <w:pStyle w:val="Mdeck4text"/>
        <w:rPr>
          <w:rFonts w:cs="Times New Roman"/>
          <w:color w:val="auto"/>
        </w:rPr>
      </w:pPr>
      <w:r w:rsidRPr="002A4B19">
        <w:rPr>
          <w:rFonts w:eastAsiaTheme="minorEastAsia" w:cs="Times New Roman"/>
          <w:color w:val="auto"/>
          <w:lang w:eastAsia="ko-KR"/>
        </w:rPr>
        <w:t>Table 4 reveals that the aggregate labor demand grows the most (53.2% increase from 2010 to 2030) under the SCN2 scenario, where higher level of R&amp;D investments is made. The SCN2 case also reveals a significant rise in aggregate employment level, which increased by 14.4%, compared to the BAU level in 2030. On the other hand, the SCN1 scenario with decreasing R&amp;D intensity reveals the smallest increase of employment from 2010 to 2030 (26.9% increase from 2010 to 2030). Furthermore, we can see that the SCN1 scenario shows a lower employment level relative to the BAU scenario (-5.2%, compared to the BAU level in 2030).</w:t>
      </w:r>
      <w:r w:rsidRPr="002A4B19">
        <w:rPr>
          <w:rFonts w:cs="Times New Roman"/>
          <w:color w:val="auto"/>
        </w:rPr>
        <w:t xml:space="preserve"> These results imply that a higher level of innovation activities creates much more jobs by offsetting the effects of capital-biased technical change, which lowers the employment level in the economy. To investigate key mechanisms behind these results, additional analysis on changes of labor demand by skill type and by industry has been performed.</w:t>
      </w:r>
    </w:p>
    <w:p w:rsidR="00454632" w:rsidRPr="002A4B19" w:rsidRDefault="00454632" w:rsidP="00454632">
      <w:pPr>
        <w:pStyle w:val="Mdeck4text"/>
        <w:rPr>
          <w:rFonts w:eastAsiaTheme="minorEastAsia" w:cs="Times New Roman"/>
          <w:color w:val="auto"/>
          <w:lang w:eastAsia="ko-KR"/>
        </w:rPr>
      </w:pPr>
    </w:p>
    <w:p w:rsidR="00454632" w:rsidRPr="002A4B19" w:rsidRDefault="00454632" w:rsidP="00454632">
      <w:pPr>
        <w:pStyle w:val="a6"/>
        <w:keepNext/>
        <w:jc w:val="center"/>
        <w:rPr>
          <w:rFonts w:ascii="Times New Roman" w:hAnsi="Times New Roman" w:cs="Times New Roman"/>
          <w:b w:val="0"/>
          <w:sz w:val="24"/>
          <w:szCs w:val="22"/>
        </w:rPr>
      </w:pPr>
      <w:r w:rsidRPr="002A4B19">
        <w:rPr>
          <w:rFonts w:ascii="Times New Roman" w:hAnsi="Times New Roman" w:cs="Times New Roman"/>
          <w:b w:val="0"/>
          <w:sz w:val="24"/>
          <w:szCs w:val="22"/>
        </w:rPr>
        <w:lastRenderedPageBreak/>
        <w:t xml:space="preserve">Table </w:t>
      </w:r>
      <w:r w:rsidRPr="002A4B19">
        <w:rPr>
          <w:rFonts w:ascii="Times New Roman" w:hAnsi="Times New Roman" w:cs="Times New Roman"/>
          <w:b w:val="0"/>
          <w:sz w:val="24"/>
          <w:szCs w:val="22"/>
        </w:rPr>
        <w:fldChar w:fldCharType="begin"/>
      </w:r>
      <w:r w:rsidRPr="002A4B19">
        <w:rPr>
          <w:rFonts w:ascii="Times New Roman" w:hAnsi="Times New Roman" w:cs="Times New Roman"/>
          <w:b w:val="0"/>
          <w:sz w:val="24"/>
          <w:szCs w:val="22"/>
        </w:rPr>
        <w:instrText xml:space="preserve"> SEQ Table \* ARABIC </w:instrText>
      </w:r>
      <w:r w:rsidRPr="002A4B19">
        <w:rPr>
          <w:rFonts w:ascii="Times New Roman" w:hAnsi="Times New Roman" w:cs="Times New Roman"/>
          <w:b w:val="0"/>
          <w:sz w:val="24"/>
          <w:szCs w:val="22"/>
        </w:rPr>
        <w:fldChar w:fldCharType="separate"/>
      </w:r>
      <w:r w:rsidRPr="002A4B19">
        <w:rPr>
          <w:rFonts w:ascii="Times New Roman" w:hAnsi="Times New Roman" w:cs="Times New Roman"/>
          <w:b w:val="0"/>
          <w:sz w:val="24"/>
          <w:szCs w:val="22"/>
        </w:rPr>
        <w:t>4</w:t>
      </w:r>
      <w:r w:rsidRPr="002A4B19">
        <w:rPr>
          <w:rFonts w:ascii="Times New Roman" w:hAnsi="Times New Roman" w:cs="Times New Roman"/>
          <w:b w:val="0"/>
          <w:sz w:val="24"/>
          <w:szCs w:val="22"/>
        </w:rPr>
        <w:fldChar w:fldCharType="end"/>
      </w:r>
      <w:r w:rsidRPr="002A4B19">
        <w:rPr>
          <w:rFonts w:ascii="Times New Roman" w:hAnsi="Times New Roman" w:cs="Times New Roman"/>
          <w:b w:val="0"/>
          <w:sz w:val="24"/>
          <w:szCs w:val="22"/>
        </w:rPr>
        <w:t xml:space="preserve">. Changes of the aggregate labor demand </w:t>
      </w:r>
      <w:r w:rsidRPr="002A4B19">
        <w:rPr>
          <w:rFonts w:ascii="Times New Roman" w:hAnsi="Times New Roman" w:cs="Times New Roman"/>
          <w:b w:val="0"/>
          <w:sz w:val="24"/>
        </w:rPr>
        <w:t>under different scenarios</w:t>
      </w:r>
    </w:p>
    <w:tbl>
      <w:tblPr>
        <w:tblW w:w="7925" w:type="dxa"/>
        <w:jc w:val="center"/>
        <w:tblLayout w:type="fixed"/>
        <w:tblCellMar>
          <w:left w:w="99" w:type="dxa"/>
          <w:right w:w="99" w:type="dxa"/>
        </w:tblCellMar>
        <w:tblLook w:val="04A0" w:firstRow="1" w:lastRow="0" w:firstColumn="1" w:lastColumn="0" w:noHBand="0" w:noVBand="1"/>
      </w:tblPr>
      <w:tblGrid>
        <w:gridCol w:w="3656"/>
        <w:gridCol w:w="1423"/>
        <w:gridCol w:w="1423"/>
        <w:gridCol w:w="1423"/>
      </w:tblGrid>
      <w:tr w:rsidR="002A4B19" w:rsidRPr="002A4B19" w:rsidTr="00FA22B7">
        <w:trPr>
          <w:trHeight w:val="65"/>
          <w:jc w:val="center"/>
        </w:trPr>
        <w:tc>
          <w:tcPr>
            <w:tcW w:w="3656" w:type="dxa"/>
            <w:tcBorders>
              <w:top w:val="single" w:sz="18" w:space="0" w:color="auto"/>
              <w:left w:val="nil"/>
              <w:right w:val="nil"/>
            </w:tcBorders>
            <w:noWrap/>
            <w:vAlign w:val="center"/>
            <w:hideMark/>
          </w:tcPr>
          <w:p w:rsidR="00454632" w:rsidRPr="002A4B19" w:rsidRDefault="00454632" w:rsidP="00FA22B7">
            <w:pPr>
              <w:rPr>
                <w:rFonts w:ascii="Times New Roman" w:hAnsi="Times New Roman" w:cs="Times New Roman"/>
                <w:b/>
                <w:sz w:val="24"/>
              </w:rPr>
            </w:pPr>
          </w:p>
        </w:tc>
        <w:tc>
          <w:tcPr>
            <w:tcW w:w="1423" w:type="dxa"/>
            <w:tcBorders>
              <w:top w:val="single" w:sz="18" w:space="0" w:color="auto"/>
              <w:left w:val="nil"/>
              <w:right w:val="nil"/>
            </w:tcBorders>
            <w:noWrap/>
            <w:vAlign w:val="center"/>
            <w:hideMark/>
          </w:tcPr>
          <w:p w:rsidR="00454632" w:rsidRPr="002A4B19" w:rsidRDefault="00454632" w:rsidP="00FA22B7">
            <w:pPr>
              <w:pStyle w:val="Mdeck4text"/>
              <w:ind w:firstLine="0"/>
              <w:jc w:val="center"/>
              <w:rPr>
                <w:rFonts w:eastAsiaTheme="minorEastAsia" w:cs="Times New Roman"/>
                <w:b/>
                <w:color w:val="auto"/>
                <w:kern w:val="2"/>
                <w:szCs w:val="22"/>
                <w:lang w:eastAsia="ko-KR"/>
              </w:rPr>
            </w:pPr>
            <w:r w:rsidRPr="002A4B19">
              <w:rPr>
                <w:rFonts w:eastAsiaTheme="minorEastAsia" w:cs="Times New Roman"/>
                <w:b/>
                <w:color w:val="auto"/>
                <w:kern w:val="2"/>
                <w:szCs w:val="22"/>
                <w:lang w:eastAsia="ko-KR"/>
              </w:rPr>
              <w:t>BAU</w:t>
            </w:r>
          </w:p>
        </w:tc>
        <w:tc>
          <w:tcPr>
            <w:tcW w:w="1423" w:type="dxa"/>
            <w:tcBorders>
              <w:top w:val="single" w:sz="18" w:space="0" w:color="auto"/>
              <w:left w:val="nil"/>
              <w:right w:val="nil"/>
            </w:tcBorders>
            <w:vAlign w:val="center"/>
            <w:hideMark/>
          </w:tcPr>
          <w:p w:rsidR="00454632" w:rsidRPr="002A4B19" w:rsidRDefault="00454632" w:rsidP="00FA22B7">
            <w:pPr>
              <w:pStyle w:val="Mdeck4text"/>
              <w:ind w:firstLine="0"/>
              <w:jc w:val="center"/>
              <w:rPr>
                <w:rFonts w:eastAsiaTheme="minorEastAsia" w:cs="Times New Roman"/>
                <w:b/>
                <w:color w:val="auto"/>
                <w:kern w:val="2"/>
                <w:szCs w:val="22"/>
                <w:lang w:eastAsia="ko-KR"/>
              </w:rPr>
            </w:pPr>
            <w:r w:rsidRPr="002A4B19">
              <w:rPr>
                <w:rFonts w:eastAsiaTheme="minorEastAsia" w:cs="Times New Roman"/>
                <w:b/>
                <w:color w:val="auto"/>
                <w:kern w:val="2"/>
                <w:szCs w:val="22"/>
                <w:lang w:eastAsia="ko-KR"/>
              </w:rPr>
              <w:t>SCN1</w:t>
            </w:r>
          </w:p>
        </w:tc>
        <w:tc>
          <w:tcPr>
            <w:tcW w:w="1423" w:type="dxa"/>
            <w:tcBorders>
              <w:top w:val="single" w:sz="18" w:space="0" w:color="auto"/>
              <w:left w:val="nil"/>
              <w:right w:val="nil"/>
            </w:tcBorders>
            <w:noWrap/>
            <w:vAlign w:val="center"/>
            <w:hideMark/>
          </w:tcPr>
          <w:p w:rsidR="00454632" w:rsidRPr="002A4B19" w:rsidRDefault="00454632" w:rsidP="00FA22B7">
            <w:pPr>
              <w:pStyle w:val="Mdeck4text"/>
              <w:ind w:firstLine="0"/>
              <w:jc w:val="center"/>
              <w:rPr>
                <w:rFonts w:eastAsiaTheme="minorEastAsia" w:cs="Times New Roman"/>
                <w:b/>
                <w:color w:val="auto"/>
                <w:kern w:val="2"/>
                <w:szCs w:val="22"/>
                <w:lang w:eastAsia="ko-KR"/>
              </w:rPr>
            </w:pPr>
            <w:r w:rsidRPr="002A4B19">
              <w:rPr>
                <w:rFonts w:eastAsiaTheme="minorEastAsia" w:cs="Times New Roman"/>
                <w:b/>
                <w:color w:val="auto"/>
                <w:kern w:val="2"/>
                <w:szCs w:val="22"/>
                <w:lang w:eastAsia="ko-KR"/>
              </w:rPr>
              <w:t>SCN2</w:t>
            </w:r>
          </w:p>
        </w:tc>
      </w:tr>
      <w:tr w:rsidR="002A4B19" w:rsidRPr="002A4B19" w:rsidTr="00FA22B7">
        <w:trPr>
          <w:trHeight w:val="665"/>
          <w:jc w:val="center"/>
        </w:trPr>
        <w:tc>
          <w:tcPr>
            <w:tcW w:w="3656" w:type="dxa"/>
            <w:tcBorders>
              <w:left w:val="nil"/>
              <w:right w:val="nil"/>
            </w:tcBorders>
            <w:noWrap/>
            <w:vAlign w:val="center"/>
            <w:hideMark/>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Total labor demand change (%)</w:t>
            </w:r>
            <w:r w:rsidRPr="002A4B19">
              <w:rPr>
                <w:rFonts w:ascii="Times New Roman" w:eastAsia="HY신명조" w:hAnsi="Times New Roman" w:cs="Times New Roman"/>
                <w:kern w:val="0"/>
                <w:sz w:val="24"/>
              </w:rPr>
              <w:br/>
            </w:r>
            <w:r w:rsidRPr="002A4B19">
              <w:rPr>
                <w:rFonts w:ascii="Times New Roman" w:eastAsia="HY신명조" w:hAnsi="Times New Roman" w:cs="Times New Roman"/>
                <w:kern w:val="0"/>
                <w:sz w:val="22"/>
              </w:rPr>
              <w:t>(between 2010 and 2030)</w:t>
            </w:r>
          </w:p>
        </w:tc>
        <w:tc>
          <w:tcPr>
            <w:tcW w:w="1423" w:type="dxa"/>
            <w:tcBorders>
              <w:left w:val="nil"/>
              <w:right w:val="nil"/>
            </w:tcBorders>
            <w:noWrap/>
            <w:vAlign w:val="center"/>
            <w:hideMark/>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33.9</w:t>
            </w:r>
          </w:p>
        </w:tc>
        <w:tc>
          <w:tcPr>
            <w:tcW w:w="1423" w:type="dxa"/>
            <w:tcBorders>
              <w:left w:val="nil"/>
              <w:right w:val="nil"/>
            </w:tcBorders>
            <w:vAlign w:val="center"/>
            <w:hideMark/>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26.9</w:t>
            </w:r>
          </w:p>
        </w:tc>
        <w:tc>
          <w:tcPr>
            <w:tcW w:w="1423" w:type="dxa"/>
            <w:tcBorders>
              <w:left w:val="nil"/>
              <w:right w:val="nil"/>
            </w:tcBorders>
            <w:noWrap/>
            <w:vAlign w:val="center"/>
            <w:hideMark/>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53.2</w:t>
            </w:r>
          </w:p>
        </w:tc>
      </w:tr>
      <w:tr w:rsidR="00454632" w:rsidRPr="002A4B19" w:rsidTr="00FA22B7">
        <w:trPr>
          <w:trHeight w:val="640"/>
          <w:jc w:val="center"/>
        </w:trPr>
        <w:tc>
          <w:tcPr>
            <w:tcW w:w="3656" w:type="dxa"/>
            <w:tcBorders>
              <w:left w:val="nil"/>
              <w:bottom w:val="single" w:sz="18" w:space="0" w:color="auto"/>
              <w:right w:val="nil"/>
            </w:tcBorders>
            <w:noWrap/>
            <w:vAlign w:val="center"/>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Total labor demand in 2030</w:t>
            </w:r>
          </w:p>
          <w:p w:rsidR="00454632" w:rsidRPr="002A4B19" w:rsidRDefault="00454632" w:rsidP="00FA22B7">
            <w:pPr>
              <w:widowControl/>
              <w:wordWrap/>
              <w:autoSpaceDE/>
              <w:spacing w:after="0" w:line="276" w:lineRule="auto"/>
              <w:jc w:val="center"/>
              <w:rPr>
                <w:rFonts w:ascii="Times New Roman" w:eastAsia="HY신명조" w:hAnsi="Times New Roman" w:cs="Times New Roman"/>
                <w:b/>
                <w:kern w:val="0"/>
                <w:sz w:val="24"/>
              </w:rPr>
            </w:pPr>
            <w:r w:rsidRPr="002A4B19">
              <w:rPr>
                <w:rFonts w:ascii="Times New Roman" w:eastAsia="HY신명조" w:hAnsi="Times New Roman" w:cs="Times New Roman"/>
                <w:kern w:val="0"/>
                <w:sz w:val="22"/>
              </w:rPr>
              <w:t>(% change relative to the BAU)</w:t>
            </w:r>
          </w:p>
        </w:tc>
        <w:tc>
          <w:tcPr>
            <w:tcW w:w="1423" w:type="dxa"/>
            <w:tcBorders>
              <w:left w:val="nil"/>
              <w:bottom w:val="single" w:sz="18" w:space="0" w:color="auto"/>
              <w:right w:val="nil"/>
            </w:tcBorders>
            <w:noWrap/>
            <w:vAlign w:val="center"/>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w:t>
            </w:r>
          </w:p>
        </w:tc>
        <w:tc>
          <w:tcPr>
            <w:tcW w:w="1423" w:type="dxa"/>
            <w:tcBorders>
              <w:left w:val="nil"/>
              <w:bottom w:val="single" w:sz="18" w:space="0" w:color="auto"/>
              <w:right w:val="nil"/>
            </w:tcBorders>
            <w:vAlign w:val="center"/>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-5.2</w:t>
            </w:r>
          </w:p>
        </w:tc>
        <w:tc>
          <w:tcPr>
            <w:tcW w:w="1423" w:type="dxa"/>
            <w:tcBorders>
              <w:left w:val="nil"/>
              <w:bottom w:val="single" w:sz="18" w:space="0" w:color="auto"/>
              <w:right w:val="nil"/>
            </w:tcBorders>
            <w:noWrap/>
            <w:vAlign w:val="center"/>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14.4</w:t>
            </w:r>
          </w:p>
        </w:tc>
      </w:tr>
    </w:tbl>
    <w:p w:rsidR="00454632" w:rsidRPr="002A4B19" w:rsidRDefault="00454632" w:rsidP="00454632">
      <w:pPr>
        <w:pStyle w:val="Mdeck4text"/>
        <w:rPr>
          <w:rFonts w:eastAsiaTheme="minorEastAsia" w:cs="Times New Roman"/>
          <w:color w:val="auto"/>
          <w:lang w:eastAsia="ko-KR"/>
        </w:rPr>
      </w:pPr>
    </w:p>
    <w:p w:rsidR="00454632" w:rsidRPr="002A4B19" w:rsidRDefault="00454632" w:rsidP="00454632">
      <w:pPr>
        <w:pStyle w:val="Mdeck4heading2"/>
        <w:spacing w:before="0"/>
        <w:ind w:firstLineChars="100" w:firstLine="236"/>
        <w:rPr>
          <w:rFonts w:cs="Times New Roman"/>
          <w:b/>
          <w:i w:val="0"/>
          <w:color w:val="auto"/>
        </w:rPr>
      </w:pPr>
      <w:r w:rsidRPr="002A4B19">
        <w:rPr>
          <w:rFonts w:cs="Times New Roman"/>
          <w:b/>
          <w:i w:val="0"/>
          <w:color w:val="auto"/>
        </w:rPr>
        <w:t>5.1.2 Changes of labor demand by skill type</w:t>
      </w:r>
    </w:p>
    <w:p w:rsidR="00454632" w:rsidRPr="002A4B19" w:rsidRDefault="00454632" w:rsidP="00454632">
      <w:pPr>
        <w:pStyle w:val="Mdeck4text"/>
        <w:rPr>
          <w:rFonts w:eastAsiaTheme="minorEastAsia" w:cs="Times New Roman"/>
          <w:color w:val="auto"/>
          <w:lang w:eastAsia="ko-KR"/>
        </w:rPr>
      </w:pPr>
      <w:r w:rsidRPr="002A4B19">
        <w:rPr>
          <w:rFonts w:eastAsiaTheme="minorEastAsia" w:cs="Times New Roman"/>
          <w:color w:val="auto"/>
          <w:lang w:eastAsia="ko-KR"/>
        </w:rPr>
        <w:t>Figure 4 depicts time series’ trends in changes of labor demand by skill type for SCN1 and SCN2, compared to the BAU scenario. Table 5 shows the growth rate of labor demand by skill type between 2010 and 2030 for each scenario. Table 5 suggests that, in all scenarios, demand for high-skilled labor increases more rapidly than for other types of labor. The SCN2 scenario shows greater increases in the demand for high-skilled labor, with the highest growth rate of 121.3%, from 2010 to 2030, compared to other scenarios. The SCN2 scenario also shows a significant rise in demand for all kinds of labor (unskilled labor: 42.6%, skilled labor: 44.9% growth from 2010 to 2030). On the other hand, as shown in Table 5, the SCN1 shows the lowest growth rate of labor demand by skill type (between 2010 and 2030) among all scenarios (unskilled labor: 21.9%, skilled labor: 22.5%, high-skilled labor: 61.7%). Similarly, when considering changes of the labor demand by skill type, relative to the BAU level (Figure 4), the SCN2 scenario, with increasing R&amp;D intensity, shows greater levels in all types of labor, compared to the BAU case. We can also see that demand for high-skilled labor is more sensitive to changes in R&amp;D intensity than for other types of labor. As shown in Figure 4(c), the labor demand for high-skilled labor of the SCN2 in 2030 increases by 26.5%, compared to the BAU level, while that of the SCN1 decreases by 7.6% from the BAU scenario. Those variations are greater than is the case with other types of workers, as shown in Figure, 4(a) and 4(b). Higher sensitivity of high-skilled labor to variations in R&amp;D intensity implies a strong link between the level of R&amp;D investment and the degree of skill bias in technical change, suggesting the presence of SBTC arising from technological innovations. Moreover, we can understand that a higher level of innovation favors high-skilled workers much more, and stimulates a higher degree of skill bias in technical change. Accordingly, it can be inferred that a higher level of innovation could accelerate the skill bias in technical change.</w:t>
      </w:r>
    </w:p>
    <w:p w:rsidR="00454632" w:rsidRPr="002A4B19" w:rsidRDefault="00454632" w:rsidP="00454632">
      <w:pPr>
        <w:pStyle w:val="Mdeck4text"/>
        <w:rPr>
          <w:rFonts w:cs="Times New Roman"/>
          <w:color w:val="auto"/>
        </w:rPr>
      </w:pPr>
    </w:p>
    <w:p w:rsidR="00454632" w:rsidRPr="002A4B19" w:rsidRDefault="00454632" w:rsidP="00454632">
      <w:pPr>
        <w:pStyle w:val="a6"/>
        <w:keepNext/>
        <w:jc w:val="center"/>
        <w:rPr>
          <w:rFonts w:ascii="Times New Roman" w:hAnsi="Times New Roman" w:cs="Times New Roman"/>
          <w:b w:val="0"/>
          <w:sz w:val="24"/>
          <w:szCs w:val="24"/>
        </w:rPr>
      </w:pPr>
      <w:r w:rsidRPr="002A4B19">
        <w:rPr>
          <w:rFonts w:ascii="Times New Roman" w:hAnsi="Times New Roman" w:cs="Times New Roman"/>
          <w:b w:val="0"/>
          <w:sz w:val="24"/>
          <w:szCs w:val="24"/>
        </w:rPr>
        <w:t xml:space="preserve">Table </w:t>
      </w:r>
      <w:r w:rsidRPr="002A4B19">
        <w:rPr>
          <w:rFonts w:ascii="Times New Roman" w:hAnsi="Times New Roman" w:cs="Times New Roman"/>
          <w:b w:val="0"/>
          <w:sz w:val="24"/>
          <w:szCs w:val="24"/>
        </w:rPr>
        <w:fldChar w:fldCharType="begin"/>
      </w:r>
      <w:r w:rsidRPr="002A4B19">
        <w:rPr>
          <w:rFonts w:ascii="Times New Roman" w:hAnsi="Times New Roman" w:cs="Times New Roman"/>
          <w:b w:val="0"/>
          <w:sz w:val="24"/>
          <w:szCs w:val="24"/>
        </w:rPr>
        <w:instrText xml:space="preserve"> SEQ Table \* ARABIC </w:instrText>
      </w:r>
      <w:r w:rsidRPr="002A4B19">
        <w:rPr>
          <w:rFonts w:ascii="Times New Roman" w:hAnsi="Times New Roman" w:cs="Times New Roman"/>
          <w:b w:val="0"/>
          <w:sz w:val="24"/>
          <w:szCs w:val="24"/>
        </w:rPr>
        <w:fldChar w:fldCharType="separate"/>
      </w:r>
      <w:r w:rsidRPr="002A4B19">
        <w:rPr>
          <w:rFonts w:ascii="Times New Roman" w:hAnsi="Times New Roman" w:cs="Times New Roman"/>
          <w:b w:val="0"/>
          <w:sz w:val="24"/>
          <w:szCs w:val="24"/>
        </w:rPr>
        <w:t>5</w:t>
      </w:r>
      <w:r w:rsidRPr="002A4B19">
        <w:rPr>
          <w:rFonts w:ascii="Times New Roman" w:hAnsi="Times New Roman" w:cs="Times New Roman"/>
          <w:b w:val="0"/>
          <w:sz w:val="24"/>
          <w:szCs w:val="24"/>
        </w:rPr>
        <w:fldChar w:fldCharType="end"/>
      </w:r>
      <w:r w:rsidRPr="002A4B19">
        <w:rPr>
          <w:rFonts w:ascii="Times New Roman" w:hAnsi="Times New Roman" w:cs="Times New Roman"/>
          <w:b w:val="0"/>
          <w:sz w:val="24"/>
          <w:szCs w:val="24"/>
        </w:rPr>
        <w:t xml:space="preserve">. </w:t>
      </w:r>
      <w:r w:rsidRPr="002A4B19">
        <w:rPr>
          <w:rFonts w:ascii="Times New Roman" w:hAnsi="Times New Roman" w:cs="Times New Roman"/>
          <w:b w:val="0"/>
          <w:sz w:val="24"/>
          <w:szCs w:val="22"/>
        </w:rPr>
        <w:t xml:space="preserve">Growth rates of </w:t>
      </w:r>
      <w:r w:rsidRPr="002A4B19">
        <w:rPr>
          <w:rFonts w:ascii="Times New Roman" w:hAnsi="Times New Roman" w:cs="Times New Roman"/>
          <w:b w:val="0"/>
          <w:sz w:val="24"/>
          <w:szCs w:val="24"/>
        </w:rPr>
        <w:t>labor demand by skill type from 2010 to 2030 (unit: %)</w:t>
      </w:r>
    </w:p>
    <w:tbl>
      <w:tblPr>
        <w:tblW w:w="7944" w:type="dxa"/>
        <w:jc w:val="center"/>
        <w:tblLayout w:type="fixed"/>
        <w:tblCellMar>
          <w:left w:w="99" w:type="dxa"/>
          <w:right w:w="99" w:type="dxa"/>
        </w:tblCellMar>
        <w:tblLook w:val="04A0" w:firstRow="1" w:lastRow="0" w:firstColumn="1" w:lastColumn="0" w:noHBand="0" w:noVBand="1"/>
      </w:tblPr>
      <w:tblGrid>
        <w:gridCol w:w="2450"/>
        <w:gridCol w:w="1831"/>
        <w:gridCol w:w="1831"/>
        <w:gridCol w:w="1832"/>
      </w:tblGrid>
      <w:tr w:rsidR="002A4B19" w:rsidRPr="002A4B19" w:rsidTr="00FA22B7">
        <w:trPr>
          <w:trHeight w:val="294"/>
          <w:jc w:val="center"/>
        </w:trPr>
        <w:tc>
          <w:tcPr>
            <w:tcW w:w="2450" w:type="dxa"/>
            <w:tcBorders>
              <w:top w:val="single" w:sz="18" w:space="0" w:color="auto"/>
              <w:left w:val="nil"/>
              <w:right w:val="nil"/>
            </w:tcBorders>
            <w:noWrap/>
            <w:vAlign w:val="bottom"/>
            <w:hideMark/>
          </w:tcPr>
          <w:p w:rsidR="00454632" w:rsidRPr="002A4B19" w:rsidRDefault="00454632" w:rsidP="00FA22B7">
            <w:pPr>
              <w:pStyle w:val="Mdeck4text"/>
              <w:spacing w:line="276" w:lineRule="auto"/>
              <w:jc w:val="center"/>
              <w:rPr>
                <w:rFonts w:cs="Times New Roman"/>
                <w:b/>
                <w:color w:val="auto"/>
                <w:szCs w:val="24"/>
              </w:rPr>
            </w:pPr>
            <w:r w:rsidRPr="002A4B19">
              <w:rPr>
                <w:rFonts w:eastAsia="HY신명조" w:cs="Times New Roman"/>
                <w:b/>
                <w:color w:val="auto"/>
                <w:kern w:val="2"/>
                <w:szCs w:val="22"/>
                <w:lang w:eastAsia="ko-KR" w:bidi="ar-SA"/>
              </w:rPr>
              <w:t>Skill type</w:t>
            </w:r>
          </w:p>
        </w:tc>
        <w:tc>
          <w:tcPr>
            <w:tcW w:w="1831" w:type="dxa"/>
            <w:tcBorders>
              <w:top w:val="single" w:sz="18" w:space="0" w:color="auto"/>
              <w:left w:val="nil"/>
              <w:right w:val="nil"/>
            </w:tcBorders>
            <w:vAlign w:val="center"/>
          </w:tcPr>
          <w:p w:rsidR="00454632" w:rsidRPr="002A4B19" w:rsidRDefault="00454632" w:rsidP="00FA22B7">
            <w:pPr>
              <w:pStyle w:val="Mdeck4text"/>
              <w:spacing w:line="276" w:lineRule="auto"/>
              <w:ind w:firstLine="0"/>
              <w:jc w:val="center"/>
              <w:rPr>
                <w:rFonts w:eastAsia="HY신명조" w:cs="Times New Roman"/>
                <w:b/>
                <w:color w:val="auto"/>
                <w:kern w:val="2"/>
                <w:szCs w:val="22"/>
                <w:lang w:eastAsia="ko-KR" w:bidi="ar-SA"/>
              </w:rPr>
            </w:pPr>
            <w:r w:rsidRPr="002A4B19">
              <w:rPr>
                <w:rFonts w:eastAsia="HY신명조" w:cs="Times New Roman"/>
                <w:b/>
                <w:color w:val="auto"/>
                <w:kern w:val="2"/>
                <w:szCs w:val="22"/>
                <w:lang w:eastAsia="ko-KR" w:bidi="ar-SA"/>
              </w:rPr>
              <w:t>BAU</w:t>
            </w:r>
          </w:p>
        </w:tc>
        <w:tc>
          <w:tcPr>
            <w:tcW w:w="1831" w:type="dxa"/>
            <w:tcBorders>
              <w:top w:val="single" w:sz="18" w:space="0" w:color="auto"/>
              <w:left w:val="nil"/>
              <w:right w:val="nil"/>
            </w:tcBorders>
            <w:noWrap/>
            <w:vAlign w:val="center"/>
            <w:hideMark/>
          </w:tcPr>
          <w:p w:rsidR="00454632" w:rsidRPr="002A4B19" w:rsidRDefault="00454632" w:rsidP="00FA22B7">
            <w:pPr>
              <w:pStyle w:val="Mdeck4text"/>
              <w:spacing w:line="276" w:lineRule="auto"/>
              <w:ind w:firstLine="0"/>
              <w:jc w:val="center"/>
              <w:rPr>
                <w:rFonts w:eastAsia="HY신명조" w:cs="Times New Roman"/>
                <w:b/>
                <w:color w:val="auto"/>
                <w:kern w:val="2"/>
                <w:szCs w:val="22"/>
                <w:lang w:eastAsia="ko-KR" w:bidi="ar-SA"/>
              </w:rPr>
            </w:pPr>
            <w:r w:rsidRPr="002A4B19">
              <w:rPr>
                <w:rFonts w:eastAsia="HY신명조" w:cs="Times New Roman"/>
                <w:b/>
                <w:color w:val="auto"/>
                <w:kern w:val="2"/>
                <w:szCs w:val="22"/>
                <w:lang w:eastAsia="ko-KR" w:bidi="ar-SA"/>
              </w:rPr>
              <w:t>SCN1</w:t>
            </w:r>
          </w:p>
        </w:tc>
        <w:tc>
          <w:tcPr>
            <w:tcW w:w="1832" w:type="dxa"/>
            <w:tcBorders>
              <w:top w:val="single" w:sz="18" w:space="0" w:color="auto"/>
              <w:left w:val="nil"/>
              <w:right w:val="nil"/>
            </w:tcBorders>
            <w:noWrap/>
            <w:vAlign w:val="center"/>
            <w:hideMark/>
          </w:tcPr>
          <w:p w:rsidR="00454632" w:rsidRPr="002A4B19" w:rsidRDefault="00454632" w:rsidP="00FA22B7">
            <w:pPr>
              <w:pStyle w:val="Mdeck4text"/>
              <w:spacing w:line="276" w:lineRule="auto"/>
              <w:jc w:val="center"/>
              <w:rPr>
                <w:rFonts w:eastAsia="HY신명조" w:cs="Times New Roman"/>
                <w:b/>
                <w:color w:val="auto"/>
                <w:kern w:val="2"/>
                <w:szCs w:val="22"/>
                <w:lang w:eastAsia="ko-KR" w:bidi="ar-SA"/>
              </w:rPr>
            </w:pPr>
            <w:r w:rsidRPr="002A4B19">
              <w:rPr>
                <w:rFonts w:eastAsia="HY신명조" w:cs="Times New Roman"/>
                <w:b/>
                <w:color w:val="auto"/>
                <w:kern w:val="2"/>
                <w:szCs w:val="22"/>
                <w:lang w:eastAsia="ko-KR" w:bidi="ar-SA"/>
              </w:rPr>
              <w:t>SCN2</w:t>
            </w:r>
          </w:p>
        </w:tc>
      </w:tr>
      <w:tr w:rsidR="002A4B19" w:rsidRPr="002A4B19" w:rsidTr="00FA22B7">
        <w:trPr>
          <w:trHeight w:val="243"/>
          <w:jc w:val="center"/>
        </w:trPr>
        <w:tc>
          <w:tcPr>
            <w:tcW w:w="2450" w:type="dxa"/>
            <w:tcBorders>
              <w:left w:val="nil"/>
              <w:bottom w:val="nil"/>
              <w:right w:val="nil"/>
            </w:tcBorders>
            <w:noWrap/>
            <w:vAlign w:val="center"/>
            <w:hideMark/>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Unskilled labor</w:t>
            </w:r>
          </w:p>
        </w:tc>
        <w:tc>
          <w:tcPr>
            <w:tcW w:w="1831" w:type="dxa"/>
            <w:tcBorders>
              <w:left w:val="nil"/>
              <w:bottom w:val="nil"/>
              <w:right w:val="nil"/>
            </w:tcBorders>
            <w:vAlign w:val="center"/>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28.0</w:t>
            </w:r>
          </w:p>
        </w:tc>
        <w:tc>
          <w:tcPr>
            <w:tcW w:w="1831" w:type="dxa"/>
            <w:tcBorders>
              <w:left w:val="nil"/>
              <w:bottom w:val="nil"/>
              <w:right w:val="nil"/>
            </w:tcBorders>
            <w:noWrap/>
            <w:vAlign w:val="center"/>
            <w:hideMark/>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21.9</w:t>
            </w:r>
          </w:p>
        </w:tc>
        <w:tc>
          <w:tcPr>
            <w:tcW w:w="1832" w:type="dxa"/>
            <w:tcBorders>
              <w:left w:val="nil"/>
              <w:bottom w:val="nil"/>
              <w:right w:val="nil"/>
            </w:tcBorders>
            <w:noWrap/>
            <w:vAlign w:val="center"/>
            <w:hideMark/>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42.6</w:t>
            </w:r>
          </w:p>
        </w:tc>
      </w:tr>
      <w:tr w:rsidR="002A4B19" w:rsidRPr="002A4B19" w:rsidTr="00FA22B7">
        <w:trPr>
          <w:trHeight w:val="260"/>
          <w:jc w:val="center"/>
        </w:trPr>
        <w:tc>
          <w:tcPr>
            <w:tcW w:w="2450" w:type="dxa"/>
            <w:noWrap/>
            <w:vAlign w:val="center"/>
            <w:hideMark/>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Skilled labor</w:t>
            </w:r>
          </w:p>
        </w:tc>
        <w:tc>
          <w:tcPr>
            <w:tcW w:w="1831" w:type="dxa"/>
            <w:vAlign w:val="center"/>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28.6</w:t>
            </w:r>
          </w:p>
        </w:tc>
        <w:tc>
          <w:tcPr>
            <w:tcW w:w="1831" w:type="dxa"/>
            <w:noWrap/>
            <w:vAlign w:val="center"/>
            <w:hideMark/>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22.5</w:t>
            </w:r>
          </w:p>
        </w:tc>
        <w:tc>
          <w:tcPr>
            <w:tcW w:w="1832" w:type="dxa"/>
            <w:noWrap/>
            <w:vAlign w:val="center"/>
            <w:hideMark/>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44.9</w:t>
            </w:r>
          </w:p>
        </w:tc>
      </w:tr>
      <w:tr w:rsidR="00454632" w:rsidRPr="002A4B19" w:rsidTr="00FA22B7">
        <w:trPr>
          <w:trHeight w:val="188"/>
          <w:jc w:val="center"/>
        </w:trPr>
        <w:tc>
          <w:tcPr>
            <w:tcW w:w="2450" w:type="dxa"/>
            <w:tcBorders>
              <w:top w:val="nil"/>
              <w:left w:val="nil"/>
              <w:bottom w:val="single" w:sz="18" w:space="0" w:color="auto"/>
              <w:right w:val="nil"/>
            </w:tcBorders>
            <w:noWrap/>
            <w:vAlign w:val="center"/>
            <w:hideMark/>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High-skilled labor</w:t>
            </w:r>
          </w:p>
        </w:tc>
        <w:tc>
          <w:tcPr>
            <w:tcW w:w="1831" w:type="dxa"/>
            <w:tcBorders>
              <w:top w:val="nil"/>
              <w:left w:val="nil"/>
              <w:bottom w:val="single" w:sz="18" w:space="0" w:color="auto"/>
              <w:right w:val="nil"/>
            </w:tcBorders>
            <w:vAlign w:val="center"/>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75.0</w:t>
            </w:r>
          </w:p>
        </w:tc>
        <w:tc>
          <w:tcPr>
            <w:tcW w:w="1831" w:type="dxa"/>
            <w:tcBorders>
              <w:top w:val="nil"/>
              <w:left w:val="nil"/>
              <w:bottom w:val="single" w:sz="18" w:space="0" w:color="auto"/>
              <w:right w:val="nil"/>
            </w:tcBorders>
            <w:noWrap/>
            <w:vAlign w:val="center"/>
            <w:hideMark/>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61.7</w:t>
            </w:r>
          </w:p>
        </w:tc>
        <w:tc>
          <w:tcPr>
            <w:tcW w:w="1832" w:type="dxa"/>
            <w:tcBorders>
              <w:top w:val="nil"/>
              <w:left w:val="nil"/>
              <w:bottom w:val="single" w:sz="18" w:space="0" w:color="auto"/>
              <w:right w:val="nil"/>
            </w:tcBorders>
            <w:noWrap/>
            <w:vAlign w:val="center"/>
            <w:hideMark/>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121.3</w:t>
            </w:r>
          </w:p>
        </w:tc>
      </w:tr>
    </w:tbl>
    <w:p w:rsidR="00454632" w:rsidRPr="002A4B19" w:rsidRDefault="00454632" w:rsidP="00454632">
      <w:pPr>
        <w:pStyle w:val="Mdeck4text"/>
        <w:rPr>
          <w:rFonts w:cs="Times New Roman"/>
          <w:color w:val="auto"/>
        </w:rPr>
      </w:pPr>
    </w:p>
    <w:p w:rsidR="009D4D11" w:rsidRPr="002A4B19" w:rsidRDefault="00454632" w:rsidP="009D4D11">
      <w:pPr>
        <w:pStyle w:val="Mdeck4text"/>
        <w:tabs>
          <w:tab w:val="left" w:pos="1350"/>
          <w:tab w:val="left" w:pos="1950"/>
        </w:tabs>
        <w:ind w:firstLine="0"/>
        <w:jc w:val="center"/>
        <w:rPr>
          <w:rFonts w:eastAsiaTheme="minorEastAsia" w:cs="Times New Roman"/>
          <w:color w:val="auto"/>
          <w:sz w:val="10"/>
          <w:szCs w:val="10"/>
          <w:lang w:eastAsia="ko-KR"/>
        </w:rPr>
      </w:pPr>
      <w:r w:rsidRPr="002A4B19">
        <w:rPr>
          <w:noProof/>
          <w:color w:val="auto"/>
          <w:lang w:eastAsia="ko-KR" w:bidi="ar-SA"/>
        </w:rPr>
        <w:lastRenderedPageBreak/>
        <w:drawing>
          <wp:inline distT="0" distB="0" distL="0" distR="0" wp14:anchorId="18E1CFDA" wp14:editId="29EFAB99">
            <wp:extent cx="4688840" cy="2254102"/>
            <wp:effectExtent l="0" t="0" r="16510" b="13335"/>
            <wp:docPr id="17" name="차트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D4D11" w:rsidRPr="002A4B19" w:rsidRDefault="00454632" w:rsidP="00454632">
      <w:pPr>
        <w:pStyle w:val="Mdeck4text"/>
        <w:tabs>
          <w:tab w:val="left" w:pos="1350"/>
          <w:tab w:val="left" w:pos="1950"/>
        </w:tabs>
        <w:ind w:firstLine="0"/>
        <w:jc w:val="center"/>
        <w:rPr>
          <w:rFonts w:eastAsiaTheme="minorEastAsia" w:cs="Times New Roman"/>
          <w:color w:val="auto"/>
          <w:sz w:val="10"/>
          <w:szCs w:val="10"/>
          <w:lang w:eastAsia="ko-KR"/>
        </w:rPr>
      </w:pPr>
      <w:r w:rsidRPr="002A4B19">
        <w:rPr>
          <w:rFonts w:eastAsiaTheme="minorEastAsia" w:cs="Times New Roman"/>
          <w:color w:val="auto"/>
          <w:sz w:val="10"/>
          <w:szCs w:val="10"/>
          <w:lang w:eastAsia="ko-KR"/>
        </w:rPr>
        <w:t xml:space="preserve"> </w:t>
      </w:r>
      <w:r w:rsidR="009D4D11" w:rsidRPr="002A4B19">
        <w:rPr>
          <w:rFonts w:eastAsiaTheme="minorEastAsia" w:cs="Times New Roman"/>
          <w:color w:val="auto"/>
          <w:szCs w:val="22"/>
          <w:lang w:eastAsia="ko-KR"/>
        </w:rPr>
        <w:t>(a) Unskilled Labor</w:t>
      </w:r>
    </w:p>
    <w:p w:rsidR="00454632" w:rsidRPr="002A4B19" w:rsidRDefault="00454632" w:rsidP="00454632">
      <w:pPr>
        <w:pStyle w:val="Mdeck4text"/>
        <w:tabs>
          <w:tab w:val="left" w:pos="1350"/>
          <w:tab w:val="left" w:pos="1950"/>
        </w:tabs>
        <w:ind w:firstLine="0"/>
        <w:jc w:val="center"/>
        <w:rPr>
          <w:rFonts w:cs="Times New Roman"/>
          <w:color w:val="auto"/>
          <w:sz w:val="10"/>
          <w:szCs w:val="10"/>
        </w:rPr>
      </w:pPr>
      <w:r w:rsidRPr="002A4B19">
        <w:rPr>
          <w:noProof/>
          <w:color w:val="auto"/>
          <w:lang w:eastAsia="ko-KR" w:bidi="ar-SA"/>
        </w:rPr>
        <w:drawing>
          <wp:inline distT="0" distB="0" distL="0" distR="0" wp14:anchorId="6A96D868" wp14:editId="37F90717">
            <wp:extent cx="4688959" cy="2253600"/>
            <wp:effectExtent l="0" t="0" r="16510" b="13970"/>
            <wp:docPr id="18" name="차트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54632" w:rsidRPr="002A4B19" w:rsidRDefault="00454632" w:rsidP="00454632">
      <w:pPr>
        <w:pStyle w:val="Mdeck4text"/>
        <w:ind w:firstLineChars="50" w:firstLine="120"/>
        <w:jc w:val="center"/>
        <w:rPr>
          <w:rFonts w:eastAsiaTheme="minorEastAsia" w:cs="Times New Roman"/>
          <w:color w:val="auto"/>
          <w:szCs w:val="22"/>
          <w:lang w:eastAsia="ko-KR"/>
        </w:rPr>
      </w:pPr>
      <w:r w:rsidRPr="002A4B19">
        <w:rPr>
          <w:rFonts w:eastAsiaTheme="minorEastAsia" w:cs="Times New Roman"/>
          <w:color w:val="auto"/>
          <w:szCs w:val="22"/>
          <w:lang w:eastAsia="ko-KR"/>
        </w:rPr>
        <w:t>(b) Skilled Labor</w:t>
      </w:r>
    </w:p>
    <w:p w:rsidR="00454632" w:rsidRPr="002A4B19" w:rsidRDefault="00454632" w:rsidP="009D4D11">
      <w:pPr>
        <w:pStyle w:val="Mdeck4text"/>
        <w:tabs>
          <w:tab w:val="left" w:pos="1350"/>
          <w:tab w:val="left" w:pos="1950"/>
        </w:tabs>
        <w:ind w:firstLine="0"/>
        <w:jc w:val="center"/>
        <w:rPr>
          <w:rFonts w:cs="Times New Roman"/>
          <w:color w:val="auto"/>
          <w:sz w:val="10"/>
          <w:szCs w:val="10"/>
        </w:rPr>
      </w:pPr>
      <w:r w:rsidRPr="002A4B19">
        <w:rPr>
          <w:noProof/>
          <w:color w:val="auto"/>
          <w:lang w:eastAsia="ko-KR" w:bidi="ar-SA"/>
        </w:rPr>
        <w:drawing>
          <wp:inline distT="0" distB="0" distL="0" distR="0" wp14:anchorId="6791DA1D" wp14:editId="616985CA">
            <wp:extent cx="4690800" cy="2268000"/>
            <wp:effectExtent l="0" t="0" r="14605" b="18415"/>
            <wp:docPr id="19" name="차트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54632" w:rsidRPr="002A4B19" w:rsidRDefault="00454632" w:rsidP="00454632">
      <w:pPr>
        <w:pStyle w:val="Mdeck4text"/>
        <w:keepNext/>
        <w:jc w:val="center"/>
        <w:rPr>
          <w:rFonts w:cs="Times New Roman"/>
          <w:color w:val="auto"/>
          <w:szCs w:val="22"/>
        </w:rPr>
      </w:pPr>
      <w:r w:rsidRPr="002A4B19">
        <w:rPr>
          <w:color w:val="auto"/>
        </w:rPr>
        <w:t xml:space="preserve"> </w:t>
      </w:r>
      <w:r w:rsidRPr="002A4B19">
        <w:rPr>
          <w:rFonts w:eastAsiaTheme="minorEastAsia" w:cs="Times New Roman"/>
          <w:color w:val="auto"/>
          <w:szCs w:val="22"/>
          <w:lang w:eastAsia="ko-KR"/>
        </w:rPr>
        <w:t>(c) High-skilled Labor</w:t>
      </w:r>
      <w:r w:rsidRPr="002A4B19">
        <w:rPr>
          <w:rFonts w:eastAsiaTheme="minorEastAsia" w:cs="Times New Roman"/>
          <w:color w:val="auto"/>
          <w:szCs w:val="22"/>
          <w:lang w:eastAsia="ko-KR"/>
        </w:rPr>
        <w:br/>
      </w:r>
      <w:r w:rsidRPr="002A4B19">
        <w:rPr>
          <w:rFonts w:cs="Times New Roman"/>
          <w:color w:val="auto"/>
          <w:szCs w:val="22"/>
        </w:rPr>
        <w:t xml:space="preserve">Figure </w:t>
      </w:r>
      <w:r w:rsidRPr="002A4B19">
        <w:rPr>
          <w:rFonts w:cs="Times New Roman"/>
          <w:color w:val="auto"/>
          <w:szCs w:val="22"/>
        </w:rPr>
        <w:fldChar w:fldCharType="begin"/>
      </w:r>
      <w:r w:rsidRPr="002A4B19">
        <w:rPr>
          <w:rFonts w:cs="Times New Roman"/>
          <w:color w:val="auto"/>
          <w:szCs w:val="22"/>
        </w:rPr>
        <w:instrText xml:space="preserve"> SEQ Figure \* ARABIC </w:instrText>
      </w:r>
      <w:r w:rsidRPr="002A4B19">
        <w:rPr>
          <w:rFonts w:cs="Times New Roman"/>
          <w:color w:val="auto"/>
          <w:szCs w:val="22"/>
        </w:rPr>
        <w:fldChar w:fldCharType="separate"/>
      </w:r>
      <w:r w:rsidRPr="002A4B19">
        <w:rPr>
          <w:rFonts w:cs="Times New Roman"/>
          <w:color w:val="auto"/>
          <w:szCs w:val="22"/>
        </w:rPr>
        <w:t>4</w:t>
      </w:r>
      <w:r w:rsidRPr="002A4B19">
        <w:rPr>
          <w:rFonts w:cs="Times New Roman"/>
          <w:color w:val="auto"/>
          <w:szCs w:val="22"/>
        </w:rPr>
        <w:fldChar w:fldCharType="end"/>
      </w:r>
      <w:r w:rsidRPr="002A4B19">
        <w:rPr>
          <w:rFonts w:cs="Times New Roman"/>
          <w:color w:val="auto"/>
          <w:szCs w:val="22"/>
        </w:rPr>
        <w:t>. Changes of labor demand by skill type (% change relative to the BAU)</w:t>
      </w:r>
    </w:p>
    <w:p w:rsidR="00454632" w:rsidRPr="002A4B19" w:rsidRDefault="00454632" w:rsidP="00454632">
      <w:pPr>
        <w:pStyle w:val="Mdeck4text"/>
        <w:rPr>
          <w:rFonts w:cs="Times New Roman"/>
          <w:color w:val="auto"/>
        </w:rPr>
      </w:pPr>
    </w:p>
    <w:p w:rsidR="00454632" w:rsidRPr="002A4B19" w:rsidRDefault="00454632" w:rsidP="00454632">
      <w:pPr>
        <w:pStyle w:val="Mdeck4text"/>
        <w:rPr>
          <w:rFonts w:cs="Times New Roman"/>
          <w:color w:val="auto"/>
        </w:rPr>
      </w:pPr>
      <w:r w:rsidRPr="002A4B19">
        <w:rPr>
          <w:rFonts w:cs="Times New Roman"/>
          <w:color w:val="auto"/>
        </w:rPr>
        <w:t xml:space="preserve">The rise in labor demand is linked to expansion of employment and a rise in workers’ wages. Differences in the demand of labor for particular skills cause wage differentials between workers with different skills. From the results on changes of labor demand by skill type, it is </w:t>
      </w:r>
      <w:r w:rsidRPr="002A4B19">
        <w:rPr>
          <w:rFonts w:cs="Times New Roman"/>
          <w:color w:val="auto"/>
        </w:rPr>
        <w:lastRenderedPageBreak/>
        <w:t>found that technological innovations disproportionately raise the demand for high-skilled labor over other types of labor, implying increases in the skill premium. Figure 5 illustrates changes of skill premium, which is defined as the ratio of the wages of either high-skilled to unskilled workers (Figure 5(b)) or skilled to unskilled workers (Figure 5(a)). It is found that, in the SCN2 scenario, the skill premium for high-skilled workers, measured by the wage ratio between high-skilled and unskilled labor, dramatically increases (17.74% from the BAU level in 2030). Furthermore, the result shows that skill premium for high-skilled workers, under the SCN2 case, steadily increases over time, as shown in Figure 5(b). On the other hand, the SCN1 scenario with a diminishing rate of R&amp;D intensity shows a decline in skill premium for high-skilled workers (-3.13% from the BAU level in 2030). Similar trends are found in the ratio of the wages of the skilled to unskilled labor, as depicted in Figure 5(a). However, changes of skill premium for skilled workers are not as remarkable as are those of skill premium for high-skilled workers. The results imply that a higher level of innovation further increases the skill premium for high-skilled labor, with higher demand for those workers.</w:t>
      </w:r>
    </w:p>
    <w:p w:rsidR="00454632" w:rsidRPr="002A4B19" w:rsidRDefault="00454632" w:rsidP="00454632">
      <w:pPr>
        <w:pStyle w:val="Mdeck4text"/>
        <w:rPr>
          <w:rFonts w:cs="Times New Roman"/>
          <w:color w:val="auto"/>
        </w:rPr>
      </w:pPr>
    </w:p>
    <w:p w:rsidR="00454632" w:rsidRPr="002A4B19" w:rsidRDefault="00454632" w:rsidP="00454632">
      <w:pPr>
        <w:pStyle w:val="Mdeck4text"/>
        <w:ind w:firstLine="0"/>
        <w:jc w:val="center"/>
        <w:rPr>
          <w:rFonts w:cs="Times New Roman"/>
          <w:color w:val="auto"/>
        </w:rPr>
      </w:pPr>
      <w:r w:rsidRPr="002A4B19">
        <w:rPr>
          <w:noProof/>
          <w:color w:val="auto"/>
          <w:lang w:eastAsia="ko-KR" w:bidi="ar-SA"/>
        </w:rPr>
        <w:drawing>
          <wp:inline distT="0" distB="0" distL="0" distR="0" wp14:anchorId="283E8EDF" wp14:editId="02FBB77D">
            <wp:extent cx="4320000" cy="2361600"/>
            <wp:effectExtent l="0" t="0" r="4445" b="635"/>
            <wp:docPr id="15" name="차트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54632" w:rsidRPr="002A4B19" w:rsidRDefault="00454632" w:rsidP="00454632">
      <w:pPr>
        <w:pStyle w:val="Mdeck4text"/>
        <w:jc w:val="center"/>
        <w:rPr>
          <w:rFonts w:eastAsiaTheme="minorEastAsia" w:cs="Times New Roman"/>
          <w:color w:val="auto"/>
          <w:lang w:eastAsia="ko-KR"/>
        </w:rPr>
      </w:pPr>
      <w:r w:rsidRPr="002A4B19">
        <w:rPr>
          <w:rFonts w:cs="Times New Roman"/>
          <w:color w:val="auto"/>
        </w:rPr>
        <w:t xml:space="preserve">(a) Changes of skill premium (ratio of the wages of skilled to unskilled labor) </w:t>
      </w:r>
    </w:p>
    <w:p w:rsidR="00454632" w:rsidRPr="002A4B19" w:rsidRDefault="00454632" w:rsidP="00454632">
      <w:pPr>
        <w:pStyle w:val="Mdeck4text"/>
        <w:keepNext/>
        <w:ind w:firstLine="0"/>
        <w:jc w:val="center"/>
        <w:rPr>
          <w:color w:val="auto"/>
        </w:rPr>
      </w:pPr>
      <w:r w:rsidRPr="002A4B19">
        <w:rPr>
          <w:noProof/>
          <w:color w:val="auto"/>
          <w:lang w:eastAsia="ko-KR" w:bidi="ar-SA"/>
        </w:rPr>
        <w:drawing>
          <wp:inline distT="0" distB="0" distL="0" distR="0" wp14:anchorId="0DBAEBEA" wp14:editId="56F917A5">
            <wp:extent cx="4320000" cy="2360428"/>
            <wp:effectExtent l="0" t="0" r="4445" b="1905"/>
            <wp:docPr id="16" name="차트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54632" w:rsidRPr="002A4B19" w:rsidRDefault="00454632" w:rsidP="00454632">
      <w:pPr>
        <w:pStyle w:val="Mdeck4text"/>
        <w:jc w:val="center"/>
        <w:rPr>
          <w:rFonts w:cs="Times New Roman"/>
          <w:color w:val="auto"/>
        </w:rPr>
      </w:pPr>
      <w:r w:rsidRPr="002A4B19">
        <w:rPr>
          <w:rFonts w:eastAsiaTheme="minorEastAsia" w:cs="Times New Roman"/>
          <w:color w:val="auto"/>
          <w:lang w:eastAsia="ko-KR"/>
        </w:rPr>
        <w:t xml:space="preserve">(b) </w:t>
      </w:r>
      <w:r w:rsidRPr="002A4B19">
        <w:rPr>
          <w:rFonts w:cs="Times New Roman"/>
          <w:color w:val="auto"/>
        </w:rPr>
        <w:t xml:space="preserve">Changes of skill premium (ratio of the wages of high-skilled to unskilled labor) </w:t>
      </w:r>
      <w:r w:rsidRPr="002A4B19">
        <w:rPr>
          <w:rFonts w:cs="Times New Roman"/>
          <w:color w:val="auto"/>
        </w:rPr>
        <w:br/>
      </w:r>
      <w:r w:rsidRPr="002A4B19">
        <w:rPr>
          <w:rFonts w:cs="Times New Roman"/>
          <w:color w:val="auto"/>
          <w:szCs w:val="24"/>
        </w:rPr>
        <w:t xml:space="preserve">Figure </w:t>
      </w:r>
      <w:r w:rsidRPr="002A4B19">
        <w:rPr>
          <w:rFonts w:cs="Times New Roman"/>
          <w:color w:val="auto"/>
          <w:szCs w:val="24"/>
        </w:rPr>
        <w:fldChar w:fldCharType="begin"/>
      </w:r>
      <w:r w:rsidRPr="002A4B19">
        <w:rPr>
          <w:rFonts w:cs="Times New Roman"/>
          <w:color w:val="auto"/>
          <w:szCs w:val="24"/>
        </w:rPr>
        <w:instrText xml:space="preserve"> SEQ Figure \* ARABIC </w:instrText>
      </w:r>
      <w:r w:rsidRPr="002A4B19">
        <w:rPr>
          <w:rFonts w:cs="Times New Roman"/>
          <w:color w:val="auto"/>
          <w:szCs w:val="24"/>
        </w:rPr>
        <w:fldChar w:fldCharType="separate"/>
      </w:r>
      <w:r w:rsidRPr="002A4B19">
        <w:rPr>
          <w:rFonts w:cs="Times New Roman"/>
          <w:color w:val="auto"/>
          <w:szCs w:val="24"/>
        </w:rPr>
        <w:t>5</w:t>
      </w:r>
      <w:r w:rsidRPr="002A4B19">
        <w:rPr>
          <w:rFonts w:cs="Times New Roman"/>
          <w:color w:val="auto"/>
          <w:szCs w:val="24"/>
        </w:rPr>
        <w:fldChar w:fldCharType="end"/>
      </w:r>
      <w:r w:rsidRPr="002A4B19">
        <w:rPr>
          <w:rFonts w:cs="Times New Roman"/>
          <w:color w:val="auto"/>
          <w:szCs w:val="24"/>
        </w:rPr>
        <w:t xml:space="preserve">. Changes of skill premium </w:t>
      </w:r>
      <w:r w:rsidRPr="002A4B19">
        <w:rPr>
          <w:rFonts w:cs="Times New Roman"/>
          <w:color w:val="auto"/>
        </w:rPr>
        <w:t>(% change relative to the BAU scenario)</w:t>
      </w:r>
    </w:p>
    <w:p w:rsidR="00454632" w:rsidRPr="002A4B19" w:rsidRDefault="00454632" w:rsidP="00454632">
      <w:pPr>
        <w:pStyle w:val="Mdeck4heading2"/>
        <w:spacing w:before="0"/>
        <w:ind w:firstLineChars="100" w:firstLine="236"/>
        <w:rPr>
          <w:rFonts w:cs="Times New Roman"/>
          <w:b/>
          <w:i w:val="0"/>
          <w:color w:val="auto"/>
        </w:rPr>
      </w:pPr>
      <w:r w:rsidRPr="002A4B19">
        <w:rPr>
          <w:rFonts w:cs="Times New Roman"/>
          <w:b/>
          <w:i w:val="0"/>
          <w:color w:val="auto"/>
        </w:rPr>
        <w:lastRenderedPageBreak/>
        <w:t>5.1.3 Changes of labor demand by industry</w:t>
      </w:r>
      <w:r w:rsidRPr="002A4B19" w:rsidDel="00F803EB">
        <w:rPr>
          <w:rFonts w:cs="Times New Roman"/>
          <w:b/>
          <w:i w:val="0"/>
          <w:color w:val="auto"/>
        </w:rPr>
        <w:t xml:space="preserve"> </w:t>
      </w:r>
    </w:p>
    <w:p w:rsidR="00454632" w:rsidRPr="002A4B19" w:rsidRDefault="00454632" w:rsidP="00454632">
      <w:pPr>
        <w:pStyle w:val="Mdeck4text"/>
        <w:rPr>
          <w:rFonts w:cs="Times New Roman"/>
          <w:color w:val="auto"/>
        </w:rPr>
      </w:pPr>
      <w:r w:rsidRPr="002A4B19">
        <w:rPr>
          <w:rFonts w:eastAsiaTheme="minorEastAsia" w:cs="Times New Roman"/>
          <w:color w:val="auto"/>
          <w:lang w:eastAsia="ko-KR"/>
        </w:rPr>
        <w:t xml:space="preserve">In this subsection, we illustrate the results representing the changes of labor demand by industry. For the analysis, we reclassify 27 industries into five types of industries: (1) </w:t>
      </w:r>
      <w:r w:rsidRPr="002A4B19">
        <w:rPr>
          <w:rFonts w:cs="Times New Roman"/>
          <w:color w:val="auto"/>
        </w:rPr>
        <w:t>primary industries, which contain agriculture, forestry, and fisheries; (2) low-tech manufacturing industries; (3) high-tech manufacturing industries</w:t>
      </w:r>
      <w:r w:rsidRPr="002A4B19">
        <w:rPr>
          <w:rStyle w:val="a8"/>
          <w:rFonts w:cs="Times New Roman"/>
          <w:color w:val="auto"/>
        </w:rPr>
        <w:footnoteReference w:id="7"/>
      </w:r>
      <w:r w:rsidRPr="002A4B19">
        <w:rPr>
          <w:rFonts w:cs="Times New Roman"/>
          <w:color w:val="auto"/>
        </w:rPr>
        <w:t>; (4) service industries; and (5) R&amp;D industries. Table 6 shows that the rise of labor demand and employment level under the SCN2 scenario is greater than under the BAU scenario. However, the SCN1 case reveals losses of employment in all sectors, compared to the BAU scenario. Higher levels of labor demand in all sectors, under the SCN2 scenario, imply that an increase in R&amp;D investments can stimulate expansions of industrial outputs, leading to higher employment levels across industries. In addition, among all industries the R&amp;D sector shows the highest rate of increase in labor demand under all scenarios (BAU: 60.9%, SCN1: 47.4%, SCN2: 150.9% increase from 2010 to 2030), followed by the high-tech manufacturing industry (BAU: 34.5%, SCN1: 31.8%, SCN2: 78.4% increase from 2010 to 2030). This suggests that industries with higher intensities of innovation have significant potential for job creation, by requiring more workers than do other industries. Hence, the results highlight that a higher level of R&amp;D spending (SCN2) facilitates a transition of the economy toward knowledge-intensive industries, by creating many more jobs in high-tech manufacturing and R&amp;D industries.</w:t>
      </w:r>
    </w:p>
    <w:p w:rsidR="00454632" w:rsidRPr="002A4B19" w:rsidRDefault="00454632" w:rsidP="00454632">
      <w:pPr>
        <w:pStyle w:val="Mdeck4text"/>
        <w:rPr>
          <w:rFonts w:cs="Times New Roman"/>
          <w:b/>
          <w:color w:val="auto"/>
          <w:szCs w:val="22"/>
        </w:rPr>
      </w:pPr>
    </w:p>
    <w:p w:rsidR="00454632" w:rsidRPr="002A4B19" w:rsidRDefault="00454632" w:rsidP="00454632">
      <w:pPr>
        <w:pStyle w:val="a6"/>
        <w:keepNext/>
        <w:jc w:val="center"/>
        <w:rPr>
          <w:rFonts w:ascii="Times New Roman" w:hAnsi="Times New Roman" w:cs="Times New Roman"/>
          <w:b w:val="0"/>
          <w:sz w:val="24"/>
          <w:szCs w:val="24"/>
        </w:rPr>
      </w:pPr>
      <w:r w:rsidRPr="002A4B19">
        <w:rPr>
          <w:rFonts w:ascii="Times New Roman" w:hAnsi="Times New Roman" w:cs="Times New Roman"/>
          <w:b w:val="0"/>
          <w:sz w:val="24"/>
          <w:szCs w:val="24"/>
        </w:rPr>
        <w:t xml:space="preserve">Table </w:t>
      </w:r>
      <w:r w:rsidRPr="002A4B19">
        <w:rPr>
          <w:rFonts w:ascii="Times New Roman" w:hAnsi="Times New Roman" w:cs="Times New Roman"/>
          <w:b w:val="0"/>
          <w:sz w:val="24"/>
          <w:szCs w:val="24"/>
        </w:rPr>
        <w:fldChar w:fldCharType="begin"/>
      </w:r>
      <w:r w:rsidRPr="002A4B19">
        <w:rPr>
          <w:rFonts w:ascii="Times New Roman" w:hAnsi="Times New Roman" w:cs="Times New Roman"/>
          <w:b w:val="0"/>
          <w:sz w:val="24"/>
          <w:szCs w:val="24"/>
        </w:rPr>
        <w:instrText xml:space="preserve"> SEQ Table \* ARABIC </w:instrText>
      </w:r>
      <w:r w:rsidRPr="002A4B19">
        <w:rPr>
          <w:rFonts w:ascii="Times New Roman" w:hAnsi="Times New Roman" w:cs="Times New Roman"/>
          <w:b w:val="0"/>
          <w:sz w:val="24"/>
          <w:szCs w:val="24"/>
        </w:rPr>
        <w:fldChar w:fldCharType="separate"/>
      </w:r>
      <w:r w:rsidRPr="002A4B19">
        <w:rPr>
          <w:rFonts w:ascii="Times New Roman" w:hAnsi="Times New Roman" w:cs="Times New Roman"/>
          <w:b w:val="0"/>
          <w:sz w:val="24"/>
          <w:szCs w:val="24"/>
        </w:rPr>
        <w:t>6</w:t>
      </w:r>
      <w:r w:rsidRPr="002A4B19">
        <w:rPr>
          <w:rFonts w:ascii="Times New Roman" w:hAnsi="Times New Roman" w:cs="Times New Roman"/>
          <w:b w:val="0"/>
          <w:sz w:val="24"/>
          <w:szCs w:val="24"/>
        </w:rPr>
        <w:fldChar w:fldCharType="end"/>
      </w:r>
      <w:r w:rsidRPr="002A4B19">
        <w:rPr>
          <w:rFonts w:ascii="Times New Roman" w:hAnsi="Times New Roman" w:cs="Times New Roman"/>
          <w:b w:val="0"/>
          <w:sz w:val="24"/>
          <w:szCs w:val="24"/>
        </w:rPr>
        <w:t>. Growth rates of aggregate labor demand by industry from 2010 to 2030 (unit: %)</w:t>
      </w:r>
    </w:p>
    <w:tbl>
      <w:tblPr>
        <w:tblW w:w="8554" w:type="dxa"/>
        <w:jc w:val="center"/>
        <w:tblLayout w:type="fixed"/>
        <w:tblCellMar>
          <w:left w:w="99" w:type="dxa"/>
          <w:right w:w="99" w:type="dxa"/>
        </w:tblCellMar>
        <w:tblLook w:val="04A0" w:firstRow="1" w:lastRow="0" w:firstColumn="1" w:lastColumn="0" w:noHBand="0" w:noVBand="1"/>
      </w:tblPr>
      <w:tblGrid>
        <w:gridCol w:w="3735"/>
        <w:gridCol w:w="1606"/>
        <w:gridCol w:w="1606"/>
        <w:gridCol w:w="1607"/>
      </w:tblGrid>
      <w:tr w:rsidR="002A4B19" w:rsidRPr="002A4B19" w:rsidTr="00FA22B7">
        <w:trPr>
          <w:trHeight w:val="283"/>
          <w:jc w:val="center"/>
        </w:trPr>
        <w:tc>
          <w:tcPr>
            <w:tcW w:w="3735" w:type="dxa"/>
            <w:tcBorders>
              <w:top w:val="single" w:sz="18" w:space="0" w:color="auto"/>
              <w:left w:val="nil"/>
            </w:tcBorders>
            <w:noWrap/>
            <w:vAlign w:val="center"/>
            <w:hideMark/>
          </w:tcPr>
          <w:p w:rsidR="00454632" w:rsidRPr="002A4B19" w:rsidRDefault="00454632" w:rsidP="00FA22B7">
            <w:pPr>
              <w:widowControl/>
              <w:wordWrap/>
              <w:autoSpaceDE/>
              <w:spacing w:after="0" w:line="276" w:lineRule="auto"/>
              <w:jc w:val="center"/>
              <w:rPr>
                <w:rFonts w:ascii="Times New Roman" w:eastAsia="HY신명조" w:hAnsi="Times New Roman" w:cs="Times New Roman"/>
                <w:b/>
                <w:kern w:val="0"/>
                <w:sz w:val="24"/>
              </w:rPr>
            </w:pPr>
            <w:r w:rsidRPr="002A4B19">
              <w:rPr>
                <w:rFonts w:ascii="Times New Roman" w:eastAsia="HY신명조" w:hAnsi="Times New Roman" w:cs="Times New Roman"/>
                <w:b/>
                <w:kern w:val="0"/>
                <w:sz w:val="24"/>
              </w:rPr>
              <w:t>Industry</w:t>
            </w:r>
          </w:p>
        </w:tc>
        <w:tc>
          <w:tcPr>
            <w:tcW w:w="1606" w:type="dxa"/>
            <w:tcBorders>
              <w:top w:val="single" w:sz="18" w:space="0" w:color="auto"/>
              <w:left w:val="nil"/>
            </w:tcBorders>
            <w:vAlign w:val="center"/>
          </w:tcPr>
          <w:p w:rsidR="00454632" w:rsidRPr="002A4B19" w:rsidRDefault="00454632" w:rsidP="00FA22B7">
            <w:pPr>
              <w:widowControl/>
              <w:wordWrap/>
              <w:autoSpaceDE/>
              <w:spacing w:after="0" w:line="276" w:lineRule="auto"/>
              <w:jc w:val="center"/>
              <w:rPr>
                <w:rFonts w:ascii="Times New Roman" w:eastAsia="HY신명조" w:hAnsi="Times New Roman" w:cs="Times New Roman"/>
                <w:b/>
                <w:kern w:val="0"/>
                <w:sz w:val="24"/>
              </w:rPr>
            </w:pPr>
            <w:r w:rsidRPr="002A4B19">
              <w:rPr>
                <w:rFonts w:ascii="Times New Roman" w:eastAsia="HY신명조" w:hAnsi="Times New Roman" w:cs="Times New Roman"/>
                <w:b/>
                <w:kern w:val="0"/>
                <w:sz w:val="24"/>
              </w:rPr>
              <w:t>BAU</w:t>
            </w:r>
          </w:p>
        </w:tc>
        <w:tc>
          <w:tcPr>
            <w:tcW w:w="1606" w:type="dxa"/>
            <w:tcBorders>
              <w:top w:val="single" w:sz="18" w:space="0" w:color="auto"/>
              <w:left w:val="nil"/>
              <w:right w:val="nil"/>
            </w:tcBorders>
            <w:noWrap/>
            <w:vAlign w:val="center"/>
            <w:hideMark/>
          </w:tcPr>
          <w:p w:rsidR="00454632" w:rsidRPr="002A4B19" w:rsidRDefault="00454632" w:rsidP="00FA22B7">
            <w:pPr>
              <w:widowControl/>
              <w:wordWrap/>
              <w:autoSpaceDE/>
              <w:spacing w:after="0" w:line="276" w:lineRule="auto"/>
              <w:jc w:val="center"/>
              <w:rPr>
                <w:rFonts w:ascii="Times New Roman" w:eastAsia="HY신명조" w:hAnsi="Times New Roman" w:cs="Times New Roman"/>
                <w:b/>
                <w:kern w:val="0"/>
                <w:sz w:val="24"/>
              </w:rPr>
            </w:pPr>
            <w:r w:rsidRPr="002A4B19">
              <w:rPr>
                <w:rFonts w:ascii="Times New Roman" w:eastAsia="HY신명조" w:hAnsi="Times New Roman" w:cs="Times New Roman"/>
                <w:b/>
                <w:kern w:val="0"/>
                <w:sz w:val="24"/>
              </w:rPr>
              <w:t>SCN1</w:t>
            </w:r>
          </w:p>
        </w:tc>
        <w:tc>
          <w:tcPr>
            <w:tcW w:w="1607" w:type="dxa"/>
            <w:tcBorders>
              <w:top w:val="single" w:sz="18" w:space="0" w:color="auto"/>
              <w:left w:val="nil"/>
              <w:right w:val="nil"/>
            </w:tcBorders>
            <w:noWrap/>
            <w:vAlign w:val="center"/>
            <w:hideMark/>
          </w:tcPr>
          <w:p w:rsidR="00454632" w:rsidRPr="002A4B19" w:rsidRDefault="00454632" w:rsidP="00FA22B7">
            <w:pPr>
              <w:widowControl/>
              <w:wordWrap/>
              <w:autoSpaceDE/>
              <w:spacing w:after="0" w:line="276" w:lineRule="auto"/>
              <w:jc w:val="center"/>
              <w:rPr>
                <w:rFonts w:ascii="Times New Roman" w:eastAsia="HY신명조" w:hAnsi="Times New Roman" w:cs="Times New Roman"/>
                <w:b/>
                <w:kern w:val="0"/>
                <w:sz w:val="24"/>
              </w:rPr>
            </w:pPr>
            <w:r w:rsidRPr="002A4B19">
              <w:rPr>
                <w:rFonts w:ascii="Times New Roman" w:eastAsia="HY신명조" w:hAnsi="Times New Roman" w:cs="Times New Roman"/>
                <w:b/>
                <w:kern w:val="0"/>
                <w:sz w:val="24"/>
              </w:rPr>
              <w:t>SCN2</w:t>
            </w:r>
          </w:p>
        </w:tc>
      </w:tr>
      <w:tr w:rsidR="002A4B19" w:rsidRPr="002A4B19" w:rsidTr="00FA22B7">
        <w:trPr>
          <w:trHeight w:val="283"/>
          <w:jc w:val="center"/>
        </w:trPr>
        <w:tc>
          <w:tcPr>
            <w:tcW w:w="3735" w:type="dxa"/>
            <w:tcBorders>
              <w:left w:val="nil"/>
              <w:bottom w:val="nil"/>
            </w:tcBorders>
            <w:noWrap/>
            <w:vAlign w:val="center"/>
            <w:hideMark/>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Agriculture, forestry, and fisheries</w:t>
            </w:r>
          </w:p>
        </w:tc>
        <w:tc>
          <w:tcPr>
            <w:tcW w:w="1606" w:type="dxa"/>
            <w:tcBorders>
              <w:left w:val="nil"/>
              <w:bottom w:val="nil"/>
            </w:tcBorders>
            <w:vAlign w:val="center"/>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17.7</w:t>
            </w:r>
          </w:p>
        </w:tc>
        <w:tc>
          <w:tcPr>
            <w:tcW w:w="1606" w:type="dxa"/>
            <w:tcBorders>
              <w:left w:val="nil"/>
              <w:bottom w:val="nil"/>
              <w:right w:val="nil"/>
            </w:tcBorders>
            <w:noWrap/>
            <w:vAlign w:val="center"/>
            <w:hideMark/>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8.8</w:t>
            </w:r>
          </w:p>
        </w:tc>
        <w:tc>
          <w:tcPr>
            <w:tcW w:w="1607" w:type="dxa"/>
            <w:tcBorders>
              <w:left w:val="nil"/>
              <w:bottom w:val="nil"/>
              <w:right w:val="nil"/>
            </w:tcBorders>
            <w:noWrap/>
            <w:vAlign w:val="center"/>
            <w:hideMark/>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18.7</w:t>
            </w:r>
          </w:p>
        </w:tc>
      </w:tr>
      <w:tr w:rsidR="002A4B19" w:rsidRPr="002A4B19" w:rsidTr="00FA22B7">
        <w:trPr>
          <w:trHeight w:val="283"/>
          <w:jc w:val="center"/>
        </w:trPr>
        <w:tc>
          <w:tcPr>
            <w:tcW w:w="3735" w:type="dxa"/>
            <w:tcBorders>
              <w:top w:val="nil"/>
              <w:left w:val="nil"/>
              <w:bottom w:val="nil"/>
            </w:tcBorders>
            <w:noWrap/>
            <w:vAlign w:val="center"/>
            <w:hideMark/>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Low-tech manufacturing</w:t>
            </w:r>
          </w:p>
        </w:tc>
        <w:tc>
          <w:tcPr>
            <w:tcW w:w="1606" w:type="dxa"/>
            <w:tcBorders>
              <w:top w:val="nil"/>
              <w:left w:val="nil"/>
              <w:bottom w:val="nil"/>
            </w:tcBorders>
            <w:vAlign w:val="center"/>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27.5</w:t>
            </w:r>
          </w:p>
        </w:tc>
        <w:tc>
          <w:tcPr>
            <w:tcW w:w="1606" w:type="dxa"/>
            <w:tcBorders>
              <w:top w:val="nil"/>
              <w:left w:val="nil"/>
              <w:bottom w:val="nil"/>
              <w:right w:val="nil"/>
            </w:tcBorders>
            <w:noWrap/>
            <w:vAlign w:val="center"/>
            <w:hideMark/>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18.9</w:t>
            </w:r>
          </w:p>
        </w:tc>
        <w:tc>
          <w:tcPr>
            <w:tcW w:w="1607" w:type="dxa"/>
            <w:noWrap/>
            <w:vAlign w:val="center"/>
            <w:hideMark/>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53.8</w:t>
            </w:r>
          </w:p>
        </w:tc>
      </w:tr>
      <w:tr w:rsidR="002A4B19" w:rsidRPr="002A4B19" w:rsidTr="00FA22B7">
        <w:trPr>
          <w:trHeight w:val="283"/>
          <w:jc w:val="center"/>
        </w:trPr>
        <w:tc>
          <w:tcPr>
            <w:tcW w:w="3735" w:type="dxa"/>
            <w:tcBorders>
              <w:top w:val="nil"/>
              <w:left w:val="nil"/>
              <w:bottom w:val="nil"/>
            </w:tcBorders>
            <w:noWrap/>
            <w:vAlign w:val="center"/>
            <w:hideMark/>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High-tech manufacturing</w:t>
            </w:r>
          </w:p>
        </w:tc>
        <w:tc>
          <w:tcPr>
            <w:tcW w:w="1606" w:type="dxa"/>
            <w:tcBorders>
              <w:top w:val="nil"/>
              <w:left w:val="nil"/>
              <w:bottom w:val="nil"/>
            </w:tcBorders>
            <w:vAlign w:val="center"/>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34.5</w:t>
            </w:r>
          </w:p>
        </w:tc>
        <w:tc>
          <w:tcPr>
            <w:tcW w:w="1606" w:type="dxa"/>
            <w:tcBorders>
              <w:top w:val="nil"/>
              <w:left w:val="nil"/>
              <w:bottom w:val="nil"/>
              <w:right w:val="nil"/>
            </w:tcBorders>
            <w:noWrap/>
            <w:vAlign w:val="center"/>
            <w:hideMark/>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31.8</w:t>
            </w:r>
          </w:p>
        </w:tc>
        <w:tc>
          <w:tcPr>
            <w:tcW w:w="1607" w:type="dxa"/>
            <w:noWrap/>
            <w:vAlign w:val="center"/>
            <w:hideMark/>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78.4</w:t>
            </w:r>
          </w:p>
        </w:tc>
      </w:tr>
      <w:tr w:rsidR="002A4B19" w:rsidRPr="002A4B19" w:rsidTr="00FA22B7">
        <w:trPr>
          <w:trHeight w:val="283"/>
          <w:jc w:val="center"/>
        </w:trPr>
        <w:tc>
          <w:tcPr>
            <w:tcW w:w="3735" w:type="dxa"/>
            <w:tcBorders>
              <w:top w:val="nil"/>
              <w:left w:val="nil"/>
              <w:bottom w:val="nil"/>
            </w:tcBorders>
            <w:noWrap/>
            <w:vAlign w:val="center"/>
            <w:hideMark/>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Service</w:t>
            </w:r>
          </w:p>
        </w:tc>
        <w:tc>
          <w:tcPr>
            <w:tcW w:w="1606" w:type="dxa"/>
            <w:tcBorders>
              <w:top w:val="nil"/>
              <w:left w:val="nil"/>
              <w:bottom w:val="nil"/>
            </w:tcBorders>
            <w:vAlign w:val="center"/>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34.1</w:t>
            </w:r>
          </w:p>
        </w:tc>
        <w:tc>
          <w:tcPr>
            <w:tcW w:w="1606" w:type="dxa"/>
            <w:tcBorders>
              <w:top w:val="nil"/>
              <w:left w:val="nil"/>
              <w:bottom w:val="nil"/>
              <w:right w:val="nil"/>
            </w:tcBorders>
            <w:noWrap/>
            <w:vAlign w:val="center"/>
            <w:hideMark/>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27.2</w:t>
            </w:r>
          </w:p>
        </w:tc>
        <w:tc>
          <w:tcPr>
            <w:tcW w:w="1607" w:type="dxa"/>
            <w:noWrap/>
            <w:vAlign w:val="center"/>
            <w:hideMark/>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39.9</w:t>
            </w:r>
          </w:p>
        </w:tc>
      </w:tr>
      <w:tr w:rsidR="00454632" w:rsidRPr="002A4B19" w:rsidTr="00FA22B7">
        <w:trPr>
          <w:trHeight w:val="283"/>
          <w:jc w:val="center"/>
        </w:trPr>
        <w:tc>
          <w:tcPr>
            <w:tcW w:w="3735" w:type="dxa"/>
            <w:tcBorders>
              <w:top w:val="nil"/>
              <w:left w:val="nil"/>
              <w:bottom w:val="single" w:sz="18" w:space="0" w:color="auto"/>
            </w:tcBorders>
            <w:noWrap/>
            <w:vAlign w:val="center"/>
            <w:hideMark/>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R&amp;D</w:t>
            </w:r>
          </w:p>
        </w:tc>
        <w:tc>
          <w:tcPr>
            <w:tcW w:w="1606" w:type="dxa"/>
            <w:tcBorders>
              <w:top w:val="nil"/>
              <w:left w:val="nil"/>
              <w:bottom w:val="single" w:sz="18" w:space="0" w:color="auto"/>
            </w:tcBorders>
            <w:vAlign w:val="center"/>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60.9</w:t>
            </w:r>
          </w:p>
        </w:tc>
        <w:tc>
          <w:tcPr>
            <w:tcW w:w="1606" w:type="dxa"/>
            <w:tcBorders>
              <w:top w:val="nil"/>
              <w:left w:val="nil"/>
              <w:bottom w:val="single" w:sz="18" w:space="0" w:color="auto"/>
              <w:right w:val="nil"/>
            </w:tcBorders>
            <w:noWrap/>
            <w:vAlign w:val="center"/>
            <w:hideMark/>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47.4</w:t>
            </w:r>
          </w:p>
        </w:tc>
        <w:tc>
          <w:tcPr>
            <w:tcW w:w="1607" w:type="dxa"/>
            <w:tcBorders>
              <w:top w:val="nil"/>
              <w:left w:val="nil"/>
              <w:bottom w:val="single" w:sz="18" w:space="0" w:color="auto"/>
              <w:right w:val="nil"/>
            </w:tcBorders>
            <w:noWrap/>
            <w:vAlign w:val="center"/>
            <w:hideMark/>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150.9</w:t>
            </w:r>
          </w:p>
        </w:tc>
      </w:tr>
    </w:tbl>
    <w:p w:rsidR="00454632" w:rsidRPr="002A4B19" w:rsidRDefault="00454632" w:rsidP="00454632">
      <w:pPr>
        <w:pStyle w:val="Mdeck4text"/>
        <w:rPr>
          <w:rFonts w:eastAsiaTheme="minorEastAsia" w:cs="Times New Roman"/>
          <w:color w:val="auto"/>
          <w:lang w:eastAsia="ko-KR"/>
        </w:rPr>
      </w:pPr>
    </w:p>
    <w:p w:rsidR="00454632" w:rsidRPr="002A4B19" w:rsidRDefault="00454632" w:rsidP="00454632">
      <w:pPr>
        <w:pStyle w:val="Mdeck4text"/>
        <w:rPr>
          <w:rFonts w:eastAsiaTheme="minorEastAsia" w:cs="Times New Roman"/>
          <w:color w:val="auto"/>
          <w:lang w:eastAsia="ko-KR"/>
        </w:rPr>
      </w:pPr>
    </w:p>
    <w:p w:rsidR="00454632" w:rsidRPr="002A4B19" w:rsidRDefault="00454632" w:rsidP="00454632">
      <w:pPr>
        <w:pStyle w:val="Mdeck4heading2"/>
        <w:spacing w:before="0"/>
        <w:rPr>
          <w:rFonts w:cs="Times New Roman"/>
          <w:b/>
          <w:color w:val="auto"/>
        </w:rPr>
      </w:pPr>
      <w:r w:rsidRPr="002A4B19">
        <w:rPr>
          <w:rFonts w:cs="Times New Roman"/>
          <w:b/>
          <w:color w:val="auto"/>
        </w:rPr>
        <w:t>5.2 Effects on the economic growth</w:t>
      </w:r>
    </w:p>
    <w:p w:rsidR="00454632" w:rsidRPr="002A4B19" w:rsidRDefault="00454632" w:rsidP="00454632">
      <w:pPr>
        <w:pStyle w:val="Mdeck4heading2"/>
        <w:spacing w:before="0"/>
        <w:ind w:firstLineChars="100" w:firstLine="236"/>
        <w:rPr>
          <w:rFonts w:cs="Times New Roman"/>
          <w:b/>
          <w:i w:val="0"/>
          <w:color w:val="auto"/>
        </w:rPr>
      </w:pPr>
      <w:r w:rsidRPr="002A4B19">
        <w:rPr>
          <w:rFonts w:cs="Times New Roman"/>
          <w:b/>
          <w:i w:val="0"/>
          <w:color w:val="auto"/>
        </w:rPr>
        <w:t>5.2.1 Changes of GDP growth</w:t>
      </w:r>
    </w:p>
    <w:p w:rsidR="00454632" w:rsidRPr="002A4B19" w:rsidRDefault="00454632" w:rsidP="00454632">
      <w:pPr>
        <w:pStyle w:val="Mdeck4text"/>
        <w:rPr>
          <w:rFonts w:eastAsiaTheme="minorEastAsia" w:cs="Times New Roman"/>
          <w:color w:val="auto"/>
          <w:lang w:eastAsia="ko-KR"/>
        </w:rPr>
      </w:pPr>
      <w:r w:rsidRPr="002A4B19">
        <w:rPr>
          <w:rFonts w:eastAsiaTheme="minorEastAsia" w:cs="Times New Roman"/>
          <w:color w:val="auto"/>
          <w:lang w:eastAsia="ko-KR"/>
        </w:rPr>
        <w:t xml:space="preserve">In the previous section, we have examined the employment effects of technological innovations driven by R&amp;D investments. In this subsection, we present the main results representing the economic impacts of different levels of innovation. It is shown that scenario SCN2 stimulates the economic growth, when analyzing the macroeconomic effects in terms of GDP level, as represented in Table 7 and Figure 6. Table 7 presents the GDP growth rates (% </w:t>
      </w:r>
      <w:r w:rsidRPr="002A4B19">
        <w:rPr>
          <w:rFonts w:eastAsiaTheme="minorEastAsia" w:cs="Times New Roman"/>
          <w:color w:val="auto"/>
          <w:lang w:eastAsia="ko-KR"/>
        </w:rPr>
        <w:lastRenderedPageBreak/>
        <w:t>growth rate and annual average growth rate) between the base year and 2030 for each scenario, while Figure 6 shows the changes of GDP levels in SCN1 and SCN2 scenarios, compared to the BAU scenario. Table 7 reveals that the growth of GDP level from 2010 to 2030 under the SCN2 (% growth rate of GDP: 62.0%; annual average GDP growth rate: 2.4% from 2010 to 2030) is greater than seen in other cases, while the SCN1 scenario shows the lowest GDP growth rate (% growth rate: 32.1%; annual average growth rate: 1.4% from 2010 to 2030). In addition, Figure 6 provides straightforward implications of a linkage between innovation and economic growth. We can see the GDP loss of the SCN1 (-5.3% compared to the BAU level in 2030), while the SCN2 scenario shows the GDP increase in 2030 (</w:t>
      </w:r>
      <w:r w:rsidR="00102F4C" w:rsidRPr="002A4B19">
        <w:rPr>
          <w:rFonts w:eastAsiaTheme="minorEastAsia" w:cs="Times New Roman"/>
          <w:color w:val="auto"/>
          <w:lang w:eastAsia="ko-KR"/>
        </w:rPr>
        <w:t>16.2</w:t>
      </w:r>
      <w:r w:rsidRPr="002A4B19">
        <w:rPr>
          <w:rFonts w:eastAsiaTheme="minorEastAsia" w:cs="Times New Roman"/>
          <w:color w:val="auto"/>
          <w:lang w:eastAsia="ko-KR"/>
        </w:rPr>
        <w:t>% relative to the BAU scenario). The results highlight that a higher level of R&amp;D spending (SCN2) boosts long-term economic growth with more innovation, while reduced R&amp;D intensity (SCN1) hinders economic growth and causes the economy to shrink.</w:t>
      </w:r>
    </w:p>
    <w:p w:rsidR="00454632" w:rsidRPr="002A4B19" w:rsidRDefault="00454632" w:rsidP="00454632">
      <w:pPr>
        <w:pStyle w:val="Mdeck4text"/>
        <w:rPr>
          <w:rFonts w:eastAsiaTheme="minorEastAsia" w:cs="Times New Roman"/>
          <w:color w:val="auto"/>
          <w:lang w:eastAsia="ko-KR"/>
        </w:rPr>
      </w:pPr>
    </w:p>
    <w:p w:rsidR="00454632" w:rsidRPr="002A4B19" w:rsidRDefault="00454632" w:rsidP="00454632">
      <w:pPr>
        <w:pStyle w:val="a6"/>
        <w:keepNext/>
        <w:jc w:val="center"/>
        <w:rPr>
          <w:rFonts w:ascii="Times New Roman" w:hAnsi="Times New Roman" w:cs="Times New Roman"/>
          <w:b w:val="0"/>
          <w:sz w:val="24"/>
        </w:rPr>
      </w:pPr>
      <w:r w:rsidRPr="002A4B19">
        <w:rPr>
          <w:rFonts w:ascii="Times New Roman" w:hAnsi="Times New Roman" w:cs="Times New Roman"/>
          <w:b w:val="0"/>
          <w:sz w:val="24"/>
        </w:rPr>
        <w:t xml:space="preserve">Table </w:t>
      </w:r>
      <w:r w:rsidRPr="002A4B19">
        <w:rPr>
          <w:rFonts w:ascii="Times New Roman" w:hAnsi="Times New Roman" w:cs="Times New Roman"/>
          <w:b w:val="0"/>
          <w:sz w:val="24"/>
        </w:rPr>
        <w:fldChar w:fldCharType="begin"/>
      </w:r>
      <w:r w:rsidRPr="002A4B19">
        <w:rPr>
          <w:rFonts w:ascii="Times New Roman" w:hAnsi="Times New Roman" w:cs="Times New Roman"/>
          <w:b w:val="0"/>
          <w:sz w:val="24"/>
        </w:rPr>
        <w:instrText xml:space="preserve"> SEQ Table \* ARABIC </w:instrText>
      </w:r>
      <w:r w:rsidRPr="002A4B19">
        <w:rPr>
          <w:rFonts w:ascii="Times New Roman" w:hAnsi="Times New Roman" w:cs="Times New Roman"/>
          <w:b w:val="0"/>
          <w:sz w:val="24"/>
        </w:rPr>
        <w:fldChar w:fldCharType="separate"/>
      </w:r>
      <w:r w:rsidRPr="002A4B19">
        <w:rPr>
          <w:rFonts w:ascii="Times New Roman" w:hAnsi="Times New Roman" w:cs="Times New Roman"/>
          <w:b w:val="0"/>
          <w:sz w:val="24"/>
        </w:rPr>
        <w:t>7</w:t>
      </w:r>
      <w:r w:rsidRPr="002A4B19">
        <w:rPr>
          <w:rFonts w:ascii="Times New Roman" w:hAnsi="Times New Roman" w:cs="Times New Roman"/>
          <w:b w:val="0"/>
          <w:sz w:val="24"/>
        </w:rPr>
        <w:fldChar w:fldCharType="end"/>
      </w:r>
      <w:r w:rsidRPr="002A4B19">
        <w:rPr>
          <w:rFonts w:ascii="Times New Roman" w:hAnsi="Times New Roman" w:cs="Times New Roman"/>
          <w:b w:val="0"/>
          <w:sz w:val="24"/>
        </w:rPr>
        <w:t>. GDP growth rates from 2010 to 2030 under different scenarios (unit: %)</w:t>
      </w:r>
    </w:p>
    <w:tbl>
      <w:tblPr>
        <w:tblW w:w="7164" w:type="dxa"/>
        <w:jc w:val="center"/>
        <w:tblLayout w:type="fixed"/>
        <w:tblCellMar>
          <w:left w:w="99" w:type="dxa"/>
          <w:right w:w="99" w:type="dxa"/>
        </w:tblCellMar>
        <w:tblLook w:val="04A0" w:firstRow="1" w:lastRow="0" w:firstColumn="1" w:lastColumn="0" w:noHBand="0" w:noVBand="1"/>
      </w:tblPr>
      <w:tblGrid>
        <w:gridCol w:w="3969"/>
        <w:gridCol w:w="1065"/>
        <w:gridCol w:w="1065"/>
        <w:gridCol w:w="1065"/>
      </w:tblGrid>
      <w:tr w:rsidR="002A4B19" w:rsidRPr="002A4B19" w:rsidTr="00FA22B7">
        <w:trPr>
          <w:trHeight w:val="309"/>
          <w:jc w:val="center"/>
        </w:trPr>
        <w:tc>
          <w:tcPr>
            <w:tcW w:w="3969" w:type="dxa"/>
            <w:tcBorders>
              <w:top w:val="single" w:sz="18" w:space="0" w:color="auto"/>
              <w:left w:val="nil"/>
              <w:right w:val="nil"/>
            </w:tcBorders>
            <w:noWrap/>
            <w:vAlign w:val="center"/>
            <w:hideMark/>
          </w:tcPr>
          <w:p w:rsidR="00454632" w:rsidRPr="002A4B19" w:rsidRDefault="00454632" w:rsidP="00FA22B7">
            <w:pPr>
              <w:rPr>
                <w:rFonts w:ascii="Times New Roman" w:hAnsi="Times New Roman" w:cs="Times New Roman"/>
                <w:b/>
                <w:sz w:val="24"/>
              </w:rPr>
            </w:pPr>
          </w:p>
        </w:tc>
        <w:tc>
          <w:tcPr>
            <w:tcW w:w="1065" w:type="dxa"/>
            <w:tcBorders>
              <w:top w:val="single" w:sz="18" w:space="0" w:color="auto"/>
              <w:left w:val="nil"/>
              <w:right w:val="nil"/>
            </w:tcBorders>
            <w:noWrap/>
            <w:vAlign w:val="center"/>
            <w:hideMark/>
          </w:tcPr>
          <w:p w:rsidR="00454632" w:rsidRPr="002A4B19" w:rsidRDefault="00454632" w:rsidP="00FA22B7">
            <w:pPr>
              <w:widowControl/>
              <w:wordWrap/>
              <w:autoSpaceDE/>
              <w:spacing w:after="0" w:line="276" w:lineRule="auto"/>
              <w:jc w:val="center"/>
              <w:rPr>
                <w:rFonts w:ascii="Times New Roman" w:eastAsia="HY신명조" w:hAnsi="Times New Roman" w:cs="Times New Roman"/>
                <w:b/>
                <w:kern w:val="0"/>
                <w:sz w:val="24"/>
              </w:rPr>
            </w:pPr>
            <w:r w:rsidRPr="002A4B19">
              <w:rPr>
                <w:rFonts w:ascii="Times New Roman" w:eastAsia="HY신명조" w:hAnsi="Times New Roman" w:cs="Times New Roman"/>
                <w:b/>
                <w:kern w:val="0"/>
                <w:sz w:val="24"/>
              </w:rPr>
              <w:t>BAU</w:t>
            </w:r>
          </w:p>
        </w:tc>
        <w:tc>
          <w:tcPr>
            <w:tcW w:w="1065" w:type="dxa"/>
            <w:tcBorders>
              <w:top w:val="single" w:sz="18" w:space="0" w:color="auto"/>
              <w:left w:val="nil"/>
              <w:right w:val="nil"/>
            </w:tcBorders>
            <w:vAlign w:val="center"/>
            <w:hideMark/>
          </w:tcPr>
          <w:p w:rsidR="00454632" w:rsidRPr="002A4B19" w:rsidRDefault="00454632" w:rsidP="00FA22B7">
            <w:pPr>
              <w:widowControl/>
              <w:wordWrap/>
              <w:autoSpaceDE/>
              <w:spacing w:after="0" w:line="276" w:lineRule="auto"/>
              <w:jc w:val="center"/>
              <w:rPr>
                <w:rFonts w:ascii="Times New Roman" w:eastAsia="HY신명조" w:hAnsi="Times New Roman" w:cs="Times New Roman"/>
                <w:b/>
                <w:kern w:val="0"/>
                <w:sz w:val="24"/>
              </w:rPr>
            </w:pPr>
            <w:r w:rsidRPr="002A4B19">
              <w:rPr>
                <w:rFonts w:ascii="Times New Roman" w:eastAsia="HY신명조" w:hAnsi="Times New Roman" w:cs="Times New Roman"/>
                <w:b/>
                <w:kern w:val="0"/>
                <w:sz w:val="24"/>
              </w:rPr>
              <w:t>SCN1</w:t>
            </w:r>
          </w:p>
        </w:tc>
        <w:tc>
          <w:tcPr>
            <w:tcW w:w="1065" w:type="dxa"/>
            <w:tcBorders>
              <w:top w:val="single" w:sz="18" w:space="0" w:color="auto"/>
              <w:left w:val="nil"/>
              <w:right w:val="nil"/>
            </w:tcBorders>
            <w:noWrap/>
            <w:vAlign w:val="center"/>
            <w:hideMark/>
          </w:tcPr>
          <w:p w:rsidR="00454632" w:rsidRPr="002A4B19" w:rsidRDefault="00454632" w:rsidP="00FA22B7">
            <w:pPr>
              <w:widowControl/>
              <w:wordWrap/>
              <w:autoSpaceDE/>
              <w:spacing w:after="0" w:line="276" w:lineRule="auto"/>
              <w:jc w:val="center"/>
              <w:rPr>
                <w:rFonts w:ascii="Times New Roman" w:eastAsia="HY신명조" w:hAnsi="Times New Roman" w:cs="Times New Roman"/>
                <w:b/>
                <w:kern w:val="0"/>
                <w:sz w:val="24"/>
              </w:rPr>
            </w:pPr>
            <w:r w:rsidRPr="002A4B19">
              <w:rPr>
                <w:rFonts w:ascii="Times New Roman" w:eastAsia="HY신명조" w:hAnsi="Times New Roman" w:cs="Times New Roman"/>
                <w:b/>
                <w:kern w:val="0"/>
                <w:sz w:val="24"/>
              </w:rPr>
              <w:t>SCN2</w:t>
            </w:r>
          </w:p>
        </w:tc>
      </w:tr>
      <w:tr w:rsidR="002A4B19" w:rsidRPr="002A4B19" w:rsidTr="00FA22B7">
        <w:trPr>
          <w:trHeight w:val="309"/>
          <w:jc w:val="center"/>
        </w:trPr>
        <w:tc>
          <w:tcPr>
            <w:tcW w:w="3969" w:type="dxa"/>
            <w:tcBorders>
              <w:left w:val="nil"/>
              <w:bottom w:val="nil"/>
              <w:right w:val="nil"/>
            </w:tcBorders>
            <w:noWrap/>
            <w:vAlign w:val="center"/>
            <w:hideMark/>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szCs w:val="24"/>
              </w:rPr>
            </w:pPr>
            <w:r w:rsidRPr="002A4B19">
              <w:rPr>
                <w:rFonts w:ascii="Times New Roman" w:eastAsia="HY신명조" w:hAnsi="Times New Roman" w:cs="Times New Roman"/>
                <w:kern w:val="0"/>
                <w:sz w:val="24"/>
                <w:szCs w:val="24"/>
              </w:rPr>
              <w:t>GDP growth (%)</w:t>
            </w:r>
          </w:p>
        </w:tc>
        <w:tc>
          <w:tcPr>
            <w:tcW w:w="1065" w:type="dxa"/>
            <w:tcBorders>
              <w:left w:val="nil"/>
              <w:bottom w:val="nil"/>
              <w:right w:val="nil"/>
            </w:tcBorders>
            <w:noWrap/>
            <w:vAlign w:val="center"/>
            <w:hideMark/>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39.5</w:t>
            </w:r>
          </w:p>
        </w:tc>
        <w:tc>
          <w:tcPr>
            <w:tcW w:w="1065" w:type="dxa"/>
            <w:tcBorders>
              <w:left w:val="nil"/>
              <w:bottom w:val="nil"/>
              <w:right w:val="nil"/>
            </w:tcBorders>
            <w:vAlign w:val="center"/>
            <w:hideMark/>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32.1</w:t>
            </w:r>
          </w:p>
        </w:tc>
        <w:tc>
          <w:tcPr>
            <w:tcW w:w="1065" w:type="dxa"/>
            <w:tcBorders>
              <w:left w:val="nil"/>
              <w:bottom w:val="nil"/>
              <w:right w:val="nil"/>
            </w:tcBorders>
            <w:noWrap/>
            <w:vAlign w:val="center"/>
            <w:hideMark/>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62.0</w:t>
            </w:r>
          </w:p>
        </w:tc>
      </w:tr>
      <w:tr w:rsidR="00454632" w:rsidRPr="002A4B19" w:rsidTr="00FA22B7">
        <w:trPr>
          <w:trHeight w:val="309"/>
          <w:jc w:val="center"/>
        </w:trPr>
        <w:tc>
          <w:tcPr>
            <w:tcW w:w="3969" w:type="dxa"/>
            <w:tcBorders>
              <w:top w:val="nil"/>
              <w:left w:val="nil"/>
              <w:bottom w:val="single" w:sz="18" w:space="0" w:color="auto"/>
              <w:right w:val="nil"/>
            </w:tcBorders>
            <w:noWrap/>
            <w:vAlign w:val="center"/>
            <w:hideMark/>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szCs w:val="24"/>
              </w:rPr>
            </w:pPr>
            <w:r w:rsidRPr="002A4B19">
              <w:rPr>
                <w:rFonts w:ascii="Times New Roman" w:eastAsia="HY신명조" w:hAnsi="Times New Roman" w:cs="Times New Roman"/>
                <w:kern w:val="0"/>
                <w:sz w:val="24"/>
                <w:szCs w:val="24"/>
              </w:rPr>
              <w:t>Average annual GDP growth rate (%)</w:t>
            </w:r>
          </w:p>
        </w:tc>
        <w:tc>
          <w:tcPr>
            <w:tcW w:w="1065" w:type="dxa"/>
            <w:tcBorders>
              <w:top w:val="nil"/>
              <w:left w:val="nil"/>
              <w:bottom w:val="single" w:sz="18" w:space="0" w:color="auto"/>
              <w:right w:val="nil"/>
            </w:tcBorders>
            <w:noWrap/>
            <w:vAlign w:val="center"/>
            <w:hideMark/>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1.7</w:t>
            </w:r>
          </w:p>
        </w:tc>
        <w:tc>
          <w:tcPr>
            <w:tcW w:w="1065" w:type="dxa"/>
            <w:tcBorders>
              <w:top w:val="nil"/>
              <w:left w:val="nil"/>
              <w:bottom w:val="single" w:sz="18" w:space="0" w:color="auto"/>
              <w:right w:val="nil"/>
            </w:tcBorders>
            <w:vAlign w:val="center"/>
            <w:hideMark/>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1.4</w:t>
            </w:r>
          </w:p>
        </w:tc>
        <w:tc>
          <w:tcPr>
            <w:tcW w:w="1065" w:type="dxa"/>
            <w:tcBorders>
              <w:top w:val="nil"/>
              <w:left w:val="nil"/>
              <w:bottom w:val="single" w:sz="18" w:space="0" w:color="auto"/>
              <w:right w:val="nil"/>
            </w:tcBorders>
            <w:noWrap/>
            <w:vAlign w:val="center"/>
            <w:hideMark/>
          </w:tcPr>
          <w:p w:rsidR="00454632" w:rsidRPr="002A4B19" w:rsidRDefault="00454632" w:rsidP="00FA22B7">
            <w:pPr>
              <w:widowControl/>
              <w:wordWrap/>
              <w:autoSpaceDE/>
              <w:spacing w:after="0" w:line="276" w:lineRule="auto"/>
              <w:jc w:val="center"/>
              <w:rPr>
                <w:rFonts w:ascii="Times New Roman" w:eastAsia="HY신명조" w:hAnsi="Times New Roman" w:cs="Times New Roman"/>
                <w:kern w:val="0"/>
                <w:sz w:val="24"/>
              </w:rPr>
            </w:pPr>
            <w:r w:rsidRPr="002A4B19">
              <w:rPr>
                <w:rFonts w:ascii="Times New Roman" w:eastAsia="HY신명조" w:hAnsi="Times New Roman" w:cs="Times New Roman"/>
                <w:kern w:val="0"/>
                <w:sz w:val="24"/>
              </w:rPr>
              <w:t>2.4</w:t>
            </w:r>
          </w:p>
        </w:tc>
      </w:tr>
    </w:tbl>
    <w:p w:rsidR="00454632" w:rsidRPr="002A4B19" w:rsidRDefault="00454632" w:rsidP="00454632">
      <w:pPr>
        <w:pStyle w:val="Mdeck4text"/>
        <w:rPr>
          <w:rFonts w:eastAsiaTheme="minorEastAsia" w:cs="Times New Roman"/>
          <w:color w:val="auto"/>
          <w:lang w:eastAsia="ko-KR"/>
        </w:rPr>
      </w:pPr>
    </w:p>
    <w:p w:rsidR="00454632" w:rsidRPr="002A4B19" w:rsidRDefault="00102F4C" w:rsidP="00454632">
      <w:pPr>
        <w:pStyle w:val="Mdeck4text"/>
        <w:keepNext/>
        <w:ind w:firstLine="0"/>
        <w:jc w:val="center"/>
        <w:rPr>
          <w:color w:val="auto"/>
        </w:rPr>
      </w:pPr>
      <w:r w:rsidRPr="002A4B19">
        <w:rPr>
          <w:noProof/>
          <w:color w:val="auto"/>
          <w:lang w:eastAsia="ko-KR" w:bidi="ar-SA"/>
        </w:rPr>
        <w:drawing>
          <wp:inline distT="0" distB="0" distL="0" distR="0" wp14:anchorId="479276D9" wp14:editId="58E63567">
            <wp:extent cx="4319905" cy="2636875"/>
            <wp:effectExtent l="0" t="0" r="4445" b="11430"/>
            <wp:docPr id="1" name="차트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54632" w:rsidRPr="002A4B19" w:rsidRDefault="00454632" w:rsidP="00454632">
      <w:pPr>
        <w:pStyle w:val="a6"/>
        <w:jc w:val="center"/>
        <w:rPr>
          <w:rFonts w:ascii="Times New Roman" w:hAnsi="Times New Roman" w:cs="Times New Roman"/>
          <w:b w:val="0"/>
          <w:sz w:val="24"/>
          <w:szCs w:val="24"/>
        </w:rPr>
      </w:pPr>
      <w:r w:rsidRPr="002A4B19">
        <w:rPr>
          <w:rFonts w:ascii="Times New Roman" w:hAnsi="Times New Roman" w:cs="Times New Roman"/>
          <w:b w:val="0"/>
          <w:sz w:val="24"/>
          <w:szCs w:val="24"/>
        </w:rPr>
        <w:t xml:space="preserve">Figure </w:t>
      </w:r>
      <w:r w:rsidRPr="002A4B19">
        <w:rPr>
          <w:rFonts w:ascii="Times New Roman" w:hAnsi="Times New Roman" w:cs="Times New Roman"/>
          <w:b w:val="0"/>
          <w:sz w:val="24"/>
          <w:szCs w:val="24"/>
        </w:rPr>
        <w:fldChar w:fldCharType="begin"/>
      </w:r>
      <w:r w:rsidRPr="002A4B19">
        <w:rPr>
          <w:rFonts w:ascii="Times New Roman" w:hAnsi="Times New Roman" w:cs="Times New Roman"/>
          <w:b w:val="0"/>
          <w:sz w:val="24"/>
          <w:szCs w:val="24"/>
        </w:rPr>
        <w:instrText xml:space="preserve"> SEQ Figure \* ARABIC </w:instrText>
      </w:r>
      <w:r w:rsidRPr="002A4B19">
        <w:rPr>
          <w:rFonts w:ascii="Times New Roman" w:hAnsi="Times New Roman" w:cs="Times New Roman"/>
          <w:b w:val="0"/>
          <w:sz w:val="24"/>
          <w:szCs w:val="24"/>
        </w:rPr>
        <w:fldChar w:fldCharType="separate"/>
      </w:r>
      <w:r w:rsidRPr="002A4B19">
        <w:rPr>
          <w:rFonts w:ascii="Times New Roman" w:hAnsi="Times New Roman" w:cs="Times New Roman"/>
          <w:b w:val="0"/>
          <w:sz w:val="24"/>
          <w:szCs w:val="24"/>
        </w:rPr>
        <w:t>6</w:t>
      </w:r>
      <w:r w:rsidRPr="002A4B19">
        <w:rPr>
          <w:rFonts w:ascii="Times New Roman" w:hAnsi="Times New Roman" w:cs="Times New Roman"/>
          <w:b w:val="0"/>
          <w:sz w:val="24"/>
          <w:szCs w:val="24"/>
        </w:rPr>
        <w:fldChar w:fldCharType="end"/>
      </w:r>
      <w:r w:rsidRPr="002A4B19">
        <w:rPr>
          <w:rFonts w:ascii="Times New Roman" w:hAnsi="Times New Roman" w:cs="Times New Roman"/>
          <w:b w:val="0"/>
          <w:sz w:val="24"/>
          <w:szCs w:val="24"/>
        </w:rPr>
        <w:t xml:space="preserve">. Changes of GDP level </w:t>
      </w:r>
      <w:r w:rsidRPr="002A4B19">
        <w:rPr>
          <w:rFonts w:ascii="Times New Roman" w:hAnsi="Times New Roman" w:cs="Times New Roman"/>
          <w:b w:val="0"/>
          <w:sz w:val="24"/>
          <w:szCs w:val="24"/>
        </w:rPr>
        <w:br/>
        <w:t>(% change relative to the BAU scenario)</w:t>
      </w:r>
    </w:p>
    <w:p w:rsidR="00454632" w:rsidRPr="002A4B19" w:rsidRDefault="00454632" w:rsidP="00454632">
      <w:pPr>
        <w:pStyle w:val="Mdeck4text"/>
        <w:rPr>
          <w:rFonts w:cs="Times New Roman"/>
          <w:color w:val="auto"/>
        </w:rPr>
      </w:pPr>
      <w:r w:rsidRPr="002A4B19">
        <w:rPr>
          <w:rFonts w:cs="Times New Roman"/>
          <w:color w:val="auto"/>
        </w:rPr>
        <w:t xml:space="preserve">A higher level of R&amp;D investments leads to productivity improvements, which, in turn, lowers the production costs of industrial sectors in the economy. Lower costs in producing final goods further promote price competitiveness of sectors. Enhanced price competitiveness fosters the expansion of production activities, resulting in a greater employment level. This economic mechanism is also associated with the results presented in Section 5.1.2, which show that additional R&amp;D investments have positive effects on overall employment growth. The higher levels of aggregate employment and GDP growth suggest that a level of R&amp;D spending </w:t>
      </w:r>
      <w:r w:rsidRPr="002A4B19">
        <w:rPr>
          <w:rFonts w:cs="Times New Roman"/>
          <w:color w:val="auto"/>
        </w:rPr>
        <w:lastRenderedPageBreak/>
        <w:t>should be either maintained or increased steadily to ensure quantitative expansion of the economy.</w:t>
      </w:r>
    </w:p>
    <w:p w:rsidR="00454632" w:rsidRPr="002A4B19" w:rsidRDefault="00454632"/>
    <w:p w:rsidR="00CD43B3" w:rsidRPr="002A4B19" w:rsidRDefault="00CD43B3" w:rsidP="00CD43B3">
      <w:pPr>
        <w:pStyle w:val="Mdeck4heading2"/>
        <w:spacing w:before="0"/>
        <w:ind w:firstLineChars="100" w:firstLine="236"/>
        <w:rPr>
          <w:rFonts w:cs="Times New Roman"/>
          <w:b/>
          <w:i w:val="0"/>
          <w:color w:val="auto"/>
        </w:rPr>
      </w:pPr>
      <w:r w:rsidRPr="002A4B19">
        <w:rPr>
          <w:rFonts w:cs="Times New Roman"/>
          <w:b/>
          <w:i w:val="0"/>
          <w:color w:val="auto"/>
        </w:rPr>
        <w:t>5.2.2 Changes of value-added compositions</w:t>
      </w:r>
    </w:p>
    <w:p w:rsidR="00CD43B3" w:rsidRPr="002A4B19" w:rsidRDefault="00CD43B3" w:rsidP="00CD43B3">
      <w:pPr>
        <w:pStyle w:val="Mdeck4text"/>
        <w:rPr>
          <w:rFonts w:eastAsiaTheme="minorEastAsia" w:cs="Times New Roman"/>
          <w:color w:val="auto"/>
          <w:lang w:eastAsia="ko-KR"/>
        </w:rPr>
      </w:pPr>
      <w:r w:rsidRPr="002A4B19">
        <w:rPr>
          <w:rFonts w:eastAsiaTheme="minorEastAsia" w:cs="Times New Roman"/>
          <w:color w:val="auto"/>
          <w:lang w:eastAsia="ko-KR"/>
        </w:rPr>
        <w:t>This subsection describes how changes in the composition of value-added appear in different scenarios, to understand key factors behind the economic growth. Figure 7 depicts relative comparisons of three types of scenarios in terms of the compositions of value-added in the target year 2030. When comparing the absolute level of the gross value-added by scenario type (Figure 7(a)), the SCN2 scenario shows the highest value among all scenarios (1632.6 trillion KRW in 2030), indicating higher economic growth driven by additional R&amp;D investments. On the other hand, Figure 7(a) reveals that the SCN1 has the lowest level of gross value-added (1330.7 trillion KRW in 2030), implying an economic downturn caused by reduced R&amp;D spending. In addition, Figure 7(b) shows the relative contributions of the factors of production to the incomes received by the households as a result of these factors. Under the SCN2 scenario, three factor inputs, including knowledge, high-skilled labor, and capital, show relatively higher shares (capital: 47.6%; high-skilled labor: 8.0%; knowledge: 5.9%) in the value-added composition, compared to other scenarios. However, we can see that relative shares of skilled labor and unskilled labor in gross value-added for SCN2 are lower than are those for other scenarios.</w:t>
      </w:r>
    </w:p>
    <w:p w:rsidR="00CD43B3" w:rsidRPr="002A4B19" w:rsidRDefault="00CD43B3" w:rsidP="00CD43B3">
      <w:pPr>
        <w:pStyle w:val="Mdeck4text"/>
        <w:rPr>
          <w:rFonts w:eastAsiaTheme="minorEastAsia" w:cs="Times New Roman"/>
          <w:color w:val="auto"/>
          <w:lang w:eastAsia="ko-KR"/>
        </w:rPr>
      </w:pPr>
    </w:p>
    <w:p w:rsidR="00CD43B3" w:rsidRPr="002A4B19" w:rsidRDefault="00401BB8" w:rsidP="00CD43B3">
      <w:pPr>
        <w:pStyle w:val="Mdeck4text"/>
        <w:ind w:firstLine="0"/>
        <w:jc w:val="center"/>
        <w:rPr>
          <w:rFonts w:cs="Times New Roman"/>
          <w:color w:val="auto"/>
        </w:rPr>
      </w:pPr>
      <w:r w:rsidRPr="002A4B19">
        <w:rPr>
          <w:b/>
          <w:noProof/>
          <w:color w:val="auto"/>
          <w:sz w:val="28"/>
          <w:lang w:eastAsia="ko-KR" w:bidi="ar-SA"/>
        </w:rPr>
        <w:drawing>
          <wp:inline distT="0" distB="0" distL="0" distR="0" wp14:anchorId="014EA1C9" wp14:editId="40A149A7">
            <wp:extent cx="5316279" cy="3285460"/>
            <wp:effectExtent l="0" t="0" r="17780" b="10795"/>
            <wp:docPr id="20" name="차트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D43B3" w:rsidRPr="002A4B19" w:rsidRDefault="00CD43B3" w:rsidP="00CD43B3">
      <w:pPr>
        <w:pStyle w:val="Mdeck4text"/>
        <w:numPr>
          <w:ilvl w:val="0"/>
          <w:numId w:val="2"/>
        </w:numPr>
        <w:jc w:val="center"/>
        <w:rPr>
          <w:rFonts w:cs="Times New Roman"/>
          <w:color w:val="auto"/>
        </w:rPr>
      </w:pPr>
      <w:r w:rsidRPr="002A4B19">
        <w:rPr>
          <w:rFonts w:cs="Times New Roman"/>
          <w:color w:val="auto"/>
        </w:rPr>
        <w:t xml:space="preserve">Composition of gross value-added under different scenarios in 2030 </w:t>
      </w:r>
      <w:r w:rsidRPr="002A4B19">
        <w:rPr>
          <w:rFonts w:cs="Times New Roman"/>
          <w:color w:val="auto"/>
        </w:rPr>
        <w:br/>
        <w:t>(unit: trillion KRW)</w:t>
      </w:r>
    </w:p>
    <w:p w:rsidR="00CD43B3" w:rsidRPr="002A4B19" w:rsidRDefault="00401BB8" w:rsidP="00F12BCF">
      <w:pPr>
        <w:pStyle w:val="Mdeck4text"/>
        <w:keepNext/>
        <w:ind w:firstLine="0"/>
        <w:jc w:val="center"/>
        <w:rPr>
          <w:color w:val="auto"/>
        </w:rPr>
      </w:pPr>
      <w:r w:rsidRPr="002A4B19">
        <w:rPr>
          <w:noProof/>
          <w:color w:val="auto"/>
          <w:lang w:eastAsia="ko-KR" w:bidi="ar-SA"/>
        </w:rPr>
        <w:lastRenderedPageBreak/>
        <w:drawing>
          <wp:inline distT="0" distB="0" distL="0" distR="0" wp14:anchorId="28A0B16F" wp14:editId="37C3C50B">
            <wp:extent cx="5317200" cy="2975212"/>
            <wp:effectExtent l="0" t="0" r="17145" b="15875"/>
            <wp:docPr id="23" name="차트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D43B3" w:rsidRPr="002A4B19" w:rsidRDefault="00CD43B3" w:rsidP="00CD43B3">
      <w:pPr>
        <w:pStyle w:val="Mdeck4text"/>
        <w:jc w:val="center"/>
        <w:rPr>
          <w:rFonts w:cs="Times New Roman"/>
          <w:color w:val="auto"/>
        </w:rPr>
      </w:pPr>
      <w:r w:rsidRPr="002A4B19">
        <w:rPr>
          <w:rFonts w:cs="Times New Roman"/>
          <w:color w:val="auto"/>
        </w:rPr>
        <w:t>(b) Relative share of factor inputs to the value-added in 2030 (unit: %)</w:t>
      </w:r>
      <w:r w:rsidRPr="002A4B19">
        <w:rPr>
          <w:rFonts w:eastAsia="HY신명조" w:cs="Times New Roman"/>
          <w:color w:val="auto"/>
          <w:szCs w:val="24"/>
        </w:rPr>
        <w:br/>
      </w:r>
      <w:r w:rsidRPr="002A4B19">
        <w:rPr>
          <w:rFonts w:cs="Times New Roman"/>
          <w:color w:val="auto"/>
        </w:rPr>
        <w:t xml:space="preserve">Figure </w:t>
      </w:r>
      <w:r w:rsidRPr="002A4B19">
        <w:rPr>
          <w:rFonts w:cs="Times New Roman"/>
          <w:color w:val="auto"/>
        </w:rPr>
        <w:fldChar w:fldCharType="begin"/>
      </w:r>
      <w:r w:rsidRPr="002A4B19">
        <w:rPr>
          <w:rFonts w:cs="Times New Roman"/>
          <w:color w:val="auto"/>
        </w:rPr>
        <w:instrText xml:space="preserve"> SEQ Figure \* ARABIC </w:instrText>
      </w:r>
      <w:r w:rsidRPr="002A4B19">
        <w:rPr>
          <w:rFonts w:cs="Times New Roman"/>
          <w:color w:val="auto"/>
        </w:rPr>
        <w:fldChar w:fldCharType="separate"/>
      </w:r>
      <w:r w:rsidRPr="002A4B19">
        <w:rPr>
          <w:rFonts w:cs="Times New Roman"/>
          <w:color w:val="auto"/>
        </w:rPr>
        <w:t>7</w:t>
      </w:r>
      <w:r w:rsidRPr="002A4B19">
        <w:rPr>
          <w:rFonts w:cs="Times New Roman"/>
          <w:color w:val="auto"/>
        </w:rPr>
        <w:fldChar w:fldCharType="end"/>
      </w:r>
      <w:r w:rsidRPr="002A4B19">
        <w:rPr>
          <w:rFonts w:cs="Times New Roman"/>
          <w:color w:val="auto"/>
        </w:rPr>
        <w:t>. The composition of value-added under different scenarios</w:t>
      </w:r>
    </w:p>
    <w:p w:rsidR="00CD43B3" w:rsidRPr="002A4B19" w:rsidRDefault="00CD43B3" w:rsidP="00CD43B3">
      <w:pPr>
        <w:pStyle w:val="Mdeck4text"/>
        <w:rPr>
          <w:rFonts w:eastAsiaTheme="minorEastAsia" w:cs="Times New Roman"/>
          <w:color w:val="auto"/>
          <w:lang w:eastAsia="ko-KR"/>
        </w:rPr>
      </w:pPr>
    </w:p>
    <w:p w:rsidR="00CD43B3" w:rsidRPr="002A4B19" w:rsidRDefault="00CD43B3" w:rsidP="00CD43B3">
      <w:pPr>
        <w:pStyle w:val="Mdeck4text"/>
        <w:rPr>
          <w:rFonts w:eastAsiaTheme="minorEastAsia" w:cs="Times New Roman"/>
          <w:color w:val="auto"/>
          <w:lang w:eastAsia="ko-KR"/>
        </w:rPr>
      </w:pPr>
      <w:r w:rsidRPr="002A4B19">
        <w:rPr>
          <w:rFonts w:eastAsiaTheme="minorEastAsia" w:cs="Times New Roman"/>
          <w:color w:val="auto"/>
          <w:lang w:eastAsia="ko-KR"/>
        </w:rPr>
        <w:t>Furthermore, Figure 8 shows the changes of value-added compositions for SCN1 (Figure 8(a)), and SCN2 (Figure 8(b)) scenarios, compared to the BAU level. As shown in Figure 8(b), the SCN2 scenario shows significant increases in factor incomes compared to the BAU scenario. To be specific, the largest increases in factor incomes are found in earnings of high-skilled labor and knowledge earnings. It is shown that the labor incomes of high-skilled workers increase by 26.5%, compared to the BAU level, in 2030, under the SCN2. In addition, the value of knowledge incomes of the SCN2 in 2030 changes by 26.0%, compared to the BAU scenario. On the other hand, the SCN1 case reveals substantial declines in factor incomes, compared to the BAU level, as presented in Figure 8(a). Those results suggest that a higher level of R&amp;D spending (SCN2) enhances the SBTC, and capital-biased technical progress, resulting in changes of the value-added composition, with higher shares of knowledge, high-skilled labor, and capital.</w:t>
      </w:r>
    </w:p>
    <w:p w:rsidR="00CD43B3" w:rsidRPr="002A4B19" w:rsidRDefault="00CD43B3" w:rsidP="00CD43B3">
      <w:pPr>
        <w:pStyle w:val="Mdeck4text"/>
        <w:rPr>
          <w:rFonts w:eastAsiaTheme="minorEastAsia" w:cs="Times New Roman"/>
          <w:color w:val="auto"/>
          <w:lang w:eastAsia="ko-KR"/>
        </w:rPr>
      </w:pPr>
    </w:p>
    <w:p w:rsidR="00CD43B3" w:rsidRPr="002A4B19" w:rsidRDefault="00401BB8" w:rsidP="00A3451A">
      <w:pPr>
        <w:pStyle w:val="Mdeck4text"/>
        <w:ind w:firstLine="0"/>
        <w:jc w:val="center"/>
        <w:rPr>
          <w:rFonts w:eastAsiaTheme="minorEastAsia" w:cs="Times New Roman"/>
          <w:color w:val="auto"/>
          <w:sz w:val="22"/>
          <w:szCs w:val="22"/>
          <w:lang w:eastAsia="ko-KR"/>
        </w:rPr>
      </w:pPr>
      <w:r w:rsidRPr="002A4B19">
        <w:rPr>
          <w:noProof/>
          <w:color w:val="auto"/>
          <w:lang w:eastAsia="ko-KR" w:bidi="ar-SA"/>
        </w:rPr>
        <w:lastRenderedPageBreak/>
        <w:drawing>
          <wp:inline distT="0" distB="0" distL="0" distR="0" wp14:anchorId="486EA3DF" wp14:editId="57916B24">
            <wp:extent cx="5400000" cy="2678400"/>
            <wp:effectExtent l="0" t="0" r="10795" b="8255"/>
            <wp:docPr id="25" name="차트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D43B3" w:rsidRPr="002A4B19" w:rsidRDefault="00CD43B3" w:rsidP="00CD43B3">
      <w:pPr>
        <w:pStyle w:val="Mdeck4text"/>
        <w:jc w:val="center"/>
        <w:rPr>
          <w:rFonts w:eastAsiaTheme="minorEastAsia" w:cs="Times New Roman"/>
          <w:color w:val="auto"/>
          <w:sz w:val="22"/>
          <w:szCs w:val="22"/>
          <w:lang w:eastAsia="ko-KR"/>
        </w:rPr>
      </w:pPr>
      <w:r w:rsidRPr="002A4B19">
        <w:rPr>
          <w:rFonts w:eastAsiaTheme="minorEastAsia" w:cs="Times New Roman"/>
          <w:color w:val="auto"/>
          <w:sz w:val="22"/>
          <w:szCs w:val="22"/>
          <w:lang w:eastAsia="ko-KR"/>
        </w:rPr>
        <w:t>(a) Changes of the value-added composition in SCN1</w:t>
      </w:r>
      <w:r w:rsidR="00A3451A" w:rsidRPr="002A4B19">
        <w:rPr>
          <w:rFonts w:eastAsiaTheme="minorEastAsia" w:cs="Times New Roman"/>
          <w:color w:val="auto"/>
          <w:sz w:val="22"/>
          <w:szCs w:val="22"/>
          <w:lang w:eastAsia="ko-KR"/>
        </w:rPr>
        <w:t xml:space="preserve"> </w:t>
      </w:r>
      <w:r w:rsidRPr="002A4B19">
        <w:rPr>
          <w:rFonts w:cs="Times New Roman"/>
          <w:color w:val="auto"/>
          <w:szCs w:val="24"/>
        </w:rPr>
        <w:t>(% change relative to the BAU scenario)</w:t>
      </w:r>
    </w:p>
    <w:p w:rsidR="00CD43B3" w:rsidRPr="002A4B19" w:rsidRDefault="00401BB8" w:rsidP="00A3451A">
      <w:pPr>
        <w:pStyle w:val="Mdeck4text"/>
        <w:keepNext/>
        <w:ind w:firstLine="0"/>
        <w:jc w:val="center"/>
        <w:rPr>
          <w:color w:val="auto"/>
        </w:rPr>
      </w:pPr>
      <w:r w:rsidRPr="002A4B19">
        <w:rPr>
          <w:noProof/>
          <w:color w:val="auto"/>
          <w:lang w:eastAsia="ko-KR" w:bidi="ar-SA"/>
        </w:rPr>
        <w:drawing>
          <wp:inline distT="0" distB="0" distL="0" distR="0" wp14:anchorId="21FB19A5" wp14:editId="391391E4">
            <wp:extent cx="5400000" cy="2678400"/>
            <wp:effectExtent l="0" t="0" r="10795" b="8255"/>
            <wp:docPr id="26" name="차트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D43B3" w:rsidRPr="002A4B19" w:rsidRDefault="00CD43B3" w:rsidP="00CD43B3">
      <w:pPr>
        <w:pStyle w:val="Mdeck4text"/>
        <w:ind w:firstLine="0"/>
        <w:jc w:val="center"/>
        <w:rPr>
          <w:rFonts w:eastAsiaTheme="minorEastAsia" w:cs="Times New Roman"/>
          <w:color w:val="auto"/>
          <w:sz w:val="22"/>
          <w:szCs w:val="22"/>
          <w:lang w:eastAsia="ko-KR"/>
        </w:rPr>
      </w:pPr>
      <w:r w:rsidRPr="002A4B19">
        <w:rPr>
          <w:rFonts w:eastAsiaTheme="minorEastAsia" w:cs="Times New Roman"/>
          <w:color w:val="auto"/>
          <w:sz w:val="22"/>
          <w:szCs w:val="22"/>
          <w:lang w:eastAsia="ko-KR"/>
        </w:rPr>
        <w:t xml:space="preserve"> (a) Changes of the value-added composition in SCN2</w:t>
      </w:r>
      <w:r w:rsidR="00A3451A" w:rsidRPr="002A4B19">
        <w:rPr>
          <w:rFonts w:eastAsiaTheme="minorEastAsia" w:cs="Times New Roman"/>
          <w:color w:val="auto"/>
          <w:sz w:val="22"/>
          <w:szCs w:val="22"/>
          <w:lang w:eastAsia="ko-KR"/>
        </w:rPr>
        <w:t xml:space="preserve"> </w:t>
      </w:r>
      <w:r w:rsidRPr="002A4B19">
        <w:rPr>
          <w:rFonts w:cs="Times New Roman"/>
          <w:color w:val="auto"/>
          <w:szCs w:val="24"/>
        </w:rPr>
        <w:t>(% change relative to the BAU scenario)</w:t>
      </w:r>
    </w:p>
    <w:p w:rsidR="00CD43B3" w:rsidRPr="002A4B19" w:rsidRDefault="00CD43B3" w:rsidP="00CD43B3">
      <w:pPr>
        <w:pStyle w:val="a6"/>
        <w:jc w:val="center"/>
        <w:rPr>
          <w:rFonts w:ascii="Times New Roman" w:hAnsi="Times New Roman" w:cs="Times New Roman"/>
          <w:b w:val="0"/>
          <w:sz w:val="24"/>
        </w:rPr>
      </w:pPr>
      <w:r w:rsidRPr="002A4B19">
        <w:rPr>
          <w:rFonts w:ascii="Times New Roman" w:hAnsi="Times New Roman" w:cs="Times New Roman"/>
          <w:b w:val="0"/>
          <w:sz w:val="24"/>
        </w:rPr>
        <w:t xml:space="preserve">Figure </w:t>
      </w:r>
      <w:r w:rsidRPr="002A4B19">
        <w:rPr>
          <w:rFonts w:ascii="Times New Roman" w:hAnsi="Times New Roman" w:cs="Times New Roman"/>
          <w:b w:val="0"/>
          <w:sz w:val="24"/>
        </w:rPr>
        <w:fldChar w:fldCharType="begin"/>
      </w:r>
      <w:r w:rsidRPr="002A4B19">
        <w:rPr>
          <w:rFonts w:ascii="Times New Roman" w:hAnsi="Times New Roman" w:cs="Times New Roman"/>
          <w:b w:val="0"/>
          <w:sz w:val="24"/>
        </w:rPr>
        <w:instrText xml:space="preserve"> SEQ Figure \* ARABIC </w:instrText>
      </w:r>
      <w:r w:rsidRPr="002A4B19">
        <w:rPr>
          <w:rFonts w:ascii="Times New Roman" w:hAnsi="Times New Roman" w:cs="Times New Roman"/>
          <w:b w:val="0"/>
          <w:sz w:val="24"/>
        </w:rPr>
        <w:fldChar w:fldCharType="separate"/>
      </w:r>
      <w:r w:rsidRPr="002A4B19">
        <w:rPr>
          <w:rFonts w:ascii="Times New Roman" w:hAnsi="Times New Roman" w:cs="Times New Roman"/>
          <w:b w:val="0"/>
          <w:sz w:val="24"/>
        </w:rPr>
        <w:t>8</w:t>
      </w:r>
      <w:r w:rsidRPr="002A4B19">
        <w:rPr>
          <w:rFonts w:ascii="Times New Roman" w:hAnsi="Times New Roman" w:cs="Times New Roman"/>
          <w:b w:val="0"/>
          <w:sz w:val="24"/>
        </w:rPr>
        <w:fldChar w:fldCharType="end"/>
      </w:r>
      <w:r w:rsidRPr="002A4B19">
        <w:rPr>
          <w:rFonts w:ascii="Times New Roman" w:hAnsi="Times New Roman" w:cs="Times New Roman"/>
          <w:b w:val="0"/>
          <w:sz w:val="24"/>
        </w:rPr>
        <w:t>. Changes of the value-added composition compared to BAU level</w:t>
      </w:r>
    </w:p>
    <w:p w:rsidR="00C908F5" w:rsidRPr="002A4B19" w:rsidRDefault="00C908F5" w:rsidP="00C908F5"/>
    <w:p w:rsidR="00CD43B3" w:rsidRPr="002A4B19" w:rsidRDefault="00CD43B3" w:rsidP="00CD43B3">
      <w:pPr>
        <w:pStyle w:val="Mdeck4heading2"/>
        <w:spacing w:before="0"/>
        <w:rPr>
          <w:rFonts w:cs="Times New Roman"/>
          <w:b/>
          <w:color w:val="auto"/>
        </w:rPr>
      </w:pPr>
      <w:r w:rsidRPr="002A4B19">
        <w:rPr>
          <w:rFonts w:cs="Times New Roman"/>
          <w:b/>
          <w:color w:val="auto"/>
        </w:rPr>
        <w:t>5.3 Effects on income distributions</w:t>
      </w:r>
    </w:p>
    <w:p w:rsidR="00CD43B3" w:rsidRPr="002A4B19" w:rsidRDefault="00CD43B3" w:rsidP="00CD43B3">
      <w:pPr>
        <w:pStyle w:val="Mdeck4text"/>
        <w:rPr>
          <w:rFonts w:eastAsiaTheme="minorEastAsia" w:cs="Times New Roman"/>
          <w:color w:val="auto"/>
          <w:lang w:eastAsia="ko-KR"/>
        </w:rPr>
      </w:pPr>
      <w:r w:rsidRPr="002A4B19">
        <w:rPr>
          <w:rFonts w:eastAsiaTheme="minorEastAsia" w:cs="Times New Roman"/>
          <w:color w:val="auto"/>
          <w:lang w:eastAsia="ko-KR"/>
        </w:rPr>
        <w:t>In previous sections, we have analyzed the impacts of innovations on the employment structure and economic growth. From these analyses, it is found that innovation-driven economic growth favors high-skilled over unskilled labor, suggesting a transition of the value-added composition toward high-skilled labor, knowledge, and capital. Those results imply a close correlation between the technological innovation and the degree of SBTC and capital-biased technological change. The factor-biased technological progress driven by innovation is deeply associated with wage inequality and income polarization. Therefore, it is meaningful to observe key indicators related to the income distribution (Figure 9, 10).</w:t>
      </w:r>
    </w:p>
    <w:p w:rsidR="00CD43B3" w:rsidRPr="002A4B19" w:rsidRDefault="00CD43B3" w:rsidP="00CD43B3">
      <w:pPr>
        <w:pStyle w:val="Mdeck4text"/>
        <w:rPr>
          <w:rFonts w:eastAsiaTheme="minorEastAsia" w:cs="Times New Roman"/>
          <w:color w:val="auto"/>
          <w:lang w:eastAsia="ko-KR"/>
        </w:rPr>
      </w:pPr>
    </w:p>
    <w:p w:rsidR="00CD43B3" w:rsidRPr="002A4B19" w:rsidRDefault="00CD43B3" w:rsidP="00F12BCF">
      <w:pPr>
        <w:pStyle w:val="Mdeck4text"/>
        <w:keepNext/>
        <w:ind w:firstLine="0"/>
        <w:jc w:val="center"/>
        <w:rPr>
          <w:color w:val="auto"/>
        </w:rPr>
      </w:pPr>
      <w:r w:rsidRPr="002A4B19">
        <w:rPr>
          <w:noProof/>
          <w:color w:val="auto"/>
          <w:lang w:eastAsia="ko-KR" w:bidi="ar-SA"/>
        </w:rPr>
        <w:drawing>
          <wp:inline distT="0" distB="0" distL="0" distR="0" wp14:anchorId="2F6CF759" wp14:editId="0259E16F">
            <wp:extent cx="4603750" cy="2736000"/>
            <wp:effectExtent l="0" t="0" r="6350" b="7620"/>
            <wp:docPr id="14" name="차트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D43B3" w:rsidRPr="002A4B19" w:rsidRDefault="00CD43B3" w:rsidP="00F12BCF">
      <w:pPr>
        <w:pStyle w:val="a6"/>
        <w:jc w:val="center"/>
        <w:rPr>
          <w:rFonts w:ascii="Times New Roman" w:hAnsi="Times New Roman" w:cs="Times New Roman"/>
          <w:b w:val="0"/>
          <w:sz w:val="24"/>
        </w:rPr>
      </w:pPr>
      <w:r w:rsidRPr="002A4B19">
        <w:rPr>
          <w:rFonts w:ascii="Times New Roman" w:hAnsi="Times New Roman" w:cs="Times New Roman"/>
          <w:b w:val="0"/>
          <w:sz w:val="24"/>
        </w:rPr>
        <w:t xml:space="preserve">Figure </w:t>
      </w:r>
      <w:r w:rsidRPr="002A4B19">
        <w:rPr>
          <w:rFonts w:ascii="Times New Roman" w:hAnsi="Times New Roman" w:cs="Times New Roman"/>
          <w:b w:val="0"/>
          <w:sz w:val="24"/>
        </w:rPr>
        <w:fldChar w:fldCharType="begin"/>
      </w:r>
      <w:r w:rsidRPr="002A4B19">
        <w:rPr>
          <w:rFonts w:ascii="Times New Roman" w:hAnsi="Times New Roman" w:cs="Times New Roman"/>
          <w:b w:val="0"/>
          <w:sz w:val="24"/>
        </w:rPr>
        <w:instrText xml:space="preserve"> SEQ Figure \* ARABIC </w:instrText>
      </w:r>
      <w:r w:rsidRPr="002A4B19">
        <w:rPr>
          <w:rFonts w:ascii="Times New Roman" w:hAnsi="Times New Roman" w:cs="Times New Roman"/>
          <w:b w:val="0"/>
          <w:sz w:val="24"/>
        </w:rPr>
        <w:fldChar w:fldCharType="separate"/>
      </w:r>
      <w:r w:rsidRPr="002A4B19">
        <w:rPr>
          <w:rFonts w:ascii="Times New Roman" w:hAnsi="Times New Roman" w:cs="Times New Roman"/>
          <w:b w:val="0"/>
          <w:sz w:val="24"/>
        </w:rPr>
        <w:t>9</w:t>
      </w:r>
      <w:r w:rsidRPr="002A4B19">
        <w:rPr>
          <w:rFonts w:ascii="Times New Roman" w:hAnsi="Times New Roman" w:cs="Times New Roman"/>
          <w:b w:val="0"/>
          <w:sz w:val="24"/>
        </w:rPr>
        <w:fldChar w:fldCharType="end"/>
      </w:r>
      <w:r w:rsidRPr="002A4B19">
        <w:rPr>
          <w:rFonts w:ascii="Times New Roman" w:hAnsi="Times New Roman" w:cs="Times New Roman"/>
          <w:b w:val="0"/>
          <w:sz w:val="24"/>
        </w:rPr>
        <w:t>. The income share of the top 10% group (%)</w:t>
      </w:r>
    </w:p>
    <w:p w:rsidR="00CD43B3" w:rsidRPr="002A4B19" w:rsidRDefault="00CD43B3" w:rsidP="00F12BCF">
      <w:pPr>
        <w:pStyle w:val="Mdeck4text"/>
        <w:keepNext/>
        <w:ind w:firstLine="0"/>
        <w:jc w:val="center"/>
        <w:rPr>
          <w:color w:val="auto"/>
        </w:rPr>
      </w:pPr>
      <w:r w:rsidRPr="002A4B19">
        <w:rPr>
          <w:noProof/>
          <w:color w:val="auto"/>
          <w:lang w:eastAsia="ko-KR" w:bidi="ar-SA"/>
        </w:rPr>
        <w:drawing>
          <wp:inline distT="0" distB="0" distL="0" distR="0" wp14:anchorId="4D2A1978" wp14:editId="631FE8A3">
            <wp:extent cx="4604400" cy="2736000"/>
            <wp:effectExtent l="0" t="0" r="5715" b="7620"/>
            <wp:docPr id="21" name="차트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D43B3" w:rsidRPr="002A4B19" w:rsidRDefault="00CD43B3" w:rsidP="00CD43B3">
      <w:pPr>
        <w:pStyle w:val="a6"/>
        <w:jc w:val="center"/>
        <w:rPr>
          <w:rFonts w:ascii="Times New Roman" w:hAnsi="Times New Roman" w:cs="Times New Roman"/>
          <w:b w:val="0"/>
          <w:sz w:val="24"/>
          <w:szCs w:val="24"/>
        </w:rPr>
      </w:pPr>
      <w:r w:rsidRPr="002A4B19">
        <w:rPr>
          <w:rFonts w:ascii="Times New Roman" w:hAnsi="Times New Roman" w:cs="Times New Roman"/>
          <w:b w:val="0"/>
          <w:sz w:val="24"/>
        </w:rPr>
        <w:t xml:space="preserve">Figure </w:t>
      </w:r>
      <w:r w:rsidRPr="002A4B19">
        <w:rPr>
          <w:rFonts w:ascii="Times New Roman" w:hAnsi="Times New Roman" w:cs="Times New Roman"/>
          <w:b w:val="0"/>
          <w:sz w:val="24"/>
        </w:rPr>
        <w:fldChar w:fldCharType="begin"/>
      </w:r>
      <w:r w:rsidRPr="002A4B19">
        <w:rPr>
          <w:rFonts w:ascii="Times New Roman" w:hAnsi="Times New Roman" w:cs="Times New Roman"/>
          <w:b w:val="0"/>
          <w:sz w:val="24"/>
        </w:rPr>
        <w:instrText xml:space="preserve"> SEQ Figure \* ARABIC </w:instrText>
      </w:r>
      <w:r w:rsidRPr="002A4B19">
        <w:rPr>
          <w:rFonts w:ascii="Times New Roman" w:hAnsi="Times New Roman" w:cs="Times New Roman"/>
          <w:b w:val="0"/>
          <w:sz w:val="24"/>
        </w:rPr>
        <w:fldChar w:fldCharType="separate"/>
      </w:r>
      <w:r w:rsidRPr="002A4B19">
        <w:rPr>
          <w:rFonts w:ascii="Times New Roman" w:hAnsi="Times New Roman" w:cs="Times New Roman"/>
          <w:b w:val="0"/>
          <w:sz w:val="24"/>
        </w:rPr>
        <w:t>10</w:t>
      </w:r>
      <w:r w:rsidRPr="002A4B19">
        <w:rPr>
          <w:rFonts w:ascii="Times New Roman" w:hAnsi="Times New Roman" w:cs="Times New Roman"/>
          <w:b w:val="0"/>
          <w:sz w:val="24"/>
        </w:rPr>
        <w:fldChar w:fldCharType="end"/>
      </w:r>
      <w:r w:rsidRPr="002A4B19">
        <w:rPr>
          <w:rFonts w:ascii="Times New Roman" w:hAnsi="Times New Roman" w:cs="Times New Roman"/>
          <w:b w:val="0"/>
          <w:sz w:val="24"/>
        </w:rPr>
        <w:t>. The income share of the middle-income group (%)</w:t>
      </w:r>
    </w:p>
    <w:p w:rsidR="00CD43B3" w:rsidRPr="002A4B19" w:rsidRDefault="00CD43B3" w:rsidP="00CD43B3">
      <w:pPr>
        <w:pStyle w:val="Mdeck4text"/>
        <w:rPr>
          <w:rFonts w:eastAsiaTheme="minorEastAsia" w:cs="Times New Roman"/>
          <w:color w:val="auto"/>
          <w:lang w:eastAsia="ko-KR"/>
        </w:rPr>
      </w:pPr>
    </w:p>
    <w:p w:rsidR="00CD43B3" w:rsidRPr="002A4B19" w:rsidRDefault="00CD43B3" w:rsidP="00CD43B3">
      <w:pPr>
        <w:pStyle w:val="Mdeck4text"/>
        <w:rPr>
          <w:rFonts w:eastAsiaTheme="minorEastAsia" w:cs="Times New Roman"/>
          <w:color w:val="auto"/>
          <w:lang w:eastAsia="ko-KR"/>
        </w:rPr>
      </w:pPr>
      <w:r w:rsidRPr="002A4B19">
        <w:rPr>
          <w:rFonts w:eastAsiaTheme="minorEastAsia" w:cs="Times New Roman"/>
          <w:color w:val="auto"/>
          <w:lang w:eastAsia="ko-KR"/>
        </w:rPr>
        <w:t>To examine the income distribution among income quantile groups, an analysis of the relative income shares held by the top 10% of income-level households (Figure 9) and by the middle-income earners, between 40% and 60% of income level (Figure 10), has been performed. As shown in Figure 9, the SCN2 scenario shows increases in the share of income held by the highest 10% of households, compared to the BAU level (SCN2: 26.19% of total income in 2030; BAU: 26.08% of total income in 2030). On the other hand, the income share of the middle-income class under SCN2 shows decreases, as compared with the BAU scenario (SCN2: 26.19% of total income in 2030; BAU: 26.08% of total income in 2030), as presented in Figure 10. The results imply that a higher level of R&amp;D spending (SCN2) can contribute to the concentration of wealth in upper income classes.</w:t>
      </w:r>
    </w:p>
    <w:p w:rsidR="00CD43B3" w:rsidRPr="002A4B19" w:rsidRDefault="00CD43B3" w:rsidP="00CD43B3">
      <w:pPr>
        <w:pStyle w:val="Mdeck4text"/>
        <w:rPr>
          <w:rFonts w:eastAsiaTheme="minorEastAsia" w:cs="Times New Roman"/>
          <w:color w:val="auto"/>
          <w:lang w:eastAsia="ko-KR"/>
        </w:rPr>
      </w:pPr>
      <w:r w:rsidRPr="002A4B19">
        <w:rPr>
          <w:rFonts w:eastAsiaTheme="minorEastAsia" w:cs="Times New Roman"/>
          <w:color w:val="auto"/>
          <w:lang w:eastAsia="ko-KR"/>
        </w:rPr>
        <w:lastRenderedPageBreak/>
        <w:t>Furthermore, to analyze how the income is distributed across all households, the concept of the decile distribution ratio is adopted. The decile distribution ratio is the share of the bottom 40%, in relation to the share of the top 20%, in terms of income levels. This index is commonly used to measure the concentration of income in the upper income groups. As depicted in Figure 11, the SCN2 shows the smallest decile ratio value (SCN2: 0.326 in 2030) among policy scenarios (BAU: 0.328, and SCN1: 0.329 in 2030). We can see that the decile ratio value of the SCN2 continues to drop from the base year 2010, widening gaps between those of other scenarios. The results can be explained by the fact that the degree of SBTC and capital-biased technological progress is intensified when additional R&amp;D investments are made. Hence, it can be inferred that people in higher income classes engage more in high-skilled works and benefit more from capital earnings than do people from lower income classes. Therefore, we can understand that the degrees of income inequality and income polarization are deepened and intensified as the transition of the value-added composition accelerates toward high-skilled labor, knowledge, and capital, with additional R&amp;D investments. The results suggest that innovation-driven economic growth could increase disparities between the rich and poor, implying the importance of complementary policies to reduce income inequality in the economy.</w:t>
      </w:r>
    </w:p>
    <w:p w:rsidR="00CD43B3" w:rsidRPr="002A4B19" w:rsidRDefault="00CD43B3" w:rsidP="00CD43B3">
      <w:pPr>
        <w:rPr>
          <w:rFonts w:ascii="Times New Roman" w:hAnsi="Times New Roman" w:cs="Times New Roman"/>
          <w:lang w:bidi="en-US"/>
        </w:rPr>
      </w:pPr>
    </w:p>
    <w:p w:rsidR="00CD43B3" w:rsidRPr="002A4B19" w:rsidRDefault="00CD43B3" w:rsidP="00102F4C">
      <w:pPr>
        <w:pStyle w:val="Mdeck4text"/>
        <w:keepNext/>
        <w:ind w:firstLine="0"/>
        <w:jc w:val="center"/>
        <w:rPr>
          <w:color w:val="auto"/>
        </w:rPr>
      </w:pPr>
      <w:r w:rsidRPr="002A4B19">
        <w:rPr>
          <w:noProof/>
          <w:color w:val="auto"/>
          <w:lang w:eastAsia="ko-KR" w:bidi="ar-SA"/>
        </w:rPr>
        <w:drawing>
          <wp:inline distT="0" distB="0" distL="0" distR="0" wp14:anchorId="5A2C901A" wp14:editId="7AA11BF2">
            <wp:extent cx="4604400" cy="2736000"/>
            <wp:effectExtent l="0" t="0" r="5715" b="7620"/>
            <wp:docPr id="22" name="차트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D43B3" w:rsidRPr="002A4B19" w:rsidRDefault="00CD43B3" w:rsidP="00102F4C">
      <w:pPr>
        <w:pStyle w:val="a6"/>
        <w:jc w:val="center"/>
        <w:rPr>
          <w:rFonts w:ascii="Times New Roman" w:hAnsi="Times New Roman" w:cs="Times New Roman"/>
          <w:b w:val="0"/>
          <w:sz w:val="24"/>
        </w:rPr>
      </w:pPr>
      <w:r w:rsidRPr="002A4B19">
        <w:rPr>
          <w:rFonts w:ascii="Times New Roman" w:hAnsi="Times New Roman" w:cs="Times New Roman"/>
          <w:b w:val="0"/>
          <w:sz w:val="24"/>
        </w:rPr>
        <w:t xml:space="preserve">Figure </w:t>
      </w:r>
      <w:r w:rsidRPr="002A4B19">
        <w:rPr>
          <w:rFonts w:ascii="Times New Roman" w:hAnsi="Times New Roman" w:cs="Times New Roman"/>
          <w:b w:val="0"/>
          <w:sz w:val="24"/>
        </w:rPr>
        <w:fldChar w:fldCharType="begin"/>
      </w:r>
      <w:r w:rsidRPr="002A4B19">
        <w:rPr>
          <w:rFonts w:ascii="Times New Roman" w:hAnsi="Times New Roman" w:cs="Times New Roman"/>
          <w:b w:val="0"/>
          <w:sz w:val="24"/>
        </w:rPr>
        <w:instrText xml:space="preserve"> SEQ Figure \* ARABIC </w:instrText>
      </w:r>
      <w:r w:rsidRPr="002A4B19">
        <w:rPr>
          <w:rFonts w:ascii="Times New Roman" w:hAnsi="Times New Roman" w:cs="Times New Roman"/>
          <w:b w:val="0"/>
          <w:sz w:val="24"/>
        </w:rPr>
        <w:fldChar w:fldCharType="separate"/>
      </w:r>
      <w:r w:rsidRPr="002A4B19">
        <w:rPr>
          <w:rFonts w:ascii="Times New Roman" w:hAnsi="Times New Roman" w:cs="Times New Roman"/>
          <w:b w:val="0"/>
          <w:sz w:val="24"/>
        </w:rPr>
        <w:t>11</w:t>
      </w:r>
      <w:r w:rsidRPr="002A4B19">
        <w:rPr>
          <w:rFonts w:ascii="Times New Roman" w:hAnsi="Times New Roman" w:cs="Times New Roman"/>
          <w:b w:val="0"/>
          <w:sz w:val="24"/>
        </w:rPr>
        <w:fldChar w:fldCharType="end"/>
      </w:r>
      <w:r w:rsidRPr="002A4B19">
        <w:rPr>
          <w:rFonts w:ascii="Times New Roman" w:hAnsi="Times New Roman" w:cs="Times New Roman"/>
          <w:b w:val="0"/>
          <w:sz w:val="24"/>
        </w:rPr>
        <w:t>. The decile distribution ratio under different scenarios</w:t>
      </w:r>
    </w:p>
    <w:p w:rsidR="00CD43B3" w:rsidRPr="002A4B19" w:rsidRDefault="00CD43B3" w:rsidP="00102F4C">
      <w:pPr>
        <w:pStyle w:val="a6"/>
        <w:jc w:val="center"/>
        <w:rPr>
          <w:rFonts w:ascii="Times New Roman" w:hAnsi="Times New Roman" w:cs="Times New Roman"/>
          <w:b w:val="0"/>
          <w:sz w:val="24"/>
        </w:rPr>
      </w:pPr>
    </w:p>
    <w:p w:rsidR="00102F4C" w:rsidRPr="002A4B19" w:rsidRDefault="00102F4C" w:rsidP="00102F4C">
      <w:pPr>
        <w:pStyle w:val="Mdeck4heading2"/>
        <w:spacing w:before="0"/>
        <w:rPr>
          <w:rFonts w:cs="Times New Roman"/>
          <w:b/>
          <w:color w:val="auto"/>
        </w:rPr>
      </w:pPr>
      <w:r w:rsidRPr="002A4B19">
        <w:rPr>
          <w:rFonts w:cs="Times New Roman"/>
          <w:b/>
          <w:color w:val="auto"/>
        </w:rPr>
        <w:t>5.4 Sensitivity Analysis</w:t>
      </w:r>
    </w:p>
    <w:p w:rsidR="00102F4C" w:rsidRPr="002A4B19" w:rsidRDefault="00102F4C" w:rsidP="00102F4C">
      <w:pPr>
        <w:pStyle w:val="Mdeck4text"/>
        <w:rPr>
          <w:rFonts w:eastAsiaTheme="minorEastAsia" w:cs="Times New Roman"/>
          <w:color w:val="auto"/>
          <w:lang w:eastAsia="ko-KR"/>
        </w:rPr>
      </w:pPr>
      <w:r w:rsidRPr="002A4B19">
        <w:rPr>
          <w:rFonts w:eastAsiaTheme="minorEastAsia" w:cs="Times New Roman"/>
          <w:color w:val="auto"/>
          <w:lang w:eastAsia="ko-KR"/>
        </w:rPr>
        <w:t xml:space="preserve">To test for the robustness of the results and findings discussed in previous sections, a sensitivity analysis is conducted varying key parameters in the model. The substitution elasticities </w:t>
      </w:r>
      <w:r w:rsidR="00205DAF" w:rsidRPr="002A4B19">
        <w:rPr>
          <w:rFonts w:eastAsiaTheme="minorEastAsia" w:cs="Times New Roman"/>
          <w:color w:val="auto"/>
          <w:lang w:eastAsia="ko-KR"/>
        </w:rPr>
        <w:t>among</w:t>
      </w:r>
      <w:r w:rsidRPr="002A4B19">
        <w:rPr>
          <w:rFonts w:eastAsiaTheme="minorEastAsia" w:cs="Times New Roman"/>
          <w:color w:val="auto"/>
          <w:lang w:eastAsia="ko-KR"/>
        </w:rPr>
        <w:t xml:space="preserve"> production factors can have a major influence on the simulation results (Oh et al., 2015). In this study, we adopt values for substitution elasticities between production factors from Krusell et al. (2000)</w:t>
      </w:r>
      <w:r w:rsidR="00F9183E" w:rsidRPr="002A4B19">
        <w:rPr>
          <w:rFonts w:eastAsiaTheme="minorEastAsia" w:cs="Times New Roman"/>
          <w:color w:val="auto"/>
          <w:lang w:eastAsia="ko-KR"/>
        </w:rPr>
        <w:t xml:space="preserve">, </w:t>
      </w:r>
      <w:r w:rsidR="00F9183E" w:rsidRPr="002A4B19">
        <w:rPr>
          <w:rFonts w:cs="Times New Roman"/>
          <w:color w:val="auto"/>
        </w:rPr>
        <w:t>Hwang et al. (2008), and Hong et al. (2014)</w:t>
      </w:r>
      <w:r w:rsidRPr="002A4B19">
        <w:rPr>
          <w:rFonts w:eastAsiaTheme="minorEastAsia" w:cs="Times New Roman"/>
          <w:color w:val="auto"/>
          <w:lang w:eastAsia="ko-KR"/>
        </w:rPr>
        <w:t xml:space="preserve">. As discussed in </w:t>
      </w:r>
      <w:r w:rsidRPr="002A4B19">
        <w:rPr>
          <w:rFonts w:eastAsiaTheme="minorEastAsia" w:cs="Times New Roman"/>
          <w:color w:val="auto"/>
          <w:lang w:eastAsia="ko-KR"/>
        </w:rPr>
        <w:lastRenderedPageBreak/>
        <w:t>the section 4.1, the value for elasticity of substitution among L3 (high-skilled labor), K (capital), and H (knowledge) is set to be less than 1 (</w:t>
      </w:r>
      <m:oMath>
        <m:sSub>
          <m:sSubPr>
            <m:ctrlPr>
              <w:rPr>
                <w:rFonts w:ascii="Cambria Math" w:eastAsiaTheme="minorEastAsia" w:hAnsi="Cambria Math" w:cs="Times New Roman"/>
                <w:color w:val="auto"/>
                <w:lang w:eastAsia="ko-KR"/>
              </w:rPr>
            </m:ctrlPr>
          </m:sSubPr>
          <m:e>
            <m:r>
              <w:rPr>
                <w:rFonts w:ascii="Cambria Math" w:eastAsiaTheme="minorEastAsia" w:hAnsi="Cambria Math" w:cs="Times New Roman"/>
                <w:color w:val="auto"/>
                <w:lang w:eastAsia="ko-KR"/>
              </w:rPr>
              <m:t>σ</m:t>
            </m:r>
          </m:e>
          <m:sub>
            <m:r>
              <m:rPr>
                <m:sty m:val="p"/>
              </m:rPr>
              <w:rPr>
                <w:rFonts w:ascii="Cambria Math" w:eastAsiaTheme="minorEastAsia" w:hAnsi="Cambria Math" w:cs="Times New Roman"/>
                <w:color w:val="auto"/>
                <w:lang w:eastAsia="ko-KR"/>
              </w:rPr>
              <m:t>1</m:t>
            </m:r>
          </m:sub>
        </m:sSub>
        <m:r>
          <m:rPr>
            <m:sty m:val="p"/>
          </m:rPr>
          <w:rPr>
            <w:rFonts w:ascii="Cambria Math" w:eastAsiaTheme="minorEastAsia" w:hAnsi="Cambria Math" w:cs="Times New Roman"/>
            <w:color w:val="auto"/>
            <w:lang w:eastAsia="ko-KR"/>
          </w:rPr>
          <m:t>=0.67</m:t>
        </m:r>
      </m:oMath>
      <w:r w:rsidRPr="002A4B19">
        <w:rPr>
          <w:rFonts w:eastAsiaTheme="minorEastAsia" w:cs="Times New Roman"/>
          <w:color w:val="auto"/>
          <w:lang w:eastAsia="ko-KR"/>
        </w:rPr>
        <w:t>), while that value among HLK (the composite of high-skilled labor, capital and knowledge), L2 (skilled labor), and L1 (unskilled labor) is set to be larger than 1 (</w:t>
      </w:r>
      <m:oMath>
        <m:sSub>
          <m:sSubPr>
            <m:ctrlPr>
              <w:rPr>
                <w:rFonts w:ascii="Cambria Math" w:eastAsiaTheme="minorEastAsia" w:hAnsi="Cambria Math" w:cs="Times New Roman"/>
                <w:color w:val="auto"/>
                <w:lang w:eastAsia="ko-KR"/>
              </w:rPr>
            </m:ctrlPr>
          </m:sSubPr>
          <m:e>
            <m:r>
              <w:rPr>
                <w:rFonts w:ascii="Cambria Math" w:eastAsiaTheme="minorEastAsia" w:hAnsi="Cambria Math" w:cs="Times New Roman"/>
                <w:color w:val="auto"/>
                <w:lang w:eastAsia="ko-KR"/>
              </w:rPr>
              <m:t>σ</m:t>
            </m:r>
          </m:e>
          <m:sub>
            <m:r>
              <m:rPr>
                <m:sty m:val="p"/>
              </m:rPr>
              <w:rPr>
                <w:rFonts w:ascii="Cambria Math" w:eastAsiaTheme="minorEastAsia" w:hAnsi="Cambria Math" w:cs="Times New Roman"/>
                <w:color w:val="auto"/>
                <w:lang w:eastAsia="ko-KR"/>
              </w:rPr>
              <m:t>2</m:t>
            </m:r>
          </m:sub>
        </m:sSub>
        <m:r>
          <m:rPr>
            <m:sty m:val="p"/>
          </m:rPr>
          <w:rPr>
            <w:rFonts w:ascii="Cambria Math" w:eastAsiaTheme="minorEastAsia" w:hAnsi="Cambria Math" w:cs="Times New Roman"/>
            <w:color w:val="auto"/>
            <w:lang w:eastAsia="ko-KR"/>
          </w:rPr>
          <m:t>=1.67)</m:t>
        </m:r>
      </m:oMath>
      <w:r w:rsidR="00205DAF" w:rsidRPr="002A4B19">
        <w:rPr>
          <w:rFonts w:eastAsiaTheme="minorEastAsia" w:cs="Times New Roman"/>
          <w:color w:val="auto"/>
          <w:lang w:eastAsia="ko-KR"/>
        </w:rPr>
        <w:t xml:space="preserve">, </w:t>
      </w:r>
      <w:r w:rsidRPr="002A4B19">
        <w:rPr>
          <w:rFonts w:eastAsiaTheme="minorEastAsia" w:cs="Times New Roman" w:hint="eastAsia"/>
          <w:color w:val="auto"/>
          <w:lang w:eastAsia="ko-KR"/>
        </w:rPr>
        <w:t xml:space="preserve">to </w:t>
      </w:r>
      <w:r w:rsidRPr="002A4B19">
        <w:rPr>
          <w:rFonts w:eastAsiaTheme="minorEastAsia" w:cs="Times New Roman"/>
          <w:color w:val="auto"/>
          <w:lang w:eastAsia="ko-KR"/>
        </w:rPr>
        <w:t xml:space="preserve">reflect SBTC and capital-biased technical progress from R&amp;D investments into </w:t>
      </w:r>
      <w:r w:rsidR="00205DAF" w:rsidRPr="002A4B19">
        <w:rPr>
          <w:rFonts w:eastAsiaTheme="minorEastAsia" w:cs="Times New Roman"/>
          <w:color w:val="auto"/>
          <w:lang w:eastAsia="ko-KR"/>
        </w:rPr>
        <w:t>a model via the</w:t>
      </w:r>
      <w:r w:rsidRPr="002A4B19">
        <w:rPr>
          <w:rFonts w:eastAsiaTheme="minorEastAsia" w:cs="Times New Roman"/>
          <w:color w:val="auto"/>
          <w:lang w:eastAsia="ko-KR"/>
        </w:rPr>
        <w:t xml:space="preserve"> production structure. Those parameters are key factors describing intrinsic properties of technological progress, which can be summarized as labor-saving and skill-biased technological change</w:t>
      </w:r>
      <w:r w:rsidR="00F9183E" w:rsidRPr="002A4B19">
        <w:rPr>
          <w:rFonts w:eastAsiaTheme="minorEastAsia" w:cs="Times New Roman"/>
          <w:color w:val="auto"/>
          <w:lang w:eastAsia="ko-KR"/>
        </w:rPr>
        <w:t>s</w:t>
      </w:r>
      <w:r w:rsidRPr="002A4B19">
        <w:rPr>
          <w:rFonts w:eastAsiaTheme="minorEastAsia" w:cs="Times New Roman"/>
          <w:color w:val="auto"/>
          <w:lang w:eastAsia="ko-KR"/>
        </w:rPr>
        <w:t>. For the sensitivity analysis, we change the value for the elasticity of substitution among HLK, K, and H (</w:t>
      </w:r>
      <m:oMath>
        <m:sSub>
          <m:sSubPr>
            <m:ctrlPr>
              <w:rPr>
                <w:rFonts w:ascii="Cambria Math" w:eastAsiaTheme="minorEastAsia" w:hAnsi="Cambria Math" w:cs="Times New Roman"/>
                <w:color w:val="auto"/>
                <w:lang w:eastAsia="ko-KR"/>
              </w:rPr>
            </m:ctrlPr>
          </m:sSubPr>
          <m:e>
            <m:r>
              <w:rPr>
                <w:rFonts w:ascii="Cambria Math" w:eastAsiaTheme="minorEastAsia" w:hAnsi="Cambria Math" w:cs="Times New Roman"/>
                <w:color w:val="auto"/>
                <w:lang w:eastAsia="ko-KR"/>
              </w:rPr>
              <m:t>σ</m:t>
            </m:r>
          </m:e>
          <m:sub>
            <m:r>
              <m:rPr>
                <m:sty m:val="p"/>
              </m:rPr>
              <w:rPr>
                <w:rFonts w:ascii="Cambria Math" w:eastAsiaTheme="minorEastAsia" w:hAnsi="Cambria Math" w:cs="Times New Roman"/>
                <w:color w:val="auto"/>
                <w:lang w:eastAsia="ko-KR"/>
              </w:rPr>
              <m:t>2</m:t>
            </m:r>
          </m:sub>
        </m:sSub>
      </m:oMath>
      <w:r w:rsidRPr="002A4B19">
        <w:rPr>
          <w:rFonts w:eastAsiaTheme="minorEastAsia" w:cs="Times New Roman" w:hint="eastAsia"/>
          <w:color w:val="auto"/>
          <w:lang w:eastAsia="ko-KR"/>
        </w:rPr>
        <w:t>)</w:t>
      </w:r>
      <w:r w:rsidRPr="002A4B19">
        <w:rPr>
          <w:rFonts w:eastAsiaTheme="minorEastAsia" w:cs="Times New Roman"/>
          <w:color w:val="auto"/>
          <w:lang w:eastAsia="ko-KR"/>
        </w:rPr>
        <w:t xml:space="preserve"> while the value of </w:t>
      </w:r>
      <m:oMath>
        <m:sSub>
          <m:sSubPr>
            <m:ctrlPr>
              <w:rPr>
                <w:rFonts w:ascii="Cambria Math" w:eastAsiaTheme="minorEastAsia" w:hAnsi="Cambria Math" w:cs="Times New Roman"/>
                <w:color w:val="auto"/>
                <w:lang w:eastAsia="ko-KR"/>
              </w:rPr>
            </m:ctrlPr>
          </m:sSubPr>
          <m:e>
            <m:r>
              <w:rPr>
                <w:rFonts w:ascii="Cambria Math" w:eastAsiaTheme="minorEastAsia" w:hAnsi="Cambria Math" w:cs="Times New Roman"/>
                <w:color w:val="auto"/>
                <w:lang w:eastAsia="ko-KR"/>
              </w:rPr>
              <m:t>σ</m:t>
            </m:r>
          </m:e>
          <m:sub>
            <m:r>
              <m:rPr>
                <m:sty m:val="p"/>
              </m:rPr>
              <w:rPr>
                <w:rFonts w:ascii="Cambria Math" w:eastAsiaTheme="minorEastAsia" w:hAnsi="Cambria Math" w:cs="Times New Roman"/>
                <w:color w:val="auto"/>
                <w:lang w:eastAsia="ko-KR"/>
              </w:rPr>
              <m:t>1</m:t>
            </m:r>
          </m:sub>
        </m:sSub>
        <m:r>
          <m:rPr>
            <m:sty m:val="p"/>
          </m:rPr>
          <w:rPr>
            <w:rFonts w:ascii="Cambria Math" w:eastAsiaTheme="minorEastAsia" w:hAnsi="Cambria Math" w:cs="Times New Roman"/>
            <w:color w:val="auto"/>
            <w:lang w:eastAsia="ko-KR"/>
          </w:rPr>
          <m:t xml:space="preserve"> </m:t>
        </m:r>
      </m:oMath>
      <w:r w:rsidRPr="002A4B19">
        <w:rPr>
          <w:rFonts w:eastAsiaTheme="minorEastAsia" w:cs="Times New Roman" w:hint="eastAsia"/>
          <w:color w:val="auto"/>
          <w:lang w:eastAsia="ko-KR"/>
        </w:rPr>
        <w:t>is fixed.</w:t>
      </w:r>
    </w:p>
    <w:p w:rsidR="00102F4C" w:rsidRPr="002A4B19" w:rsidRDefault="00102F4C" w:rsidP="00102F4C">
      <w:pPr>
        <w:pStyle w:val="Mdeck4text"/>
        <w:rPr>
          <w:rFonts w:eastAsiaTheme="minorEastAsia" w:cs="Times New Roman"/>
          <w:color w:val="auto"/>
          <w:lang w:eastAsia="ko-KR"/>
        </w:rPr>
      </w:pPr>
      <w:r w:rsidRPr="002A4B19">
        <w:rPr>
          <w:rFonts w:eastAsiaTheme="minorEastAsia" w:cs="Times New Roman" w:hint="eastAsia"/>
          <w:color w:val="auto"/>
          <w:lang w:eastAsia="ko-KR"/>
        </w:rPr>
        <w:t>Table 8 compares key results between the original model and the model</w:t>
      </w:r>
      <w:r w:rsidRPr="002A4B19">
        <w:rPr>
          <w:rFonts w:eastAsiaTheme="minorEastAsia" w:cs="Times New Roman"/>
          <w:color w:val="auto"/>
          <w:lang w:eastAsia="ko-KR"/>
        </w:rPr>
        <w:t>s</w:t>
      </w:r>
      <w:r w:rsidRPr="002A4B19">
        <w:rPr>
          <w:rFonts w:eastAsiaTheme="minorEastAsia" w:cs="Times New Roman" w:hint="eastAsia"/>
          <w:color w:val="auto"/>
          <w:lang w:eastAsia="ko-KR"/>
        </w:rPr>
        <w:t xml:space="preserve"> built for the sensitivity analysis with lower and higher levels of </w:t>
      </w:r>
      <m:oMath>
        <m:sSub>
          <m:sSubPr>
            <m:ctrlPr>
              <w:rPr>
                <w:rFonts w:ascii="Cambria Math" w:eastAsiaTheme="minorEastAsia" w:hAnsi="Cambria Math" w:cs="Times New Roman"/>
                <w:color w:val="auto"/>
                <w:lang w:eastAsia="ko-KR"/>
              </w:rPr>
            </m:ctrlPr>
          </m:sSubPr>
          <m:e>
            <m:r>
              <w:rPr>
                <w:rFonts w:ascii="Cambria Math" w:eastAsiaTheme="minorEastAsia" w:hAnsi="Cambria Math" w:cs="Times New Roman"/>
                <w:color w:val="auto"/>
                <w:lang w:eastAsia="ko-KR"/>
              </w:rPr>
              <m:t>σ</m:t>
            </m:r>
          </m:e>
          <m:sub>
            <m:r>
              <m:rPr>
                <m:sty m:val="p"/>
              </m:rPr>
              <w:rPr>
                <w:rFonts w:ascii="Cambria Math" w:eastAsiaTheme="minorEastAsia" w:hAnsi="Cambria Math" w:cs="Times New Roman"/>
                <w:color w:val="auto"/>
                <w:lang w:eastAsia="ko-KR"/>
              </w:rPr>
              <m:t>2</m:t>
            </m:r>
          </m:sub>
        </m:sSub>
      </m:oMath>
      <w:r w:rsidRPr="002A4B19">
        <w:rPr>
          <w:rFonts w:eastAsiaTheme="minorEastAsia" w:cs="Times New Roman" w:hint="eastAsia"/>
          <w:color w:val="auto"/>
          <w:lang w:eastAsia="ko-KR"/>
        </w:rPr>
        <w:t xml:space="preserve">. </w:t>
      </w:r>
      <w:r w:rsidRPr="002A4B19">
        <w:rPr>
          <w:rFonts w:eastAsiaTheme="minorEastAsia" w:cs="Times New Roman"/>
          <w:color w:val="auto"/>
          <w:lang w:eastAsia="ko-KR"/>
        </w:rPr>
        <w:t xml:space="preserve">We change the value of </w:t>
      </w:r>
      <m:oMath>
        <m:sSub>
          <m:sSubPr>
            <m:ctrlPr>
              <w:rPr>
                <w:rFonts w:ascii="Cambria Math" w:eastAsiaTheme="minorEastAsia" w:hAnsi="Cambria Math" w:cs="Times New Roman"/>
                <w:color w:val="auto"/>
                <w:lang w:eastAsia="ko-KR"/>
              </w:rPr>
            </m:ctrlPr>
          </m:sSubPr>
          <m:e>
            <m:r>
              <w:rPr>
                <w:rFonts w:ascii="Cambria Math" w:eastAsiaTheme="minorEastAsia" w:hAnsi="Cambria Math" w:cs="Times New Roman"/>
                <w:color w:val="auto"/>
                <w:lang w:eastAsia="ko-KR"/>
              </w:rPr>
              <m:t>σ</m:t>
            </m:r>
          </m:e>
          <m:sub>
            <m:r>
              <m:rPr>
                <m:sty m:val="p"/>
              </m:rPr>
              <w:rPr>
                <w:rFonts w:ascii="Cambria Math" w:eastAsiaTheme="minorEastAsia" w:hAnsi="Cambria Math" w:cs="Times New Roman"/>
                <w:color w:val="auto"/>
                <w:lang w:eastAsia="ko-KR"/>
              </w:rPr>
              <m:t>2</m:t>
            </m:r>
          </m:sub>
        </m:sSub>
      </m:oMath>
      <w:r w:rsidRPr="002A4B19">
        <w:rPr>
          <w:rFonts w:eastAsiaTheme="minorEastAsia" w:cs="Times New Roman" w:hint="eastAsia"/>
          <w:color w:val="auto"/>
          <w:lang w:eastAsia="ko-KR"/>
        </w:rPr>
        <w:t xml:space="preserve"> from 1.67 </w:t>
      </w:r>
      <w:r w:rsidRPr="002A4B19">
        <w:rPr>
          <w:rFonts w:eastAsiaTheme="minorEastAsia" w:cs="Times New Roman"/>
          <w:color w:val="auto"/>
          <w:lang w:eastAsia="ko-KR"/>
        </w:rPr>
        <w:t xml:space="preserve">(original value) </w:t>
      </w:r>
      <w:r w:rsidRPr="002A4B19">
        <w:rPr>
          <w:rFonts w:eastAsiaTheme="minorEastAsia" w:cs="Times New Roman" w:hint="eastAsia"/>
          <w:color w:val="auto"/>
          <w:lang w:eastAsia="ko-KR"/>
        </w:rPr>
        <w:t xml:space="preserve">to 1.0 and 2.0, which </w:t>
      </w:r>
      <w:r w:rsidRPr="002A4B19">
        <w:rPr>
          <w:rFonts w:eastAsiaTheme="minorEastAsia" w:cs="Times New Roman"/>
          <w:color w:val="auto"/>
          <w:lang w:eastAsia="ko-KR"/>
        </w:rPr>
        <w:t>reflect</w:t>
      </w:r>
      <w:r w:rsidRPr="002A4B19">
        <w:rPr>
          <w:rFonts w:eastAsiaTheme="minorEastAsia" w:cs="Times New Roman" w:hint="eastAsia"/>
          <w:color w:val="auto"/>
          <w:lang w:eastAsia="ko-KR"/>
        </w:rPr>
        <w:t xml:space="preserve"> </w:t>
      </w:r>
      <w:r w:rsidRPr="002A4B19">
        <w:rPr>
          <w:rFonts w:eastAsiaTheme="minorEastAsia" w:cs="Times New Roman"/>
          <w:color w:val="auto"/>
          <w:lang w:eastAsia="ko-KR"/>
        </w:rPr>
        <w:t>a lower and a higher substitution potential respectively. The “scenario 2 with a lower elasticity” (SCN2-LOW) and the “scenario 2 with a higher elasticity” (SCN2-HIGH) show the results from simulations with the lower (</w:t>
      </w:r>
      <m:oMath>
        <m:sSub>
          <m:sSubPr>
            <m:ctrlPr>
              <w:rPr>
                <w:rFonts w:ascii="Cambria Math" w:eastAsiaTheme="minorEastAsia" w:hAnsi="Cambria Math" w:cs="Times New Roman"/>
                <w:color w:val="auto"/>
                <w:lang w:eastAsia="ko-KR"/>
              </w:rPr>
            </m:ctrlPr>
          </m:sSubPr>
          <m:e>
            <m:r>
              <w:rPr>
                <w:rFonts w:ascii="Cambria Math" w:eastAsiaTheme="minorEastAsia" w:hAnsi="Cambria Math" w:cs="Times New Roman"/>
                <w:color w:val="auto"/>
                <w:lang w:eastAsia="ko-KR"/>
              </w:rPr>
              <m:t>σ</m:t>
            </m:r>
          </m:e>
          <m:sub>
            <m:r>
              <m:rPr>
                <m:sty m:val="p"/>
              </m:rPr>
              <w:rPr>
                <w:rFonts w:ascii="Cambria Math" w:eastAsiaTheme="minorEastAsia" w:hAnsi="Cambria Math" w:cs="Times New Roman"/>
                <w:color w:val="auto"/>
                <w:lang w:eastAsia="ko-KR"/>
              </w:rPr>
              <m:t>2</m:t>
            </m:r>
          </m:sub>
        </m:sSub>
        <m:r>
          <m:rPr>
            <m:sty m:val="p"/>
          </m:rPr>
          <w:rPr>
            <w:rFonts w:ascii="Cambria Math" w:eastAsiaTheme="minorEastAsia" w:hAnsi="Cambria Math" w:cs="Times New Roman"/>
            <w:color w:val="auto"/>
            <w:lang w:eastAsia="ko-KR"/>
          </w:rPr>
          <m:t>=1.0)</m:t>
        </m:r>
      </m:oMath>
      <w:r w:rsidRPr="002A4B19">
        <w:rPr>
          <w:rFonts w:eastAsiaTheme="minorEastAsia" w:cs="Times New Roman"/>
          <w:color w:val="auto"/>
          <w:lang w:eastAsia="ko-KR"/>
        </w:rPr>
        <w:t xml:space="preserve"> and the higher value </w:t>
      </w:r>
      <m:oMath>
        <m:sSub>
          <m:sSubPr>
            <m:ctrlPr>
              <w:rPr>
                <w:rFonts w:ascii="Cambria Math" w:eastAsiaTheme="minorEastAsia" w:hAnsi="Cambria Math" w:cs="Times New Roman"/>
                <w:color w:val="auto"/>
                <w:lang w:eastAsia="ko-KR"/>
              </w:rPr>
            </m:ctrlPr>
          </m:sSubPr>
          <m:e>
            <m:r>
              <m:rPr>
                <m:sty m:val="p"/>
              </m:rPr>
              <w:rPr>
                <w:rFonts w:ascii="Cambria Math" w:eastAsiaTheme="minorEastAsia" w:hAnsi="Cambria Math" w:cs="Times New Roman"/>
                <w:color w:val="auto"/>
                <w:lang w:eastAsia="ko-KR"/>
              </w:rPr>
              <m:t>(</m:t>
            </m:r>
            <m:r>
              <w:rPr>
                <w:rFonts w:ascii="Cambria Math" w:eastAsiaTheme="minorEastAsia" w:hAnsi="Cambria Math" w:cs="Times New Roman"/>
                <w:color w:val="auto"/>
                <w:lang w:eastAsia="ko-KR"/>
              </w:rPr>
              <m:t>σ</m:t>
            </m:r>
          </m:e>
          <m:sub>
            <m:r>
              <m:rPr>
                <m:sty m:val="p"/>
              </m:rPr>
              <w:rPr>
                <w:rFonts w:ascii="Cambria Math" w:eastAsiaTheme="minorEastAsia" w:hAnsi="Cambria Math" w:cs="Times New Roman"/>
                <w:color w:val="auto"/>
                <w:lang w:eastAsia="ko-KR"/>
              </w:rPr>
              <m:t>2</m:t>
            </m:r>
          </m:sub>
        </m:sSub>
        <m:r>
          <m:rPr>
            <m:sty m:val="p"/>
          </m:rPr>
          <w:rPr>
            <w:rFonts w:ascii="Cambria Math" w:eastAsiaTheme="minorEastAsia" w:hAnsi="Cambria Math" w:cs="Times New Roman"/>
            <w:color w:val="auto"/>
            <w:lang w:eastAsia="ko-KR"/>
          </w:rPr>
          <m:t>=2.0)</m:t>
        </m:r>
      </m:oMath>
      <w:r w:rsidRPr="002A4B19">
        <w:rPr>
          <w:rFonts w:eastAsiaTheme="minorEastAsia" w:cs="Times New Roman"/>
          <w:color w:val="auto"/>
          <w:lang w:eastAsia="ko-KR"/>
        </w:rPr>
        <w:t xml:space="preserve"> of the elasticity. These</w:t>
      </w:r>
      <w:r w:rsidR="007E2E0B" w:rsidRPr="002A4B19">
        <w:rPr>
          <w:rFonts w:eastAsiaTheme="minorEastAsia" w:cs="Times New Roman"/>
          <w:color w:val="auto"/>
          <w:lang w:eastAsia="ko-KR"/>
        </w:rPr>
        <w:t xml:space="preserve"> methodological settings</w:t>
      </w:r>
      <w:r w:rsidRPr="002A4B19">
        <w:rPr>
          <w:rFonts w:eastAsiaTheme="minorEastAsia" w:cs="Times New Roman"/>
          <w:color w:val="auto"/>
          <w:lang w:eastAsia="ko-KR"/>
        </w:rPr>
        <w:t xml:space="preserve"> capture the different degrees of factor-biased technological change. As shown in the Table 8, the results are very similar with results from the original model (SCN2), showing minor differences in the level of changes in labor demand, GDP level, and the value-added composition. </w:t>
      </w:r>
      <w:r w:rsidRPr="002A4B19">
        <w:rPr>
          <w:rFonts w:eastAsiaTheme="minorEastAsia" w:cs="Times New Roman" w:hint="eastAsia"/>
          <w:color w:val="auto"/>
          <w:lang w:eastAsia="ko-KR"/>
        </w:rPr>
        <w:t>Thus, from the sensitivity analysis</w:t>
      </w:r>
      <w:r w:rsidRPr="002A4B19">
        <w:rPr>
          <w:rFonts w:eastAsiaTheme="minorEastAsia" w:cs="Times New Roman"/>
          <w:color w:val="auto"/>
          <w:lang w:eastAsia="ko-KR"/>
        </w:rPr>
        <w:t xml:space="preserve"> we can conclude that</w:t>
      </w:r>
      <w:r w:rsidRPr="002A4B19">
        <w:rPr>
          <w:rFonts w:eastAsiaTheme="minorEastAsia" w:cs="Times New Roman" w:hint="eastAsia"/>
          <w:color w:val="auto"/>
          <w:lang w:eastAsia="ko-KR"/>
        </w:rPr>
        <w:t xml:space="preserve"> </w:t>
      </w:r>
      <w:r w:rsidRPr="002A4B19">
        <w:rPr>
          <w:rFonts w:eastAsiaTheme="minorEastAsia" w:cs="Times New Roman"/>
          <w:color w:val="auto"/>
          <w:lang w:eastAsia="ko-KR"/>
        </w:rPr>
        <w:t>our model</w:t>
      </w:r>
      <w:r w:rsidRPr="002A4B19">
        <w:rPr>
          <w:rFonts w:eastAsiaTheme="minorEastAsia" w:cs="Times New Roman" w:hint="eastAsia"/>
          <w:color w:val="auto"/>
          <w:lang w:eastAsia="ko-KR"/>
        </w:rPr>
        <w:t xml:space="preserve"> appears to be quite robust. </w:t>
      </w:r>
      <w:r w:rsidRPr="002A4B19">
        <w:rPr>
          <w:rFonts w:eastAsiaTheme="minorEastAsia" w:cs="Times New Roman"/>
          <w:color w:val="auto"/>
          <w:lang w:eastAsia="ko-KR"/>
        </w:rPr>
        <w:t xml:space="preserve">An increased level of substitution among HLK, L2, and L1 enables more efficient production and stimulates higher economic growth with </w:t>
      </w:r>
      <w:r w:rsidR="00205DAF" w:rsidRPr="002A4B19">
        <w:rPr>
          <w:rFonts w:eastAsiaTheme="minorEastAsia" w:cs="Times New Roman"/>
          <w:color w:val="auto"/>
          <w:lang w:eastAsia="ko-KR"/>
        </w:rPr>
        <w:t>productivity improvements</w:t>
      </w:r>
      <w:r w:rsidRPr="002A4B19">
        <w:rPr>
          <w:rFonts w:eastAsiaTheme="minorEastAsia" w:cs="Times New Roman"/>
          <w:color w:val="auto"/>
          <w:lang w:eastAsia="ko-KR"/>
        </w:rPr>
        <w:t xml:space="preserve">. However, it tends to more disproportionately </w:t>
      </w:r>
      <w:r w:rsidR="0044620D" w:rsidRPr="002A4B19">
        <w:rPr>
          <w:rFonts w:eastAsiaTheme="minorEastAsia" w:cs="Times New Roman"/>
          <w:color w:val="auto"/>
          <w:lang w:eastAsia="ko-KR"/>
        </w:rPr>
        <w:t>increase</w:t>
      </w:r>
      <w:r w:rsidRPr="002A4B19">
        <w:rPr>
          <w:rFonts w:eastAsiaTheme="minorEastAsia" w:cs="Times New Roman"/>
          <w:color w:val="auto"/>
          <w:lang w:eastAsia="ko-KR"/>
        </w:rPr>
        <w:t xml:space="preserve"> the demand for capital and high-skilled labor over skilled and unskilled labor, which results in increased skill premiums and capital earnings. In summary, from the sensitivity analysis it is found that these tendencies are intensified and accelerated by increasing value of </w:t>
      </w:r>
      <m:oMath>
        <m:sSub>
          <m:sSubPr>
            <m:ctrlPr>
              <w:rPr>
                <w:rFonts w:ascii="Cambria Math" w:eastAsiaTheme="minorEastAsia" w:hAnsi="Cambria Math" w:cs="Times New Roman"/>
                <w:color w:val="auto"/>
                <w:lang w:eastAsia="ko-KR"/>
              </w:rPr>
            </m:ctrlPr>
          </m:sSubPr>
          <m:e>
            <m:r>
              <w:rPr>
                <w:rFonts w:ascii="Cambria Math" w:eastAsiaTheme="minorEastAsia" w:hAnsi="Cambria Math" w:cs="Times New Roman"/>
                <w:color w:val="auto"/>
                <w:lang w:eastAsia="ko-KR"/>
              </w:rPr>
              <m:t>σ</m:t>
            </m:r>
          </m:e>
          <m:sub>
            <m:r>
              <m:rPr>
                <m:sty m:val="p"/>
              </m:rPr>
              <w:rPr>
                <w:rFonts w:ascii="Cambria Math" w:eastAsiaTheme="minorEastAsia" w:hAnsi="Cambria Math" w:cs="Times New Roman"/>
                <w:color w:val="auto"/>
                <w:lang w:eastAsia="ko-KR"/>
              </w:rPr>
              <m:t>2</m:t>
            </m:r>
          </m:sub>
        </m:sSub>
      </m:oMath>
      <w:r w:rsidRPr="002A4B19">
        <w:rPr>
          <w:rFonts w:eastAsiaTheme="minorEastAsia" w:cs="Times New Roman"/>
          <w:color w:val="auto"/>
          <w:lang w:eastAsia="ko-KR"/>
        </w:rPr>
        <w:t>.</w:t>
      </w:r>
    </w:p>
    <w:p w:rsidR="00102F4C" w:rsidRPr="002A4B19" w:rsidRDefault="00102F4C" w:rsidP="00102F4C">
      <w:pPr>
        <w:pStyle w:val="Mdeck4text"/>
        <w:rPr>
          <w:rFonts w:eastAsiaTheme="minorEastAsia" w:cs="Times New Roman"/>
          <w:color w:val="auto"/>
          <w:highlight w:val="yellow"/>
          <w:lang w:eastAsia="ko-KR"/>
        </w:rPr>
      </w:pPr>
    </w:p>
    <w:p w:rsidR="00102F4C" w:rsidRPr="002A4B19" w:rsidRDefault="00102F4C" w:rsidP="00102F4C">
      <w:pPr>
        <w:pStyle w:val="a6"/>
        <w:keepNext/>
        <w:jc w:val="center"/>
        <w:rPr>
          <w:rFonts w:ascii="Times New Roman" w:hAnsi="Times New Roman" w:cs="Times New Roman"/>
          <w:b w:val="0"/>
          <w:sz w:val="24"/>
        </w:rPr>
      </w:pPr>
      <w:r w:rsidRPr="002A4B19">
        <w:rPr>
          <w:rFonts w:ascii="Times New Roman" w:hAnsi="Times New Roman" w:cs="Times New Roman"/>
          <w:b w:val="0"/>
          <w:sz w:val="24"/>
        </w:rPr>
        <w:t xml:space="preserve">Table </w:t>
      </w:r>
      <w:r w:rsidRPr="002A4B19">
        <w:rPr>
          <w:rFonts w:ascii="Times New Roman" w:hAnsi="Times New Roman" w:cs="Times New Roman"/>
          <w:b w:val="0"/>
          <w:sz w:val="24"/>
        </w:rPr>
        <w:fldChar w:fldCharType="begin"/>
      </w:r>
      <w:r w:rsidRPr="002A4B19">
        <w:rPr>
          <w:rFonts w:ascii="Times New Roman" w:hAnsi="Times New Roman" w:cs="Times New Roman"/>
          <w:b w:val="0"/>
          <w:sz w:val="24"/>
        </w:rPr>
        <w:instrText xml:space="preserve"> SEQ Table \* ARABIC </w:instrText>
      </w:r>
      <w:r w:rsidRPr="002A4B19">
        <w:rPr>
          <w:rFonts w:ascii="Times New Roman" w:hAnsi="Times New Roman" w:cs="Times New Roman"/>
          <w:b w:val="0"/>
          <w:sz w:val="24"/>
        </w:rPr>
        <w:fldChar w:fldCharType="separate"/>
      </w:r>
      <w:r w:rsidRPr="002A4B19">
        <w:rPr>
          <w:rFonts w:ascii="Times New Roman" w:hAnsi="Times New Roman" w:cs="Times New Roman"/>
          <w:b w:val="0"/>
          <w:noProof/>
          <w:sz w:val="24"/>
        </w:rPr>
        <w:t>8</w:t>
      </w:r>
      <w:r w:rsidRPr="002A4B19">
        <w:rPr>
          <w:rFonts w:ascii="Times New Roman" w:hAnsi="Times New Roman" w:cs="Times New Roman"/>
          <w:b w:val="0"/>
          <w:sz w:val="24"/>
        </w:rPr>
        <w:fldChar w:fldCharType="end"/>
      </w:r>
      <w:r w:rsidRPr="002A4B19">
        <w:rPr>
          <w:rFonts w:ascii="Times New Roman" w:hAnsi="Times New Roman" w:cs="Times New Roman"/>
          <w:b w:val="0"/>
          <w:sz w:val="24"/>
        </w:rPr>
        <w:t>. Comparison of macroeconomic variables resulting from a sensitivity analysis</w:t>
      </w:r>
    </w:p>
    <w:tbl>
      <w:tblPr>
        <w:tblW w:w="8767" w:type="dxa"/>
        <w:jc w:val="center"/>
        <w:tblLayout w:type="fixed"/>
        <w:tblCellMar>
          <w:left w:w="99" w:type="dxa"/>
          <w:right w:w="99" w:type="dxa"/>
        </w:tblCellMar>
        <w:tblLook w:val="04A0" w:firstRow="1" w:lastRow="0" w:firstColumn="1" w:lastColumn="0" w:noHBand="0" w:noVBand="1"/>
      </w:tblPr>
      <w:tblGrid>
        <w:gridCol w:w="2127"/>
        <w:gridCol w:w="1984"/>
        <w:gridCol w:w="1552"/>
        <w:gridCol w:w="1552"/>
        <w:gridCol w:w="1552"/>
      </w:tblGrid>
      <w:tr w:rsidR="002A4B19" w:rsidRPr="002A4B19" w:rsidTr="00FA22B7">
        <w:trPr>
          <w:trHeight w:val="374"/>
          <w:jc w:val="center"/>
        </w:trPr>
        <w:tc>
          <w:tcPr>
            <w:tcW w:w="4111" w:type="dxa"/>
            <w:gridSpan w:val="2"/>
            <w:vMerge w:val="restart"/>
            <w:tcBorders>
              <w:top w:val="single" w:sz="18" w:space="0" w:color="auto"/>
              <w:left w:val="nil"/>
              <w:right w:val="single" w:sz="4" w:space="0" w:color="auto"/>
            </w:tcBorders>
            <w:noWrap/>
            <w:vAlign w:val="center"/>
            <w:hideMark/>
          </w:tcPr>
          <w:p w:rsidR="00102F4C" w:rsidRPr="002A4B19" w:rsidRDefault="00102F4C" w:rsidP="00FA22B7">
            <w:pPr>
              <w:pStyle w:val="Mdeck4text"/>
              <w:spacing w:line="276" w:lineRule="auto"/>
              <w:jc w:val="center"/>
              <w:rPr>
                <w:rFonts w:cs="Times New Roman"/>
                <w:b/>
                <w:color w:val="auto"/>
                <w:sz w:val="22"/>
                <w:szCs w:val="24"/>
              </w:rPr>
            </w:pPr>
            <w:r w:rsidRPr="002A4B19">
              <w:rPr>
                <w:rFonts w:eastAsia="HY신명조" w:cs="Times New Roman"/>
                <w:b/>
                <w:color w:val="auto"/>
                <w:kern w:val="2"/>
                <w:sz w:val="22"/>
                <w:szCs w:val="22"/>
                <w:lang w:eastAsia="ko-KR" w:bidi="ar-SA"/>
              </w:rPr>
              <w:t>Indicator</w:t>
            </w:r>
          </w:p>
        </w:tc>
        <w:tc>
          <w:tcPr>
            <w:tcW w:w="4656" w:type="dxa"/>
            <w:gridSpan w:val="3"/>
            <w:tcBorders>
              <w:top w:val="single" w:sz="18" w:space="0" w:color="auto"/>
              <w:left w:val="single" w:sz="4" w:space="0" w:color="auto"/>
              <w:bottom w:val="single" w:sz="4" w:space="0" w:color="auto"/>
              <w:right w:val="nil"/>
            </w:tcBorders>
            <w:vAlign w:val="center"/>
          </w:tcPr>
          <w:p w:rsidR="00102F4C" w:rsidRPr="002A4B19" w:rsidRDefault="00102F4C" w:rsidP="00FA22B7">
            <w:pPr>
              <w:pStyle w:val="Mdeck4text"/>
              <w:spacing w:line="276" w:lineRule="auto"/>
              <w:jc w:val="center"/>
              <w:rPr>
                <w:rFonts w:eastAsia="HY신명조" w:cs="Times New Roman"/>
                <w:b/>
                <w:color w:val="auto"/>
                <w:kern w:val="2"/>
                <w:sz w:val="22"/>
                <w:szCs w:val="22"/>
                <w:lang w:eastAsia="ko-KR" w:bidi="ar-SA"/>
              </w:rPr>
            </w:pPr>
            <w:r w:rsidRPr="002A4B19">
              <w:rPr>
                <w:rFonts w:eastAsia="HY신명조" w:cs="Times New Roman"/>
                <w:b/>
                <w:color w:val="auto"/>
                <w:kern w:val="2"/>
                <w:sz w:val="22"/>
                <w:szCs w:val="22"/>
                <w:lang w:eastAsia="ko-KR" w:bidi="ar-SA"/>
              </w:rPr>
              <w:t>Scenario</w:t>
            </w:r>
          </w:p>
        </w:tc>
      </w:tr>
      <w:tr w:rsidR="002A4B19" w:rsidRPr="002A4B19" w:rsidTr="00FA22B7">
        <w:trPr>
          <w:trHeight w:val="808"/>
          <w:jc w:val="center"/>
        </w:trPr>
        <w:tc>
          <w:tcPr>
            <w:tcW w:w="4111" w:type="dxa"/>
            <w:gridSpan w:val="2"/>
            <w:vMerge/>
            <w:tcBorders>
              <w:left w:val="nil"/>
              <w:right w:val="single" w:sz="4" w:space="0" w:color="auto"/>
            </w:tcBorders>
            <w:noWrap/>
            <w:vAlign w:val="bottom"/>
          </w:tcPr>
          <w:p w:rsidR="00102F4C" w:rsidRPr="002A4B19" w:rsidRDefault="00102F4C" w:rsidP="00FA22B7">
            <w:pPr>
              <w:pStyle w:val="Mdeck4text"/>
              <w:spacing w:line="276" w:lineRule="auto"/>
              <w:jc w:val="center"/>
              <w:rPr>
                <w:rFonts w:eastAsia="HY신명조" w:cs="Times New Roman"/>
                <w:b/>
                <w:color w:val="auto"/>
                <w:kern w:val="2"/>
                <w:sz w:val="22"/>
                <w:szCs w:val="22"/>
                <w:lang w:eastAsia="ko-KR" w:bidi="ar-SA"/>
              </w:rPr>
            </w:pPr>
          </w:p>
        </w:tc>
        <w:tc>
          <w:tcPr>
            <w:tcW w:w="1552" w:type="dxa"/>
            <w:tcBorders>
              <w:top w:val="single" w:sz="4" w:space="0" w:color="auto"/>
              <w:left w:val="single" w:sz="4" w:space="0" w:color="auto"/>
              <w:right w:val="nil"/>
            </w:tcBorders>
            <w:vAlign w:val="center"/>
          </w:tcPr>
          <w:p w:rsidR="00102F4C" w:rsidRPr="002A4B19" w:rsidRDefault="00102F4C" w:rsidP="00FA22B7">
            <w:pPr>
              <w:pStyle w:val="Mdeck4text"/>
              <w:spacing w:line="276" w:lineRule="auto"/>
              <w:ind w:firstLine="0"/>
              <w:jc w:val="center"/>
              <w:rPr>
                <w:rFonts w:eastAsia="HY신명조" w:cs="Times New Roman"/>
                <w:b/>
                <w:color w:val="auto"/>
                <w:kern w:val="2"/>
                <w:sz w:val="22"/>
                <w:szCs w:val="22"/>
                <w:lang w:eastAsia="ko-KR" w:bidi="ar-SA"/>
              </w:rPr>
            </w:pPr>
            <w:r w:rsidRPr="002A4B19">
              <w:rPr>
                <w:rFonts w:eastAsia="HY신명조" w:cs="Times New Roman" w:hint="eastAsia"/>
                <w:b/>
                <w:color w:val="auto"/>
                <w:kern w:val="2"/>
                <w:sz w:val="22"/>
                <w:szCs w:val="22"/>
                <w:lang w:eastAsia="ko-KR" w:bidi="ar-SA"/>
              </w:rPr>
              <w:t>SCN2-</w:t>
            </w:r>
            <w:r w:rsidRPr="002A4B19">
              <w:rPr>
                <w:rFonts w:eastAsia="HY신명조" w:cs="Times New Roman"/>
                <w:b/>
                <w:color w:val="auto"/>
                <w:kern w:val="2"/>
                <w:sz w:val="22"/>
                <w:szCs w:val="22"/>
                <w:lang w:eastAsia="ko-KR" w:bidi="ar-SA"/>
              </w:rPr>
              <w:br/>
            </w:r>
            <w:r w:rsidRPr="002A4B19">
              <w:rPr>
                <w:rFonts w:eastAsia="HY신명조" w:cs="Times New Roman" w:hint="eastAsia"/>
                <w:b/>
                <w:color w:val="auto"/>
                <w:kern w:val="2"/>
                <w:sz w:val="22"/>
                <w:szCs w:val="22"/>
                <w:lang w:eastAsia="ko-KR" w:bidi="ar-SA"/>
              </w:rPr>
              <w:t>LOW</w:t>
            </w:r>
          </w:p>
        </w:tc>
        <w:tc>
          <w:tcPr>
            <w:tcW w:w="1552" w:type="dxa"/>
            <w:tcBorders>
              <w:top w:val="single" w:sz="4" w:space="0" w:color="auto"/>
              <w:left w:val="nil"/>
              <w:right w:val="nil"/>
            </w:tcBorders>
            <w:noWrap/>
            <w:vAlign w:val="center"/>
          </w:tcPr>
          <w:p w:rsidR="00102F4C" w:rsidRPr="002A4B19" w:rsidRDefault="00102F4C" w:rsidP="00FA22B7">
            <w:pPr>
              <w:pStyle w:val="Mdeck4text"/>
              <w:spacing w:line="276" w:lineRule="auto"/>
              <w:ind w:firstLine="0"/>
              <w:jc w:val="center"/>
              <w:rPr>
                <w:rFonts w:eastAsia="HY신명조" w:cs="Times New Roman"/>
                <w:b/>
                <w:color w:val="auto"/>
                <w:kern w:val="2"/>
                <w:sz w:val="22"/>
                <w:szCs w:val="22"/>
                <w:lang w:eastAsia="ko-KR" w:bidi="ar-SA"/>
              </w:rPr>
            </w:pPr>
            <w:r w:rsidRPr="002A4B19">
              <w:rPr>
                <w:rFonts w:eastAsia="HY신명조" w:cs="Times New Roman" w:hint="eastAsia"/>
                <w:b/>
                <w:color w:val="auto"/>
                <w:kern w:val="2"/>
                <w:sz w:val="22"/>
                <w:szCs w:val="22"/>
                <w:lang w:eastAsia="ko-KR" w:bidi="ar-SA"/>
              </w:rPr>
              <w:t>SCN2</w:t>
            </w:r>
          </w:p>
        </w:tc>
        <w:tc>
          <w:tcPr>
            <w:tcW w:w="1552" w:type="dxa"/>
            <w:tcBorders>
              <w:top w:val="single" w:sz="4" w:space="0" w:color="auto"/>
              <w:left w:val="nil"/>
              <w:right w:val="nil"/>
            </w:tcBorders>
            <w:noWrap/>
            <w:vAlign w:val="center"/>
          </w:tcPr>
          <w:p w:rsidR="00102F4C" w:rsidRPr="002A4B19" w:rsidRDefault="00102F4C" w:rsidP="00FA22B7">
            <w:pPr>
              <w:pStyle w:val="Mdeck4text"/>
              <w:spacing w:line="276" w:lineRule="auto"/>
              <w:jc w:val="center"/>
              <w:rPr>
                <w:rFonts w:eastAsia="HY신명조" w:cs="Times New Roman"/>
                <w:b/>
                <w:color w:val="auto"/>
                <w:kern w:val="2"/>
                <w:sz w:val="22"/>
                <w:szCs w:val="22"/>
                <w:lang w:eastAsia="ko-KR" w:bidi="ar-SA"/>
              </w:rPr>
            </w:pPr>
            <w:r w:rsidRPr="002A4B19">
              <w:rPr>
                <w:rFonts w:eastAsia="HY신명조" w:cs="Times New Roman" w:hint="eastAsia"/>
                <w:b/>
                <w:color w:val="auto"/>
                <w:kern w:val="2"/>
                <w:sz w:val="22"/>
                <w:szCs w:val="22"/>
                <w:lang w:eastAsia="ko-KR" w:bidi="ar-SA"/>
              </w:rPr>
              <w:t>SCN2-HIGH</w:t>
            </w:r>
          </w:p>
        </w:tc>
      </w:tr>
      <w:tr w:rsidR="002A4B19" w:rsidRPr="002A4B19" w:rsidTr="00FA22B7">
        <w:trPr>
          <w:trHeight w:val="649"/>
          <w:jc w:val="center"/>
        </w:trPr>
        <w:tc>
          <w:tcPr>
            <w:tcW w:w="4111" w:type="dxa"/>
            <w:gridSpan w:val="2"/>
            <w:tcBorders>
              <w:top w:val="single" w:sz="18" w:space="0" w:color="auto"/>
              <w:left w:val="nil"/>
              <w:bottom w:val="single" w:sz="4" w:space="0" w:color="auto"/>
              <w:right w:val="single" w:sz="4" w:space="0" w:color="auto"/>
            </w:tcBorders>
            <w:noWrap/>
            <w:vAlign w:val="center"/>
          </w:tcPr>
          <w:p w:rsidR="00102F4C" w:rsidRPr="002A4B19" w:rsidRDefault="00102F4C" w:rsidP="00FA22B7">
            <w:pPr>
              <w:pStyle w:val="Mdeck4text"/>
              <w:spacing w:line="276" w:lineRule="auto"/>
              <w:jc w:val="center"/>
              <w:rPr>
                <w:rFonts w:eastAsia="HY신명조" w:cs="Times New Roman"/>
                <w:color w:val="auto"/>
                <w:kern w:val="2"/>
                <w:sz w:val="22"/>
                <w:szCs w:val="22"/>
                <w:lang w:eastAsia="ko-KR" w:bidi="ar-SA"/>
              </w:rPr>
            </w:pPr>
            <w:r w:rsidRPr="002A4B19">
              <w:rPr>
                <w:rFonts w:eastAsia="HY신명조" w:cs="Times New Roman" w:hint="eastAsia"/>
                <w:color w:val="auto"/>
                <w:kern w:val="2"/>
                <w:sz w:val="22"/>
                <w:szCs w:val="22"/>
                <w:lang w:eastAsia="ko-KR" w:bidi="ar-SA"/>
              </w:rPr>
              <w:t xml:space="preserve">GDP level </w:t>
            </w:r>
            <w:r w:rsidRPr="002A4B19">
              <w:rPr>
                <w:rFonts w:eastAsia="HY신명조" w:cs="Times New Roman"/>
                <w:color w:val="auto"/>
                <w:kern w:val="2"/>
                <w:sz w:val="22"/>
                <w:szCs w:val="22"/>
                <w:lang w:eastAsia="ko-KR" w:bidi="ar-SA"/>
              </w:rPr>
              <w:t>in 2030</w:t>
            </w:r>
            <w:r w:rsidRPr="002A4B19">
              <w:rPr>
                <w:rFonts w:eastAsia="HY신명조" w:cs="Times New Roman"/>
                <w:color w:val="auto"/>
                <w:kern w:val="2"/>
                <w:sz w:val="22"/>
                <w:szCs w:val="22"/>
                <w:lang w:eastAsia="ko-KR" w:bidi="ar-SA"/>
              </w:rPr>
              <w:br/>
            </w:r>
            <w:r w:rsidRPr="002A4B19">
              <w:rPr>
                <w:rFonts w:eastAsia="HY신명조" w:cs="Times New Roman" w:hint="eastAsia"/>
                <w:color w:val="auto"/>
                <w:kern w:val="2"/>
                <w:sz w:val="22"/>
                <w:szCs w:val="22"/>
                <w:lang w:eastAsia="ko-KR" w:bidi="ar-SA"/>
              </w:rPr>
              <w:t>(% changes relative to BAU)</w:t>
            </w:r>
          </w:p>
        </w:tc>
        <w:tc>
          <w:tcPr>
            <w:tcW w:w="1552" w:type="dxa"/>
            <w:tcBorders>
              <w:top w:val="single" w:sz="18" w:space="0" w:color="auto"/>
              <w:left w:val="single" w:sz="4" w:space="0" w:color="auto"/>
              <w:bottom w:val="single" w:sz="4" w:space="0" w:color="auto"/>
              <w:right w:val="nil"/>
            </w:tcBorders>
            <w:vAlign w:val="center"/>
          </w:tcPr>
          <w:p w:rsidR="00102F4C" w:rsidRPr="002A4B19" w:rsidRDefault="00102F4C" w:rsidP="00FA22B7">
            <w:pPr>
              <w:pStyle w:val="Mdeck4text"/>
              <w:spacing w:line="276" w:lineRule="auto"/>
              <w:ind w:firstLine="0"/>
              <w:jc w:val="center"/>
              <w:rPr>
                <w:rFonts w:eastAsia="HY신명조" w:cs="Times New Roman"/>
                <w:color w:val="auto"/>
                <w:kern w:val="2"/>
                <w:sz w:val="22"/>
                <w:szCs w:val="22"/>
                <w:lang w:eastAsia="ko-KR" w:bidi="ar-SA"/>
              </w:rPr>
            </w:pPr>
            <w:r w:rsidRPr="002A4B19">
              <w:rPr>
                <w:rFonts w:eastAsia="HY신명조" w:cs="Times New Roman" w:hint="eastAsia"/>
                <w:color w:val="auto"/>
                <w:kern w:val="2"/>
                <w:sz w:val="22"/>
                <w:szCs w:val="22"/>
                <w:lang w:eastAsia="ko-KR" w:bidi="ar-SA"/>
              </w:rPr>
              <w:t>13.0</w:t>
            </w:r>
            <w:r w:rsidRPr="002A4B19">
              <w:rPr>
                <w:rFonts w:eastAsia="HY신명조" w:cs="Times New Roman"/>
                <w:color w:val="auto"/>
                <w:kern w:val="2"/>
                <w:sz w:val="22"/>
                <w:szCs w:val="22"/>
                <w:lang w:eastAsia="ko-KR" w:bidi="ar-SA"/>
              </w:rPr>
              <w:t>3</w:t>
            </w:r>
          </w:p>
        </w:tc>
        <w:tc>
          <w:tcPr>
            <w:tcW w:w="1552" w:type="dxa"/>
            <w:tcBorders>
              <w:top w:val="single" w:sz="18" w:space="0" w:color="auto"/>
              <w:left w:val="nil"/>
              <w:bottom w:val="single" w:sz="4" w:space="0" w:color="auto"/>
              <w:right w:val="nil"/>
            </w:tcBorders>
            <w:noWrap/>
            <w:vAlign w:val="center"/>
          </w:tcPr>
          <w:p w:rsidR="00102F4C" w:rsidRPr="002A4B19" w:rsidRDefault="00102F4C" w:rsidP="00FA22B7">
            <w:pPr>
              <w:pStyle w:val="Mdeck4text"/>
              <w:spacing w:line="276" w:lineRule="auto"/>
              <w:ind w:firstLine="0"/>
              <w:jc w:val="center"/>
              <w:rPr>
                <w:rFonts w:eastAsia="HY신명조" w:cs="Times New Roman"/>
                <w:color w:val="auto"/>
                <w:kern w:val="2"/>
                <w:sz w:val="22"/>
                <w:szCs w:val="22"/>
                <w:lang w:eastAsia="ko-KR" w:bidi="ar-SA"/>
              </w:rPr>
            </w:pPr>
            <w:r w:rsidRPr="002A4B19">
              <w:rPr>
                <w:rFonts w:eastAsia="HY신명조" w:cs="Times New Roman"/>
                <w:color w:val="auto"/>
                <w:kern w:val="2"/>
                <w:sz w:val="22"/>
                <w:szCs w:val="22"/>
                <w:lang w:eastAsia="ko-KR" w:bidi="ar-SA"/>
              </w:rPr>
              <w:t>16.17</w:t>
            </w:r>
          </w:p>
        </w:tc>
        <w:tc>
          <w:tcPr>
            <w:tcW w:w="1552" w:type="dxa"/>
            <w:tcBorders>
              <w:top w:val="single" w:sz="18" w:space="0" w:color="auto"/>
              <w:left w:val="nil"/>
              <w:bottom w:val="single" w:sz="4" w:space="0" w:color="auto"/>
              <w:right w:val="nil"/>
            </w:tcBorders>
            <w:noWrap/>
            <w:vAlign w:val="center"/>
          </w:tcPr>
          <w:p w:rsidR="00102F4C" w:rsidRPr="002A4B19" w:rsidRDefault="00102F4C" w:rsidP="00FA22B7">
            <w:pPr>
              <w:pStyle w:val="Mdeck4text"/>
              <w:spacing w:line="276" w:lineRule="auto"/>
              <w:jc w:val="center"/>
              <w:rPr>
                <w:rFonts w:eastAsia="HY신명조" w:cs="Times New Roman"/>
                <w:color w:val="auto"/>
                <w:kern w:val="2"/>
                <w:sz w:val="22"/>
                <w:szCs w:val="22"/>
                <w:lang w:eastAsia="ko-KR" w:bidi="ar-SA"/>
              </w:rPr>
            </w:pPr>
            <w:r w:rsidRPr="002A4B19">
              <w:rPr>
                <w:rFonts w:eastAsia="HY신명조" w:cs="Times New Roman" w:hint="eastAsia"/>
                <w:color w:val="auto"/>
                <w:kern w:val="2"/>
                <w:sz w:val="22"/>
                <w:szCs w:val="22"/>
                <w:lang w:eastAsia="ko-KR" w:bidi="ar-SA"/>
              </w:rPr>
              <w:t>18.6</w:t>
            </w:r>
            <w:r w:rsidRPr="002A4B19">
              <w:rPr>
                <w:rFonts w:eastAsia="HY신명조" w:cs="Times New Roman"/>
                <w:color w:val="auto"/>
                <w:kern w:val="2"/>
                <w:sz w:val="22"/>
                <w:szCs w:val="22"/>
                <w:lang w:eastAsia="ko-KR" w:bidi="ar-SA"/>
              </w:rPr>
              <w:t>0</w:t>
            </w:r>
          </w:p>
        </w:tc>
      </w:tr>
      <w:tr w:rsidR="002A4B19" w:rsidRPr="002A4B19" w:rsidTr="00FA22B7">
        <w:trPr>
          <w:trHeight w:val="649"/>
          <w:jc w:val="center"/>
        </w:trPr>
        <w:tc>
          <w:tcPr>
            <w:tcW w:w="4111" w:type="dxa"/>
            <w:gridSpan w:val="2"/>
            <w:tcBorders>
              <w:top w:val="single" w:sz="4" w:space="0" w:color="auto"/>
              <w:left w:val="nil"/>
              <w:bottom w:val="single" w:sz="4" w:space="0" w:color="auto"/>
              <w:right w:val="single" w:sz="4" w:space="0" w:color="auto"/>
            </w:tcBorders>
            <w:noWrap/>
            <w:vAlign w:val="center"/>
          </w:tcPr>
          <w:p w:rsidR="00102F4C" w:rsidRPr="002A4B19" w:rsidRDefault="00102F4C" w:rsidP="00FA22B7">
            <w:pPr>
              <w:pStyle w:val="Mdeck4text"/>
              <w:spacing w:line="276" w:lineRule="auto"/>
              <w:jc w:val="center"/>
              <w:rPr>
                <w:rFonts w:eastAsia="HY신명조" w:cs="Times New Roman"/>
                <w:color w:val="auto"/>
                <w:kern w:val="2"/>
                <w:sz w:val="22"/>
                <w:szCs w:val="22"/>
                <w:lang w:eastAsia="ko-KR" w:bidi="ar-SA"/>
              </w:rPr>
            </w:pPr>
            <w:r w:rsidRPr="002A4B19">
              <w:rPr>
                <w:rFonts w:eastAsia="HY신명조" w:cs="Times New Roman" w:hint="eastAsia"/>
                <w:color w:val="auto"/>
                <w:kern w:val="2"/>
                <w:sz w:val="22"/>
                <w:szCs w:val="22"/>
                <w:lang w:eastAsia="ko-KR" w:bidi="ar-SA"/>
              </w:rPr>
              <w:t>Total labor demand in 2030</w:t>
            </w:r>
            <w:r w:rsidRPr="002A4B19">
              <w:rPr>
                <w:rFonts w:eastAsia="HY신명조" w:cs="Times New Roman"/>
                <w:color w:val="auto"/>
                <w:kern w:val="2"/>
                <w:sz w:val="22"/>
                <w:szCs w:val="22"/>
                <w:lang w:eastAsia="ko-KR" w:bidi="ar-SA"/>
              </w:rPr>
              <w:br/>
              <w:t>(% changes relative to BAU)</w:t>
            </w:r>
          </w:p>
        </w:tc>
        <w:tc>
          <w:tcPr>
            <w:tcW w:w="1552" w:type="dxa"/>
            <w:tcBorders>
              <w:top w:val="single" w:sz="4" w:space="0" w:color="auto"/>
              <w:left w:val="single" w:sz="4" w:space="0" w:color="auto"/>
              <w:bottom w:val="single" w:sz="4" w:space="0" w:color="auto"/>
              <w:right w:val="nil"/>
            </w:tcBorders>
            <w:vAlign w:val="center"/>
          </w:tcPr>
          <w:p w:rsidR="00102F4C" w:rsidRPr="002A4B19" w:rsidRDefault="00102F4C" w:rsidP="00FA22B7">
            <w:pPr>
              <w:pStyle w:val="Mdeck4text"/>
              <w:spacing w:line="276" w:lineRule="auto"/>
              <w:ind w:firstLine="0"/>
              <w:jc w:val="center"/>
              <w:rPr>
                <w:rFonts w:eastAsia="HY신명조" w:cs="Times New Roman"/>
                <w:color w:val="auto"/>
                <w:kern w:val="2"/>
                <w:sz w:val="22"/>
                <w:szCs w:val="22"/>
                <w:lang w:eastAsia="ko-KR" w:bidi="ar-SA"/>
              </w:rPr>
            </w:pPr>
            <w:r w:rsidRPr="002A4B19">
              <w:rPr>
                <w:rFonts w:eastAsia="HY신명조" w:cs="Times New Roman" w:hint="eastAsia"/>
                <w:color w:val="auto"/>
                <w:kern w:val="2"/>
                <w:sz w:val="22"/>
                <w:szCs w:val="22"/>
                <w:lang w:eastAsia="ko-KR" w:bidi="ar-SA"/>
              </w:rPr>
              <w:t>16.73</w:t>
            </w:r>
          </w:p>
        </w:tc>
        <w:tc>
          <w:tcPr>
            <w:tcW w:w="1552" w:type="dxa"/>
            <w:tcBorders>
              <w:top w:val="single" w:sz="4" w:space="0" w:color="auto"/>
              <w:left w:val="nil"/>
              <w:bottom w:val="single" w:sz="4" w:space="0" w:color="auto"/>
              <w:right w:val="nil"/>
            </w:tcBorders>
            <w:noWrap/>
            <w:vAlign w:val="center"/>
          </w:tcPr>
          <w:p w:rsidR="00102F4C" w:rsidRPr="002A4B19" w:rsidRDefault="00102F4C" w:rsidP="00FA22B7">
            <w:pPr>
              <w:pStyle w:val="Mdeck4text"/>
              <w:spacing w:line="276" w:lineRule="auto"/>
              <w:ind w:firstLine="0"/>
              <w:jc w:val="center"/>
              <w:rPr>
                <w:rFonts w:eastAsia="HY신명조" w:cs="Times New Roman"/>
                <w:color w:val="auto"/>
                <w:kern w:val="2"/>
                <w:sz w:val="22"/>
                <w:szCs w:val="22"/>
                <w:lang w:eastAsia="ko-KR" w:bidi="ar-SA"/>
              </w:rPr>
            </w:pPr>
            <w:r w:rsidRPr="002A4B19">
              <w:rPr>
                <w:rFonts w:eastAsia="HY신명조" w:cs="Times New Roman" w:hint="eastAsia"/>
                <w:color w:val="auto"/>
                <w:kern w:val="2"/>
                <w:sz w:val="22"/>
                <w:szCs w:val="22"/>
                <w:lang w:eastAsia="ko-KR" w:bidi="ar-SA"/>
              </w:rPr>
              <w:t>14.4</w:t>
            </w:r>
            <w:r w:rsidRPr="002A4B19">
              <w:rPr>
                <w:rFonts w:eastAsia="HY신명조" w:cs="Times New Roman"/>
                <w:color w:val="auto"/>
                <w:kern w:val="2"/>
                <w:sz w:val="22"/>
                <w:szCs w:val="22"/>
                <w:lang w:eastAsia="ko-KR" w:bidi="ar-SA"/>
              </w:rPr>
              <w:t>1</w:t>
            </w:r>
          </w:p>
        </w:tc>
        <w:tc>
          <w:tcPr>
            <w:tcW w:w="1552" w:type="dxa"/>
            <w:tcBorders>
              <w:top w:val="single" w:sz="4" w:space="0" w:color="auto"/>
              <w:left w:val="nil"/>
              <w:bottom w:val="single" w:sz="4" w:space="0" w:color="auto"/>
              <w:right w:val="nil"/>
            </w:tcBorders>
            <w:noWrap/>
            <w:vAlign w:val="center"/>
          </w:tcPr>
          <w:p w:rsidR="00102F4C" w:rsidRPr="002A4B19" w:rsidRDefault="00102F4C" w:rsidP="00FA22B7">
            <w:pPr>
              <w:pStyle w:val="Mdeck4text"/>
              <w:spacing w:line="276" w:lineRule="auto"/>
              <w:jc w:val="center"/>
              <w:rPr>
                <w:rFonts w:eastAsia="HY신명조" w:cs="Times New Roman"/>
                <w:color w:val="auto"/>
                <w:kern w:val="2"/>
                <w:sz w:val="22"/>
                <w:szCs w:val="22"/>
                <w:lang w:eastAsia="ko-KR" w:bidi="ar-SA"/>
              </w:rPr>
            </w:pPr>
            <w:r w:rsidRPr="002A4B19">
              <w:rPr>
                <w:rFonts w:eastAsia="HY신명조" w:cs="Times New Roman" w:hint="eastAsia"/>
                <w:color w:val="auto"/>
                <w:kern w:val="2"/>
                <w:sz w:val="22"/>
                <w:szCs w:val="22"/>
                <w:lang w:eastAsia="ko-KR" w:bidi="ar-SA"/>
              </w:rPr>
              <w:t>13.97</w:t>
            </w:r>
          </w:p>
        </w:tc>
      </w:tr>
      <w:tr w:rsidR="002A4B19" w:rsidRPr="002A4B19" w:rsidTr="00FA22B7">
        <w:trPr>
          <w:trHeight w:val="359"/>
          <w:jc w:val="center"/>
        </w:trPr>
        <w:tc>
          <w:tcPr>
            <w:tcW w:w="2127" w:type="dxa"/>
            <w:vMerge w:val="restart"/>
            <w:tcBorders>
              <w:top w:val="single" w:sz="4" w:space="0" w:color="auto"/>
              <w:left w:val="nil"/>
              <w:right w:val="single" w:sz="4" w:space="0" w:color="auto"/>
            </w:tcBorders>
            <w:noWrap/>
            <w:vAlign w:val="center"/>
          </w:tcPr>
          <w:p w:rsidR="00102F4C" w:rsidRPr="002A4B19" w:rsidRDefault="00102F4C" w:rsidP="00FA22B7">
            <w:pPr>
              <w:widowControl/>
              <w:wordWrap/>
              <w:autoSpaceDE/>
              <w:spacing w:after="0" w:line="276" w:lineRule="auto"/>
              <w:jc w:val="center"/>
              <w:rPr>
                <w:rFonts w:ascii="Times New Roman" w:eastAsia="HY신명조" w:hAnsi="Times New Roman" w:cs="Times New Roman"/>
                <w:kern w:val="0"/>
                <w:sz w:val="22"/>
              </w:rPr>
            </w:pPr>
            <w:r w:rsidRPr="002A4B19">
              <w:rPr>
                <w:rFonts w:ascii="Times New Roman" w:eastAsia="HY신명조" w:hAnsi="Times New Roman" w:cs="Times New Roman" w:hint="eastAsia"/>
                <w:kern w:val="0"/>
                <w:sz w:val="22"/>
              </w:rPr>
              <w:t>V</w:t>
            </w:r>
            <w:r w:rsidRPr="002A4B19">
              <w:rPr>
                <w:rFonts w:ascii="Times New Roman" w:eastAsia="HY신명조" w:hAnsi="Times New Roman" w:cs="Times New Roman"/>
                <w:kern w:val="0"/>
                <w:sz w:val="22"/>
              </w:rPr>
              <w:t xml:space="preserve">alue-added composition </w:t>
            </w:r>
            <w:r w:rsidRPr="002A4B19">
              <w:rPr>
                <w:rFonts w:ascii="Times New Roman" w:eastAsia="HY신명조" w:hAnsi="Times New Roman" w:cs="Times New Roman"/>
                <w:kern w:val="0"/>
                <w:sz w:val="22"/>
              </w:rPr>
              <w:br/>
              <w:t xml:space="preserve">in 2030 </w:t>
            </w:r>
            <w:r w:rsidRPr="002A4B19">
              <w:rPr>
                <w:rFonts w:ascii="Times New Roman" w:eastAsia="HY신명조" w:hAnsi="Times New Roman" w:cs="Times New Roman"/>
                <w:kern w:val="0"/>
                <w:sz w:val="22"/>
              </w:rPr>
              <w:br/>
              <w:t>(% share)</w:t>
            </w:r>
          </w:p>
        </w:tc>
        <w:tc>
          <w:tcPr>
            <w:tcW w:w="1984" w:type="dxa"/>
            <w:tcBorders>
              <w:top w:val="single" w:sz="4" w:space="0" w:color="auto"/>
              <w:left w:val="single" w:sz="4" w:space="0" w:color="auto"/>
              <w:bottom w:val="single" w:sz="4" w:space="0" w:color="auto"/>
              <w:right w:val="single" w:sz="4" w:space="0" w:color="auto"/>
            </w:tcBorders>
            <w:vAlign w:val="center"/>
          </w:tcPr>
          <w:p w:rsidR="00102F4C" w:rsidRPr="002A4B19" w:rsidRDefault="00102F4C" w:rsidP="00FA22B7">
            <w:pPr>
              <w:widowControl/>
              <w:wordWrap/>
              <w:autoSpaceDE/>
              <w:spacing w:after="0" w:line="276" w:lineRule="auto"/>
              <w:jc w:val="center"/>
              <w:rPr>
                <w:rFonts w:ascii="Times New Roman" w:eastAsia="HY신명조" w:hAnsi="Times New Roman" w:cs="Times New Roman"/>
                <w:kern w:val="0"/>
                <w:sz w:val="22"/>
              </w:rPr>
            </w:pPr>
            <w:r w:rsidRPr="002A4B19">
              <w:rPr>
                <w:rFonts w:ascii="Times New Roman" w:eastAsia="HY신명조" w:hAnsi="Times New Roman" w:cs="Times New Roman" w:hint="eastAsia"/>
                <w:kern w:val="0"/>
                <w:sz w:val="22"/>
              </w:rPr>
              <w:t>Capital</w:t>
            </w:r>
          </w:p>
        </w:tc>
        <w:tc>
          <w:tcPr>
            <w:tcW w:w="1552" w:type="dxa"/>
            <w:tcBorders>
              <w:top w:val="single" w:sz="4" w:space="0" w:color="auto"/>
              <w:left w:val="single" w:sz="4" w:space="0" w:color="auto"/>
              <w:bottom w:val="single" w:sz="4" w:space="0" w:color="auto"/>
              <w:right w:val="nil"/>
            </w:tcBorders>
            <w:vAlign w:val="center"/>
          </w:tcPr>
          <w:p w:rsidR="00102F4C" w:rsidRPr="002A4B19" w:rsidRDefault="00102F4C" w:rsidP="00FA22B7">
            <w:pPr>
              <w:widowControl/>
              <w:wordWrap/>
              <w:autoSpaceDE/>
              <w:spacing w:after="0" w:line="276" w:lineRule="auto"/>
              <w:jc w:val="center"/>
              <w:rPr>
                <w:rFonts w:ascii="Times New Roman" w:eastAsia="HY신명조" w:hAnsi="Times New Roman" w:cs="Times New Roman"/>
                <w:kern w:val="0"/>
                <w:sz w:val="22"/>
              </w:rPr>
            </w:pPr>
            <w:r w:rsidRPr="002A4B19">
              <w:rPr>
                <w:rFonts w:ascii="Times New Roman" w:eastAsia="HY신명조" w:hAnsi="Times New Roman" w:cs="Times New Roman" w:hint="eastAsia"/>
                <w:kern w:val="0"/>
                <w:sz w:val="22"/>
              </w:rPr>
              <w:t>44.43</w:t>
            </w:r>
          </w:p>
        </w:tc>
        <w:tc>
          <w:tcPr>
            <w:tcW w:w="1552" w:type="dxa"/>
            <w:tcBorders>
              <w:top w:val="single" w:sz="4" w:space="0" w:color="auto"/>
              <w:left w:val="nil"/>
              <w:bottom w:val="single" w:sz="4" w:space="0" w:color="auto"/>
              <w:right w:val="nil"/>
            </w:tcBorders>
            <w:noWrap/>
            <w:vAlign w:val="center"/>
          </w:tcPr>
          <w:p w:rsidR="00102F4C" w:rsidRPr="002A4B19" w:rsidRDefault="00102F4C" w:rsidP="00FA22B7">
            <w:pPr>
              <w:widowControl/>
              <w:wordWrap/>
              <w:autoSpaceDE/>
              <w:spacing w:after="0" w:line="276" w:lineRule="auto"/>
              <w:jc w:val="center"/>
              <w:rPr>
                <w:rFonts w:ascii="Times New Roman" w:eastAsia="HY신명조" w:hAnsi="Times New Roman" w:cs="Times New Roman"/>
                <w:kern w:val="0"/>
                <w:sz w:val="22"/>
              </w:rPr>
            </w:pPr>
            <w:r w:rsidRPr="002A4B19">
              <w:rPr>
                <w:rFonts w:ascii="Times New Roman" w:eastAsia="HY신명조" w:hAnsi="Times New Roman" w:cs="Times New Roman" w:hint="eastAsia"/>
                <w:kern w:val="0"/>
                <w:sz w:val="22"/>
              </w:rPr>
              <w:t>47.58</w:t>
            </w:r>
          </w:p>
        </w:tc>
        <w:tc>
          <w:tcPr>
            <w:tcW w:w="1552" w:type="dxa"/>
            <w:tcBorders>
              <w:top w:val="single" w:sz="4" w:space="0" w:color="auto"/>
              <w:left w:val="nil"/>
              <w:bottom w:val="single" w:sz="4" w:space="0" w:color="auto"/>
              <w:right w:val="nil"/>
            </w:tcBorders>
            <w:noWrap/>
            <w:vAlign w:val="center"/>
          </w:tcPr>
          <w:p w:rsidR="00102F4C" w:rsidRPr="002A4B19" w:rsidRDefault="00102F4C" w:rsidP="00FA22B7">
            <w:pPr>
              <w:widowControl/>
              <w:wordWrap/>
              <w:autoSpaceDE/>
              <w:spacing w:after="0" w:line="276" w:lineRule="auto"/>
              <w:jc w:val="center"/>
              <w:rPr>
                <w:rFonts w:ascii="Times New Roman" w:eastAsia="HY신명조" w:hAnsi="Times New Roman" w:cs="Times New Roman"/>
                <w:kern w:val="0"/>
                <w:sz w:val="22"/>
              </w:rPr>
            </w:pPr>
            <w:r w:rsidRPr="002A4B19">
              <w:rPr>
                <w:rFonts w:ascii="Times New Roman" w:eastAsia="HY신명조" w:hAnsi="Times New Roman" w:cs="Times New Roman" w:hint="eastAsia"/>
                <w:kern w:val="0"/>
                <w:sz w:val="22"/>
              </w:rPr>
              <w:t>48.71</w:t>
            </w:r>
          </w:p>
        </w:tc>
      </w:tr>
      <w:tr w:rsidR="002A4B19" w:rsidRPr="002A4B19" w:rsidTr="00FA22B7">
        <w:trPr>
          <w:trHeight w:val="359"/>
          <w:jc w:val="center"/>
        </w:trPr>
        <w:tc>
          <w:tcPr>
            <w:tcW w:w="2127" w:type="dxa"/>
            <w:vMerge/>
            <w:tcBorders>
              <w:right w:val="single" w:sz="4" w:space="0" w:color="auto"/>
            </w:tcBorders>
            <w:noWrap/>
            <w:vAlign w:val="center"/>
          </w:tcPr>
          <w:p w:rsidR="00102F4C" w:rsidRPr="002A4B19" w:rsidRDefault="00102F4C" w:rsidP="00FA22B7">
            <w:pPr>
              <w:widowControl/>
              <w:wordWrap/>
              <w:autoSpaceDE/>
              <w:spacing w:after="0" w:line="276" w:lineRule="auto"/>
              <w:jc w:val="center"/>
              <w:rPr>
                <w:rFonts w:ascii="Times New Roman" w:eastAsia="HY신명조" w:hAnsi="Times New Roman" w:cs="Times New Roman"/>
                <w:kern w:val="0"/>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102F4C" w:rsidRPr="002A4B19" w:rsidRDefault="00102F4C" w:rsidP="00FA22B7">
            <w:pPr>
              <w:widowControl/>
              <w:wordWrap/>
              <w:autoSpaceDE/>
              <w:spacing w:after="0" w:line="276" w:lineRule="auto"/>
              <w:jc w:val="center"/>
              <w:rPr>
                <w:rFonts w:ascii="Times New Roman" w:eastAsia="HY신명조" w:hAnsi="Times New Roman" w:cs="Times New Roman"/>
                <w:kern w:val="0"/>
                <w:sz w:val="22"/>
              </w:rPr>
            </w:pPr>
            <w:r w:rsidRPr="002A4B19">
              <w:rPr>
                <w:rFonts w:ascii="Times New Roman" w:eastAsia="HY신명조" w:hAnsi="Times New Roman" w:cs="Times New Roman"/>
                <w:kern w:val="0"/>
                <w:sz w:val="22"/>
              </w:rPr>
              <w:t>Unskilled labor</w:t>
            </w:r>
          </w:p>
        </w:tc>
        <w:tc>
          <w:tcPr>
            <w:tcW w:w="1552" w:type="dxa"/>
            <w:tcBorders>
              <w:top w:val="single" w:sz="4" w:space="0" w:color="auto"/>
              <w:left w:val="single" w:sz="4" w:space="0" w:color="auto"/>
              <w:bottom w:val="single" w:sz="4" w:space="0" w:color="auto"/>
            </w:tcBorders>
            <w:vAlign w:val="center"/>
          </w:tcPr>
          <w:p w:rsidR="00102F4C" w:rsidRPr="002A4B19" w:rsidRDefault="00102F4C" w:rsidP="00FA22B7">
            <w:pPr>
              <w:widowControl/>
              <w:wordWrap/>
              <w:autoSpaceDE/>
              <w:spacing w:after="0" w:line="276" w:lineRule="auto"/>
              <w:jc w:val="center"/>
              <w:rPr>
                <w:rFonts w:ascii="Times New Roman" w:eastAsia="HY신명조" w:hAnsi="Times New Roman" w:cs="Times New Roman"/>
                <w:kern w:val="0"/>
                <w:sz w:val="22"/>
              </w:rPr>
            </w:pPr>
            <w:r w:rsidRPr="002A4B19">
              <w:rPr>
                <w:rFonts w:ascii="Times New Roman" w:eastAsia="HY신명조" w:hAnsi="Times New Roman" w:cs="Times New Roman" w:hint="eastAsia"/>
                <w:kern w:val="0"/>
                <w:sz w:val="22"/>
              </w:rPr>
              <w:t>18.23</w:t>
            </w:r>
          </w:p>
        </w:tc>
        <w:tc>
          <w:tcPr>
            <w:tcW w:w="1552" w:type="dxa"/>
            <w:tcBorders>
              <w:top w:val="single" w:sz="4" w:space="0" w:color="auto"/>
              <w:bottom w:val="single" w:sz="4" w:space="0" w:color="auto"/>
            </w:tcBorders>
            <w:noWrap/>
            <w:vAlign w:val="center"/>
          </w:tcPr>
          <w:p w:rsidR="00102F4C" w:rsidRPr="002A4B19" w:rsidRDefault="00102F4C" w:rsidP="00FA22B7">
            <w:pPr>
              <w:widowControl/>
              <w:wordWrap/>
              <w:autoSpaceDE/>
              <w:spacing w:after="0" w:line="276" w:lineRule="auto"/>
              <w:jc w:val="center"/>
              <w:rPr>
                <w:rFonts w:ascii="Times New Roman" w:eastAsia="HY신명조" w:hAnsi="Times New Roman" w:cs="Times New Roman"/>
                <w:kern w:val="0"/>
                <w:sz w:val="22"/>
              </w:rPr>
            </w:pPr>
            <w:r w:rsidRPr="002A4B19">
              <w:rPr>
                <w:rFonts w:ascii="Times New Roman" w:eastAsia="HY신명조" w:hAnsi="Times New Roman" w:cs="Times New Roman" w:hint="eastAsia"/>
                <w:kern w:val="0"/>
                <w:sz w:val="22"/>
              </w:rPr>
              <w:t>16.66</w:t>
            </w:r>
          </w:p>
        </w:tc>
        <w:tc>
          <w:tcPr>
            <w:tcW w:w="1552" w:type="dxa"/>
            <w:tcBorders>
              <w:top w:val="single" w:sz="4" w:space="0" w:color="auto"/>
              <w:bottom w:val="single" w:sz="4" w:space="0" w:color="auto"/>
            </w:tcBorders>
            <w:noWrap/>
            <w:vAlign w:val="center"/>
          </w:tcPr>
          <w:p w:rsidR="00102F4C" w:rsidRPr="002A4B19" w:rsidRDefault="00102F4C" w:rsidP="00FA22B7">
            <w:pPr>
              <w:widowControl/>
              <w:wordWrap/>
              <w:autoSpaceDE/>
              <w:spacing w:after="0" w:line="276" w:lineRule="auto"/>
              <w:jc w:val="center"/>
              <w:rPr>
                <w:rFonts w:ascii="Times New Roman" w:eastAsia="HY신명조" w:hAnsi="Times New Roman" w:cs="Times New Roman"/>
                <w:kern w:val="0"/>
                <w:sz w:val="22"/>
              </w:rPr>
            </w:pPr>
            <w:r w:rsidRPr="002A4B19">
              <w:rPr>
                <w:rFonts w:ascii="Times New Roman" w:eastAsia="HY신명조" w:hAnsi="Times New Roman" w:cs="Times New Roman" w:hint="eastAsia"/>
                <w:kern w:val="0"/>
                <w:sz w:val="22"/>
              </w:rPr>
              <w:t>16.13</w:t>
            </w:r>
          </w:p>
        </w:tc>
      </w:tr>
      <w:tr w:rsidR="002A4B19" w:rsidRPr="002A4B19" w:rsidTr="00FA22B7">
        <w:trPr>
          <w:trHeight w:val="359"/>
          <w:jc w:val="center"/>
        </w:trPr>
        <w:tc>
          <w:tcPr>
            <w:tcW w:w="2127" w:type="dxa"/>
            <w:vMerge/>
            <w:tcBorders>
              <w:left w:val="nil"/>
              <w:right w:val="single" w:sz="4" w:space="0" w:color="auto"/>
            </w:tcBorders>
            <w:noWrap/>
            <w:vAlign w:val="center"/>
          </w:tcPr>
          <w:p w:rsidR="00102F4C" w:rsidRPr="002A4B19" w:rsidRDefault="00102F4C" w:rsidP="00FA22B7">
            <w:pPr>
              <w:widowControl/>
              <w:wordWrap/>
              <w:autoSpaceDE/>
              <w:spacing w:after="0" w:line="276" w:lineRule="auto"/>
              <w:jc w:val="center"/>
              <w:rPr>
                <w:rFonts w:ascii="Times New Roman" w:eastAsia="HY신명조" w:hAnsi="Times New Roman" w:cs="Times New Roman"/>
                <w:kern w:val="0"/>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102F4C" w:rsidRPr="002A4B19" w:rsidRDefault="00102F4C" w:rsidP="00FA22B7">
            <w:pPr>
              <w:widowControl/>
              <w:wordWrap/>
              <w:autoSpaceDE/>
              <w:spacing w:after="0" w:line="276" w:lineRule="auto"/>
              <w:jc w:val="center"/>
              <w:rPr>
                <w:rFonts w:ascii="Times New Roman" w:eastAsia="HY신명조" w:hAnsi="Times New Roman" w:cs="Times New Roman"/>
                <w:kern w:val="0"/>
                <w:sz w:val="22"/>
              </w:rPr>
            </w:pPr>
            <w:r w:rsidRPr="002A4B19">
              <w:rPr>
                <w:rFonts w:ascii="Times New Roman" w:eastAsia="HY신명조" w:hAnsi="Times New Roman" w:cs="Times New Roman"/>
                <w:kern w:val="0"/>
                <w:sz w:val="22"/>
              </w:rPr>
              <w:t>Skilled labor</w:t>
            </w:r>
          </w:p>
        </w:tc>
        <w:tc>
          <w:tcPr>
            <w:tcW w:w="1552" w:type="dxa"/>
            <w:tcBorders>
              <w:top w:val="single" w:sz="4" w:space="0" w:color="auto"/>
              <w:left w:val="single" w:sz="4" w:space="0" w:color="auto"/>
              <w:bottom w:val="single" w:sz="4" w:space="0" w:color="auto"/>
              <w:right w:val="nil"/>
            </w:tcBorders>
            <w:vAlign w:val="center"/>
          </w:tcPr>
          <w:p w:rsidR="00102F4C" w:rsidRPr="002A4B19" w:rsidRDefault="00102F4C" w:rsidP="00FA22B7">
            <w:pPr>
              <w:widowControl/>
              <w:wordWrap/>
              <w:autoSpaceDE/>
              <w:spacing w:after="0" w:line="276" w:lineRule="auto"/>
              <w:jc w:val="center"/>
              <w:rPr>
                <w:rFonts w:ascii="Times New Roman" w:eastAsia="HY신명조" w:hAnsi="Times New Roman" w:cs="Times New Roman"/>
                <w:kern w:val="0"/>
                <w:sz w:val="22"/>
              </w:rPr>
            </w:pPr>
            <w:r w:rsidRPr="002A4B19">
              <w:rPr>
                <w:rFonts w:ascii="Times New Roman" w:eastAsia="HY신명조" w:hAnsi="Times New Roman" w:cs="Times New Roman" w:hint="eastAsia"/>
                <w:kern w:val="0"/>
                <w:sz w:val="22"/>
              </w:rPr>
              <w:t>23.96</w:t>
            </w:r>
          </w:p>
        </w:tc>
        <w:tc>
          <w:tcPr>
            <w:tcW w:w="1552" w:type="dxa"/>
            <w:tcBorders>
              <w:top w:val="single" w:sz="4" w:space="0" w:color="auto"/>
              <w:left w:val="nil"/>
              <w:bottom w:val="single" w:sz="4" w:space="0" w:color="auto"/>
              <w:right w:val="nil"/>
            </w:tcBorders>
            <w:noWrap/>
            <w:vAlign w:val="center"/>
          </w:tcPr>
          <w:p w:rsidR="00102F4C" w:rsidRPr="002A4B19" w:rsidRDefault="00102F4C" w:rsidP="00FA22B7">
            <w:pPr>
              <w:widowControl/>
              <w:wordWrap/>
              <w:autoSpaceDE/>
              <w:spacing w:after="0" w:line="276" w:lineRule="auto"/>
              <w:jc w:val="center"/>
              <w:rPr>
                <w:rFonts w:ascii="Times New Roman" w:eastAsia="HY신명조" w:hAnsi="Times New Roman" w:cs="Times New Roman"/>
                <w:kern w:val="0"/>
                <w:sz w:val="22"/>
              </w:rPr>
            </w:pPr>
            <w:r w:rsidRPr="002A4B19">
              <w:rPr>
                <w:rFonts w:ascii="Times New Roman" w:eastAsia="HY신명조" w:hAnsi="Times New Roman" w:cs="Times New Roman" w:hint="eastAsia"/>
                <w:kern w:val="0"/>
                <w:sz w:val="22"/>
              </w:rPr>
              <w:t>21.87</w:t>
            </w:r>
          </w:p>
        </w:tc>
        <w:tc>
          <w:tcPr>
            <w:tcW w:w="1552" w:type="dxa"/>
            <w:tcBorders>
              <w:top w:val="single" w:sz="4" w:space="0" w:color="auto"/>
              <w:left w:val="nil"/>
              <w:bottom w:val="single" w:sz="4" w:space="0" w:color="auto"/>
              <w:right w:val="nil"/>
            </w:tcBorders>
            <w:noWrap/>
            <w:vAlign w:val="center"/>
          </w:tcPr>
          <w:p w:rsidR="00102F4C" w:rsidRPr="002A4B19" w:rsidRDefault="00102F4C" w:rsidP="00FA22B7">
            <w:pPr>
              <w:widowControl/>
              <w:wordWrap/>
              <w:autoSpaceDE/>
              <w:spacing w:after="0" w:line="276" w:lineRule="auto"/>
              <w:jc w:val="center"/>
              <w:rPr>
                <w:rFonts w:ascii="Times New Roman" w:eastAsia="HY신명조" w:hAnsi="Times New Roman" w:cs="Times New Roman"/>
                <w:kern w:val="0"/>
                <w:sz w:val="22"/>
              </w:rPr>
            </w:pPr>
            <w:r w:rsidRPr="002A4B19">
              <w:rPr>
                <w:rFonts w:ascii="Times New Roman" w:eastAsia="HY신명조" w:hAnsi="Times New Roman" w:cs="Times New Roman" w:hint="eastAsia"/>
                <w:kern w:val="0"/>
                <w:sz w:val="22"/>
              </w:rPr>
              <w:t>21.17</w:t>
            </w:r>
          </w:p>
        </w:tc>
      </w:tr>
      <w:tr w:rsidR="002A4B19" w:rsidRPr="002A4B19" w:rsidTr="00FA22B7">
        <w:trPr>
          <w:trHeight w:val="359"/>
          <w:jc w:val="center"/>
        </w:trPr>
        <w:tc>
          <w:tcPr>
            <w:tcW w:w="2127" w:type="dxa"/>
            <w:vMerge/>
            <w:tcBorders>
              <w:left w:val="nil"/>
              <w:right w:val="single" w:sz="4" w:space="0" w:color="auto"/>
            </w:tcBorders>
            <w:noWrap/>
            <w:vAlign w:val="center"/>
          </w:tcPr>
          <w:p w:rsidR="00102F4C" w:rsidRPr="002A4B19" w:rsidRDefault="00102F4C" w:rsidP="00FA22B7">
            <w:pPr>
              <w:widowControl/>
              <w:wordWrap/>
              <w:autoSpaceDE/>
              <w:spacing w:after="0" w:line="276" w:lineRule="auto"/>
              <w:jc w:val="center"/>
              <w:rPr>
                <w:rFonts w:ascii="Times New Roman" w:eastAsia="HY신명조" w:hAnsi="Times New Roman" w:cs="Times New Roman"/>
                <w:kern w:val="0"/>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102F4C" w:rsidRPr="002A4B19" w:rsidRDefault="00102F4C" w:rsidP="00FA22B7">
            <w:pPr>
              <w:widowControl/>
              <w:wordWrap/>
              <w:autoSpaceDE/>
              <w:spacing w:after="0" w:line="276" w:lineRule="auto"/>
              <w:jc w:val="center"/>
              <w:rPr>
                <w:rFonts w:ascii="Times New Roman" w:eastAsia="HY신명조" w:hAnsi="Times New Roman" w:cs="Times New Roman"/>
                <w:kern w:val="0"/>
                <w:sz w:val="22"/>
              </w:rPr>
            </w:pPr>
            <w:r w:rsidRPr="002A4B19">
              <w:rPr>
                <w:rFonts w:ascii="Times New Roman" w:eastAsia="HY신명조" w:hAnsi="Times New Roman" w:cs="Times New Roman"/>
                <w:kern w:val="0"/>
                <w:sz w:val="22"/>
              </w:rPr>
              <w:t>High-skilled labor</w:t>
            </w:r>
          </w:p>
        </w:tc>
        <w:tc>
          <w:tcPr>
            <w:tcW w:w="1552" w:type="dxa"/>
            <w:tcBorders>
              <w:top w:val="single" w:sz="4" w:space="0" w:color="auto"/>
              <w:left w:val="single" w:sz="4" w:space="0" w:color="auto"/>
              <w:bottom w:val="single" w:sz="4" w:space="0" w:color="auto"/>
              <w:right w:val="nil"/>
            </w:tcBorders>
            <w:vAlign w:val="center"/>
          </w:tcPr>
          <w:p w:rsidR="00102F4C" w:rsidRPr="002A4B19" w:rsidRDefault="00102F4C" w:rsidP="00FA22B7">
            <w:pPr>
              <w:widowControl/>
              <w:wordWrap/>
              <w:autoSpaceDE/>
              <w:spacing w:after="0" w:line="276" w:lineRule="auto"/>
              <w:jc w:val="center"/>
              <w:rPr>
                <w:rFonts w:ascii="Times New Roman" w:eastAsia="HY신명조" w:hAnsi="Times New Roman" w:cs="Times New Roman"/>
                <w:kern w:val="0"/>
                <w:sz w:val="22"/>
              </w:rPr>
            </w:pPr>
            <w:r w:rsidRPr="002A4B19">
              <w:rPr>
                <w:rFonts w:ascii="Times New Roman" w:eastAsia="HY신명조" w:hAnsi="Times New Roman" w:cs="Times New Roman" w:hint="eastAsia"/>
                <w:kern w:val="0"/>
                <w:sz w:val="22"/>
              </w:rPr>
              <w:t>7.57</w:t>
            </w:r>
          </w:p>
        </w:tc>
        <w:tc>
          <w:tcPr>
            <w:tcW w:w="1552" w:type="dxa"/>
            <w:tcBorders>
              <w:top w:val="single" w:sz="4" w:space="0" w:color="auto"/>
              <w:left w:val="nil"/>
              <w:bottom w:val="single" w:sz="4" w:space="0" w:color="auto"/>
              <w:right w:val="nil"/>
            </w:tcBorders>
            <w:noWrap/>
            <w:vAlign w:val="center"/>
          </w:tcPr>
          <w:p w:rsidR="00102F4C" w:rsidRPr="002A4B19" w:rsidRDefault="00102F4C" w:rsidP="00FA22B7">
            <w:pPr>
              <w:widowControl/>
              <w:wordWrap/>
              <w:autoSpaceDE/>
              <w:spacing w:after="0" w:line="276" w:lineRule="auto"/>
              <w:jc w:val="center"/>
              <w:rPr>
                <w:rFonts w:ascii="Times New Roman" w:eastAsia="HY신명조" w:hAnsi="Times New Roman" w:cs="Times New Roman"/>
                <w:kern w:val="0"/>
                <w:sz w:val="22"/>
              </w:rPr>
            </w:pPr>
            <w:r w:rsidRPr="002A4B19">
              <w:rPr>
                <w:rFonts w:ascii="Times New Roman" w:eastAsia="HY신명조" w:hAnsi="Times New Roman" w:cs="Times New Roman" w:hint="eastAsia"/>
                <w:kern w:val="0"/>
                <w:sz w:val="22"/>
              </w:rPr>
              <w:t>8.04</w:t>
            </w:r>
          </w:p>
        </w:tc>
        <w:tc>
          <w:tcPr>
            <w:tcW w:w="1552" w:type="dxa"/>
            <w:tcBorders>
              <w:top w:val="single" w:sz="4" w:space="0" w:color="auto"/>
              <w:left w:val="nil"/>
              <w:bottom w:val="single" w:sz="4" w:space="0" w:color="auto"/>
              <w:right w:val="nil"/>
            </w:tcBorders>
            <w:noWrap/>
            <w:vAlign w:val="center"/>
          </w:tcPr>
          <w:p w:rsidR="00102F4C" w:rsidRPr="002A4B19" w:rsidRDefault="00102F4C" w:rsidP="00FA22B7">
            <w:pPr>
              <w:widowControl/>
              <w:wordWrap/>
              <w:autoSpaceDE/>
              <w:spacing w:after="0" w:line="276" w:lineRule="auto"/>
              <w:jc w:val="center"/>
              <w:rPr>
                <w:rFonts w:ascii="Times New Roman" w:eastAsia="HY신명조" w:hAnsi="Times New Roman" w:cs="Times New Roman"/>
                <w:kern w:val="0"/>
                <w:sz w:val="22"/>
              </w:rPr>
            </w:pPr>
            <w:r w:rsidRPr="002A4B19">
              <w:rPr>
                <w:rFonts w:ascii="Times New Roman" w:eastAsia="HY신명조" w:hAnsi="Times New Roman" w:cs="Times New Roman" w:hint="eastAsia"/>
                <w:kern w:val="0"/>
                <w:sz w:val="22"/>
              </w:rPr>
              <w:t>8.14</w:t>
            </w:r>
          </w:p>
        </w:tc>
      </w:tr>
      <w:tr w:rsidR="002A4B19" w:rsidRPr="002A4B19" w:rsidTr="00FA22B7">
        <w:trPr>
          <w:trHeight w:val="359"/>
          <w:jc w:val="center"/>
        </w:trPr>
        <w:tc>
          <w:tcPr>
            <w:tcW w:w="2127" w:type="dxa"/>
            <w:vMerge/>
            <w:tcBorders>
              <w:left w:val="nil"/>
              <w:bottom w:val="single" w:sz="4" w:space="0" w:color="auto"/>
              <w:right w:val="single" w:sz="4" w:space="0" w:color="auto"/>
            </w:tcBorders>
            <w:noWrap/>
            <w:vAlign w:val="center"/>
          </w:tcPr>
          <w:p w:rsidR="00102F4C" w:rsidRPr="002A4B19" w:rsidRDefault="00102F4C" w:rsidP="00FA22B7">
            <w:pPr>
              <w:widowControl/>
              <w:wordWrap/>
              <w:autoSpaceDE/>
              <w:spacing w:after="0" w:line="276" w:lineRule="auto"/>
              <w:jc w:val="center"/>
              <w:rPr>
                <w:rFonts w:ascii="Times New Roman" w:eastAsia="HY신명조" w:hAnsi="Times New Roman" w:cs="Times New Roman"/>
                <w:kern w:val="0"/>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102F4C" w:rsidRPr="002A4B19" w:rsidRDefault="00102F4C" w:rsidP="00FA22B7">
            <w:pPr>
              <w:widowControl/>
              <w:wordWrap/>
              <w:autoSpaceDE/>
              <w:spacing w:after="0" w:line="276" w:lineRule="auto"/>
              <w:jc w:val="center"/>
              <w:rPr>
                <w:rFonts w:ascii="Times New Roman" w:eastAsia="HY신명조" w:hAnsi="Times New Roman" w:cs="Times New Roman"/>
                <w:kern w:val="0"/>
                <w:sz w:val="22"/>
              </w:rPr>
            </w:pPr>
            <w:r w:rsidRPr="002A4B19">
              <w:rPr>
                <w:rFonts w:ascii="Times New Roman" w:eastAsia="HY신명조" w:hAnsi="Times New Roman" w:cs="Times New Roman" w:hint="eastAsia"/>
                <w:kern w:val="0"/>
                <w:sz w:val="22"/>
              </w:rPr>
              <w:t>Knowledge</w:t>
            </w:r>
          </w:p>
        </w:tc>
        <w:tc>
          <w:tcPr>
            <w:tcW w:w="1552" w:type="dxa"/>
            <w:tcBorders>
              <w:top w:val="single" w:sz="4" w:space="0" w:color="auto"/>
              <w:left w:val="single" w:sz="4" w:space="0" w:color="auto"/>
              <w:bottom w:val="single" w:sz="4" w:space="0" w:color="auto"/>
              <w:right w:val="nil"/>
            </w:tcBorders>
            <w:vAlign w:val="center"/>
          </w:tcPr>
          <w:p w:rsidR="00102F4C" w:rsidRPr="002A4B19" w:rsidRDefault="00102F4C" w:rsidP="00FA22B7">
            <w:pPr>
              <w:widowControl/>
              <w:wordWrap/>
              <w:autoSpaceDE/>
              <w:spacing w:after="0" w:line="276" w:lineRule="auto"/>
              <w:jc w:val="center"/>
              <w:rPr>
                <w:rFonts w:ascii="Times New Roman" w:eastAsia="HY신명조" w:hAnsi="Times New Roman" w:cs="Times New Roman"/>
                <w:kern w:val="0"/>
                <w:sz w:val="22"/>
              </w:rPr>
            </w:pPr>
            <w:r w:rsidRPr="002A4B19">
              <w:rPr>
                <w:rFonts w:ascii="Times New Roman" w:eastAsia="HY신명조" w:hAnsi="Times New Roman" w:cs="Times New Roman" w:hint="eastAsia"/>
                <w:kern w:val="0"/>
                <w:sz w:val="22"/>
              </w:rPr>
              <w:t>5.80</w:t>
            </w:r>
          </w:p>
        </w:tc>
        <w:tc>
          <w:tcPr>
            <w:tcW w:w="1552" w:type="dxa"/>
            <w:tcBorders>
              <w:top w:val="single" w:sz="4" w:space="0" w:color="auto"/>
              <w:left w:val="nil"/>
              <w:bottom w:val="single" w:sz="4" w:space="0" w:color="auto"/>
              <w:right w:val="nil"/>
            </w:tcBorders>
            <w:noWrap/>
            <w:vAlign w:val="center"/>
          </w:tcPr>
          <w:p w:rsidR="00102F4C" w:rsidRPr="002A4B19" w:rsidRDefault="00102F4C" w:rsidP="00FA22B7">
            <w:pPr>
              <w:widowControl/>
              <w:wordWrap/>
              <w:autoSpaceDE/>
              <w:spacing w:after="0" w:line="276" w:lineRule="auto"/>
              <w:jc w:val="center"/>
              <w:rPr>
                <w:rFonts w:ascii="Times New Roman" w:eastAsia="HY신명조" w:hAnsi="Times New Roman" w:cs="Times New Roman"/>
                <w:kern w:val="0"/>
                <w:sz w:val="22"/>
              </w:rPr>
            </w:pPr>
            <w:r w:rsidRPr="002A4B19">
              <w:rPr>
                <w:rFonts w:ascii="Times New Roman" w:eastAsia="HY신명조" w:hAnsi="Times New Roman" w:cs="Times New Roman" w:hint="eastAsia"/>
                <w:kern w:val="0"/>
                <w:sz w:val="22"/>
              </w:rPr>
              <w:t>5.86</w:t>
            </w:r>
          </w:p>
        </w:tc>
        <w:tc>
          <w:tcPr>
            <w:tcW w:w="1552" w:type="dxa"/>
            <w:tcBorders>
              <w:top w:val="single" w:sz="4" w:space="0" w:color="auto"/>
              <w:left w:val="nil"/>
              <w:bottom w:val="single" w:sz="4" w:space="0" w:color="auto"/>
              <w:right w:val="nil"/>
            </w:tcBorders>
            <w:noWrap/>
            <w:vAlign w:val="center"/>
          </w:tcPr>
          <w:p w:rsidR="00102F4C" w:rsidRPr="002A4B19" w:rsidRDefault="00102F4C" w:rsidP="00FA22B7">
            <w:pPr>
              <w:widowControl/>
              <w:wordWrap/>
              <w:autoSpaceDE/>
              <w:spacing w:after="0" w:line="276" w:lineRule="auto"/>
              <w:jc w:val="center"/>
              <w:rPr>
                <w:rFonts w:ascii="Times New Roman" w:eastAsia="HY신명조" w:hAnsi="Times New Roman" w:cs="Times New Roman"/>
                <w:kern w:val="0"/>
                <w:sz w:val="22"/>
              </w:rPr>
            </w:pPr>
            <w:r w:rsidRPr="002A4B19">
              <w:rPr>
                <w:rFonts w:ascii="Times New Roman" w:eastAsia="HY신명조" w:hAnsi="Times New Roman" w:cs="Times New Roman" w:hint="eastAsia"/>
                <w:kern w:val="0"/>
                <w:sz w:val="22"/>
              </w:rPr>
              <w:t>5.85</w:t>
            </w:r>
          </w:p>
        </w:tc>
      </w:tr>
      <w:tr w:rsidR="002A4B19" w:rsidRPr="002A4B19" w:rsidTr="00FA22B7">
        <w:trPr>
          <w:trHeight w:val="416"/>
          <w:jc w:val="center"/>
        </w:trPr>
        <w:tc>
          <w:tcPr>
            <w:tcW w:w="2127" w:type="dxa"/>
            <w:vMerge w:val="restart"/>
            <w:tcBorders>
              <w:top w:val="single" w:sz="4" w:space="0" w:color="auto"/>
              <w:left w:val="nil"/>
              <w:right w:val="single" w:sz="4" w:space="0" w:color="auto"/>
            </w:tcBorders>
            <w:noWrap/>
            <w:vAlign w:val="center"/>
          </w:tcPr>
          <w:p w:rsidR="00102F4C" w:rsidRPr="002A4B19" w:rsidRDefault="00102F4C" w:rsidP="00FA22B7">
            <w:pPr>
              <w:widowControl/>
              <w:wordWrap/>
              <w:autoSpaceDE/>
              <w:spacing w:after="0" w:line="276" w:lineRule="auto"/>
              <w:jc w:val="center"/>
              <w:rPr>
                <w:rFonts w:ascii="Times New Roman" w:eastAsia="HY신명조" w:hAnsi="Times New Roman" w:cs="Times New Roman"/>
                <w:kern w:val="0"/>
                <w:sz w:val="22"/>
              </w:rPr>
            </w:pPr>
            <w:r w:rsidRPr="002A4B19">
              <w:rPr>
                <w:rFonts w:ascii="Times New Roman" w:eastAsia="HY신명조" w:hAnsi="Times New Roman" w:cs="Times New Roman" w:hint="eastAsia"/>
                <w:kern w:val="0"/>
                <w:sz w:val="22"/>
              </w:rPr>
              <w:t>Labor demand by skill type in 2030</w:t>
            </w:r>
            <w:r w:rsidRPr="002A4B19">
              <w:rPr>
                <w:rFonts w:ascii="Times New Roman" w:eastAsia="HY신명조" w:hAnsi="Times New Roman" w:cs="Times New Roman"/>
                <w:kern w:val="0"/>
                <w:sz w:val="22"/>
              </w:rPr>
              <w:br/>
              <w:t>(% changes relative to BAU)</w:t>
            </w:r>
          </w:p>
        </w:tc>
        <w:tc>
          <w:tcPr>
            <w:tcW w:w="1984" w:type="dxa"/>
            <w:tcBorders>
              <w:top w:val="single" w:sz="4" w:space="0" w:color="auto"/>
              <w:left w:val="single" w:sz="4" w:space="0" w:color="auto"/>
              <w:bottom w:val="single" w:sz="4" w:space="0" w:color="auto"/>
              <w:right w:val="single" w:sz="4" w:space="0" w:color="auto"/>
            </w:tcBorders>
            <w:vAlign w:val="center"/>
          </w:tcPr>
          <w:p w:rsidR="00102F4C" w:rsidRPr="002A4B19" w:rsidRDefault="00102F4C" w:rsidP="00FA22B7">
            <w:pPr>
              <w:widowControl/>
              <w:wordWrap/>
              <w:autoSpaceDE/>
              <w:spacing w:after="0" w:line="276" w:lineRule="auto"/>
              <w:jc w:val="center"/>
              <w:rPr>
                <w:rFonts w:ascii="Times New Roman" w:eastAsia="HY신명조" w:hAnsi="Times New Roman" w:cs="Times New Roman"/>
                <w:kern w:val="0"/>
                <w:sz w:val="22"/>
              </w:rPr>
            </w:pPr>
            <w:r w:rsidRPr="002A4B19">
              <w:rPr>
                <w:rFonts w:ascii="Times New Roman" w:eastAsia="HY신명조" w:hAnsi="Times New Roman" w:cs="Times New Roman"/>
                <w:kern w:val="0"/>
                <w:sz w:val="22"/>
              </w:rPr>
              <w:t>Unskilled labor</w:t>
            </w:r>
          </w:p>
        </w:tc>
        <w:tc>
          <w:tcPr>
            <w:tcW w:w="1552" w:type="dxa"/>
            <w:tcBorders>
              <w:top w:val="single" w:sz="4" w:space="0" w:color="auto"/>
              <w:left w:val="single" w:sz="4" w:space="0" w:color="auto"/>
              <w:bottom w:val="single" w:sz="4" w:space="0" w:color="auto"/>
              <w:right w:val="nil"/>
            </w:tcBorders>
            <w:vAlign w:val="center"/>
          </w:tcPr>
          <w:p w:rsidR="00102F4C" w:rsidRPr="002A4B19" w:rsidRDefault="00102F4C" w:rsidP="00FA22B7">
            <w:pPr>
              <w:widowControl/>
              <w:wordWrap/>
              <w:autoSpaceDE/>
              <w:spacing w:after="0" w:line="276" w:lineRule="auto"/>
              <w:jc w:val="center"/>
              <w:rPr>
                <w:rFonts w:ascii="Times New Roman" w:eastAsia="HY신명조" w:hAnsi="Times New Roman" w:cs="Times New Roman"/>
                <w:kern w:val="0"/>
                <w:sz w:val="22"/>
              </w:rPr>
            </w:pPr>
            <w:r w:rsidRPr="002A4B19">
              <w:rPr>
                <w:rFonts w:ascii="Times New Roman" w:eastAsia="HY신명조" w:hAnsi="Times New Roman" w:cs="Times New Roman" w:hint="eastAsia"/>
                <w:kern w:val="0"/>
                <w:sz w:val="22"/>
              </w:rPr>
              <w:t>16.43</w:t>
            </w:r>
          </w:p>
        </w:tc>
        <w:tc>
          <w:tcPr>
            <w:tcW w:w="1552" w:type="dxa"/>
            <w:tcBorders>
              <w:top w:val="single" w:sz="4" w:space="0" w:color="auto"/>
              <w:left w:val="nil"/>
              <w:bottom w:val="single" w:sz="4" w:space="0" w:color="auto"/>
              <w:right w:val="nil"/>
            </w:tcBorders>
            <w:noWrap/>
            <w:vAlign w:val="center"/>
          </w:tcPr>
          <w:p w:rsidR="00102F4C" w:rsidRPr="002A4B19" w:rsidRDefault="00102F4C" w:rsidP="00FA22B7">
            <w:pPr>
              <w:widowControl/>
              <w:wordWrap/>
              <w:autoSpaceDE/>
              <w:spacing w:after="0" w:line="276" w:lineRule="auto"/>
              <w:jc w:val="center"/>
              <w:rPr>
                <w:rFonts w:ascii="Times New Roman" w:eastAsia="HY신명조" w:hAnsi="Times New Roman" w:cs="Times New Roman"/>
                <w:kern w:val="0"/>
                <w:sz w:val="22"/>
              </w:rPr>
            </w:pPr>
            <w:r w:rsidRPr="002A4B19">
              <w:rPr>
                <w:rFonts w:ascii="Times New Roman" w:eastAsia="HY신명조" w:hAnsi="Times New Roman" w:cs="Times New Roman" w:hint="eastAsia"/>
                <w:kern w:val="0"/>
                <w:sz w:val="22"/>
              </w:rPr>
              <w:t>11.46</w:t>
            </w:r>
          </w:p>
        </w:tc>
        <w:tc>
          <w:tcPr>
            <w:tcW w:w="1552" w:type="dxa"/>
            <w:tcBorders>
              <w:top w:val="single" w:sz="4" w:space="0" w:color="auto"/>
              <w:left w:val="nil"/>
              <w:bottom w:val="single" w:sz="4" w:space="0" w:color="auto"/>
              <w:right w:val="nil"/>
            </w:tcBorders>
            <w:noWrap/>
            <w:vAlign w:val="center"/>
          </w:tcPr>
          <w:p w:rsidR="00102F4C" w:rsidRPr="002A4B19" w:rsidRDefault="00102F4C" w:rsidP="00FA22B7">
            <w:pPr>
              <w:widowControl/>
              <w:wordWrap/>
              <w:autoSpaceDE/>
              <w:spacing w:after="0" w:line="276" w:lineRule="auto"/>
              <w:jc w:val="center"/>
              <w:rPr>
                <w:rFonts w:ascii="Times New Roman" w:eastAsia="HY신명조" w:hAnsi="Times New Roman" w:cs="Times New Roman"/>
                <w:kern w:val="0"/>
                <w:sz w:val="22"/>
              </w:rPr>
            </w:pPr>
            <w:r w:rsidRPr="002A4B19">
              <w:rPr>
                <w:rFonts w:ascii="Times New Roman" w:eastAsia="HY신명조" w:hAnsi="Times New Roman" w:cs="Times New Roman" w:hint="eastAsia"/>
                <w:kern w:val="0"/>
                <w:sz w:val="22"/>
              </w:rPr>
              <w:t>10.16</w:t>
            </w:r>
          </w:p>
        </w:tc>
      </w:tr>
      <w:tr w:rsidR="002A4B19" w:rsidRPr="002A4B19" w:rsidTr="00FA22B7">
        <w:trPr>
          <w:trHeight w:val="416"/>
          <w:jc w:val="center"/>
        </w:trPr>
        <w:tc>
          <w:tcPr>
            <w:tcW w:w="2127" w:type="dxa"/>
            <w:vMerge/>
            <w:tcBorders>
              <w:left w:val="nil"/>
              <w:right w:val="single" w:sz="4" w:space="0" w:color="auto"/>
            </w:tcBorders>
            <w:noWrap/>
            <w:vAlign w:val="center"/>
          </w:tcPr>
          <w:p w:rsidR="00102F4C" w:rsidRPr="002A4B19" w:rsidRDefault="00102F4C" w:rsidP="00FA22B7">
            <w:pPr>
              <w:widowControl/>
              <w:wordWrap/>
              <w:autoSpaceDE/>
              <w:spacing w:after="0" w:line="276" w:lineRule="auto"/>
              <w:jc w:val="center"/>
              <w:rPr>
                <w:rFonts w:ascii="Times New Roman" w:eastAsia="HY신명조" w:hAnsi="Times New Roman" w:cs="Times New Roman"/>
                <w:kern w:val="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02F4C" w:rsidRPr="002A4B19" w:rsidRDefault="00102F4C" w:rsidP="00FA22B7">
            <w:pPr>
              <w:widowControl/>
              <w:wordWrap/>
              <w:autoSpaceDE/>
              <w:spacing w:after="0" w:line="276" w:lineRule="auto"/>
              <w:jc w:val="center"/>
              <w:rPr>
                <w:rFonts w:ascii="Times New Roman" w:eastAsia="HY신명조" w:hAnsi="Times New Roman" w:cs="Times New Roman"/>
                <w:kern w:val="0"/>
                <w:sz w:val="22"/>
              </w:rPr>
            </w:pPr>
            <w:r w:rsidRPr="002A4B19">
              <w:rPr>
                <w:rFonts w:ascii="Times New Roman" w:eastAsia="HY신명조" w:hAnsi="Times New Roman" w:cs="Times New Roman"/>
                <w:kern w:val="0"/>
                <w:sz w:val="22"/>
              </w:rPr>
              <w:t>Skilled labor</w:t>
            </w:r>
          </w:p>
        </w:tc>
        <w:tc>
          <w:tcPr>
            <w:tcW w:w="1552" w:type="dxa"/>
            <w:tcBorders>
              <w:top w:val="single" w:sz="4" w:space="0" w:color="auto"/>
              <w:left w:val="single" w:sz="4" w:space="0" w:color="auto"/>
              <w:bottom w:val="single" w:sz="4" w:space="0" w:color="auto"/>
              <w:right w:val="nil"/>
            </w:tcBorders>
            <w:vAlign w:val="center"/>
          </w:tcPr>
          <w:p w:rsidR="00102F4C" w:rsidRPr="002A4B19" w:rsidRDefault="00102F4C" w:rsidP="00FA22B7">
            <w:pPr>
              <w:widowControl/>
              <w:wordWrap/>
              <w:autoSpaceDE/>
              <w:spacing w:after="0" w:line="276" w:lineRule="auto"/>
              <w:jc w:val="center"/>
              <w:rPr>
                <w:rFonts w:ascii="Times New Roman" w:eastAsia="HY신명조" w:hAnsi="Times New Roman" w:cs="Times New Roman"/>
                <w:kern w:val="0"/>
                <w:sz w:val="22"/>
              </w:rPr>
            </w:pPr>
            <w:r w:rsidRPr="002A4B19">
              <w:rPr>
                <w:rFonts w:ascii="Times New Roman" w:eastAsia="HY신명조" w:hAnsi="Times New Roman" w:cs="Times New Roman" w:hint="eastAsia"/>
                <w:kern w:val="0"/>
                <w:sz w:val="22"/>
              </w:rPr>
              <w:t>17.89</w:t>
            </w:r>
          </w:p>
        </w:tc>
        <w:tc>
          <w:tcPr>
            <w:tcW w:w="1552" w:type="dxa"/>
            <w:tcBorders>
              <w:top w:val="single" w:sz="4" w:space="0" w:color="auto"/>
              <w:left w:val="nil"/>
              <w:bottom w:val="single" w:sz="4" w:space="0" w:color="auto"/>
              <w:right w:val="nil"/>
            </w:tcBorders>
            <w:noWrap/>
            <w:vAlign w:val="center"/>
          </w:tcPr>
          <w:p w:rsidR="00102F4C" w:rsidRPr="002A4B19" w:rsidRDefault="00102F4C" w:rsidP="00FA22B7">
            <w:pPr>
              <w:widowControl/>
              <w:wordWrap/>
              <w:autoSpaceDE/>
              <w:spacing w:after="0" w:line="276" w:lineRule="auto"/>
              <w:jc w:val="center"/>
              <w:rPr>
                <w:rFonts w:ascii="Times New Roman" w:eastAsia="HY신명조" w:hAnsi="Times New Roman" w:cs="Times New Roman"/>
                <w:kern w:val="0"/>
                <w:sz w:val="22"/>
              </w:rPr>
            </w:pPr>
            <w:r w:rsidRPr="002A4B19">
              <w:rPr>
                <w:rFonts w:ascii="Times New Roman" w:eastAsia="HY신명조" w:hAnsi="Times New Roman" w:cs="Times New Roman" w:hint="eastAsia"/>
                <w:kern w:val="0"/>
                <w:sz w:val="22"/>
              </w:rPr>
              <w:t>12.7</w:t>
            </w:r>
            <w:r w:rsidRPr="002A4B19">
              <w:rPr>
                <w:rFonts w:ascii="Times New Roman" w:eastAsia="HY신명조" w:hAnsi="Times New Roman" w:cs="Times New Roman"/>
                <w:kern w:val="0"/>
                <w:sz w:val="22"/>
              </w:rPr>
              <w:t>3</w:t>
            </w:r>
          </w:p>
        </w:tc>
        <w:tc>
          <w:tcPr>
            <w:tcW w:w="1552" w:type="dxa"/>
            <w:tcBorders>
              <w:top w:val="single" w:sz="4" w:space="0" w:color="auto"/>
              <w:left w:val="nil"/>
              <w:bottom w:val="single" w:sz="4" w:space="0" w:color="auto"/>
              <w:right w:val="nil"/>
            </w:tcBorders>
            <w:noWrap/>
            <w:vAlign w:val="center"/>
          </w:tcPr>
          <w:p w:rsidR="00102F4C" w:rsidRPr="002A4B19" w:rsidRDefault="00102F4C" w:rsidP="00FA22B7">
            <w:pPr>
              <w:widowControl/>
              <w:wordWrap/>
              <w:autoSpaceDE/>
              <w:spacing w:after="0" w:line="276" w:lineRule="auto"/>
              <w:jc w:val="center"/>
              <w:rPr>
                <w:rFonts w:ascii="Times New Roman" w:eastAsia="HY신명조" w:hAnsi="Times New Roman" w:cs="Times New Roman"/>
                <w:kern w:val="0"/>
                <w:sz w:val="22"/>
              </w:rPr>
            </w:pPr>
            <w:r w:rsidRPr="002A4B19">
              <w:rPr>
                <w:rFonts w:ascii="Times New Roman" w:eastAsia="HY신명조" w:hAnsi="Times New Roman" w:cs="Times New Roman" w:hint="eastAsia"/>
                <w:kern w:val="0"/>
                <w:sz w:val="22"/>
              </w:rPr>
              <w:t>11.42</w:t>
            </w:r>
          </w:p>
        </w:tc>
      </w:tr>
      <w:tr w:rsidR="00102F4C" w:rsidRPr="002A4B19" w:rsidTr="00FA22B7">
        <w:trPr>
          <w:trHeight w:val="416"/>
          <w:jc w:val="center"/>
        </w:trPr>
        <w:tc>
          <w:tcPr>
            <w:tcW w:w="2127" w:type="dxa"/>
            <w:vMerge/>
            <w:tcBorders>
              <w:left w:val="nil"/>
              <w:bottom w:val="single" w:sz="18" w:space="0" w:color="auto"/>
              <w:right w:val="single" w:sz="4" w:space="0" w:color="auto"/>
            </w:tcBorders>
            <w:noWrap/>
            <w:vAlign w:val="center"/>
          </w:tcPr>
          <w:p w:rsidR="00102F4C" w:rsidRPr="002A4B19" w:rsidRDefault="00102F4C" w:rsidP="00FA22B7">
            <w:pPr>
              <w:widowControl/>
              <w:wordWrap/>
              <w:autoSpaceDE/>
              <w:spacing w:after="0" w:line="276" w:lineRule="auto"/>
              <w:jc w:val="center"/>
              <w:rPr>
                <w:rFonts w:ascii="Times New Roman" w:eastAsia="HY신명조" w:hAnsi="Times New Roman" w:cs="Times New Roman"/>
                <w:kern w:val="0"/>
                <w:sz w:val="24"/>
              </w:rPr>
            </w:pPr>
          </w:p>
        </w:tc>
        <w:tc>
          <w:tcPr>
            <w:tcW w:w="1984" w:type="dxa"/>
            <w:tcBorders>
              <w:top w:val="single" w:sz="4" w:space="0" w:color="auto"/>
              <w:left w:val="single" w:sz="4" w:space="0" w:color="auto"/>
              <w:bottom w:val="single" w:sz="18" w:space="0" w:color="auto"/>
              <w:right w:val="single" w:sz="4" w:space="0" w:color="auto"/>
            </w:tcBorders>
            <w:vAlign w:val="center"/>
          </w:tcPr>
          <w:p w:rsidR="00102F4C" w:rsidRPr="002A4B19" w:rsidRDefault="00102F4C" w:rsidP="00FA22B7">
            <w:pPr>
              <w:widowControl/>
              <w:wordWrap/>
              <w:autoSpaceDE/>
              <w:spacing w:after="0" w:line="276" w:lineRule="auto"/>
              <w:jc w:val="center"/>
              <w:rPr>
                <w:rFonts w:ascii="Times New Roman" w:eastAsia="HY신명조" w:hAnsi="Times New Roman" w:cs="Times New Roman"/>
                <w:kern w:val="0"/>
                <w:sz w:val="22"/>
              </w:rPr>
            </w:pPr>
            <w:r w:rsidRPr="002A4B19">
              <w:rPr>
                <w:rFonts w:ascii="Times New Roman" w:eastAsia="HY신명조" w:hAnsi="Times New Roman" w:cs="Times New Roman"/>
                <w:kern w:val="0"/>
                <w:sz w:val="22"/>
              </w:rPr>
              <w:t>High-skilled labor</w:t>
            </w:r>
          </w:p>
        </w:tc>
        <w:tc>
          <w:tcPr>
            <w:tcW w:w="1552" w:type="dxa"/>
            <w:tcBorders>
              <w:top w:val="single" w:sz="4" w:space="0" w:color="auto"/>
              <w:left w:val="single" w:sz="4" w:space="0" w:color="auto"/>
              <w:bottom w:val="single" w:sz="18" w:space="0" w:color="auto"/>
              <w:right w:val="nil"/>
            </w:tcBorders>
            <w:vAlign w:val="center"/>
          </w:tcPr>
          <w:p w:rsidR="00102F4C" w:rsidRPr="002A4B19" w:rsidRDefault="00102F4C" w:rsidP="00FA22B7">
            <w:pPr>
              <w:widowControl/>
              <w:wordWrap/>
              <w:autoSpaceDE/>
              <w:spacing w:after="0" w:line="276" w:lineRule="auto"/>
              <w:jc w:val="center"/>
              <w:rPr>
                <w:rFonts w:ascii="Times New Roman" w:eastAsia="HY신명조" w:hAnsi="Times New Roman" w:cs="Times New Roman"/>
                <w:kern w:val="0"/>
                <w:sz w:val="22"/>
              </w:rPr>
            </w:pPr>
            <w:r w:rsidRPr="002A4B19">
              <w:rPr>
                <w:rFonts w:ascii="Times New Roman" w:eastAsia="HY신명조" w:hAnsi="Times New Roman" w:cs="Times New Roman" w:hint="eastAsia"/>
                <w:kern w:val="0"/>
                <w:sz w:val="22"/>
              </w:rPr>
              <w:t>13.77</w:t>
            </w:r>
          </w:p>
        </w:tc>
        <w:tc>
          <w:tcPr>
            <w:tcW w:w="1552" w:type="dxa"/>
            <w:tcBorders>
              <w:top w:val="single" w:sz="4" w:space="0" w:color="auto"/>
              <w:left w:val="nil"/>
              <w:bottom w:val="single" w:sz="18" w:space="0" w:color="auto"/>
              <w:right w:val="nil"/>
            </w:tcBorders>
            <w:noWrap/>
            <w:vAlign w:val="center"/>
          </w:tcPr>
          <w:p w:rsidR="00102F4C" w:rsidRPr="002A4B19" w:rsidRDefault="00102F4C" w:rsidP="00FA22B7">
            <w:pPr>
              <w:widowControl/>
              <w:wordWrap/>
              <w:autoSpaceDE/>
              <w:spacing w:after="0" w:line="276" w:lineRule="auto"/>
              <w:jc w:val="center"/>
              <w:rPr>
                <w:rFonts w:ascii="Times New Roman" w:eastAsia="HY신명조" w:hAnsi="Times New Roman" w:cs="Times New Roman"/>
                <w:kern w:val="0"/>
                <w:sz w:val="22"/>
              </w:rPr>
            </w:pPr>
            <w:r w:rsidRPr="002A4B19">
              <w:rPr>
                <w:rFonts w:ascii="Times New Roman" w:eastAsia="HY신명조" w:hAnsi="Times New Roman" w:cs="Times New Roman" w:hint="eastAsia"/>
                <w:kern w:val="0"/>
                <w:sz w:val="22"/>
              </w:rPr>
              <w:t>26.51</w:t>
            </w:r>
          </w:p>
        </w:tc>
        <w:tc>
          <w:tcPr>
            <w:tcW w:w="1552" w:type="dxa"/>
            <w:tcBorders>
              <w:top w:val="single" w:sz="4" w:space="0" w:color="auto"/>
              <w:left w:val="nil"/>
              <w:bottom w:val="single" w:sz="18" w:space="0" w:color="auto"/>
              <w:right w:val="nil"/>
            </w:tcBorders>
            <w:noWrap/>
            <w:vAlign w:val="center"/>
          </w:tcPr>
          <w:p w:rsidR="00102F4C" w:rsidRPr="002A4B19" w:rsidRDefault="00102F4C" w:rsidP="00FA22B7">
            <w:pPr>
              <w:widowControl/>
              <w:wordWrap/>
              <w:autoSpaceDE/>
              <w:spacing w:after="0" w:line="276" w:lineRule="auto"/>
              <w:jc w:val="center"/>
              <w:rPr>
                <w:rFonts w:ascii="Times New Roman" w:eastAsia="HY신명조" w:hAnsi="Times New Roman" w:cs="Times New Roman"/>
                <w:kern w:val="0"/>
                <w:sz w:val="22"/>
              </w:rPr>
            </w:pPr>
            <w:r w:rsidRPr="002A4B19">
              <w:rPr>
                <w:rFonts w:ascii="Times New Roman" w:eastAsia="HY신명조" w:hAnsi="Times New Roman" w:cs="Times New Roman" w:hint="eastAsia"/>
                <w:kern w:val="0"/>
                <w:sz w:val="22"/>
              </w:rPr>
              <w:t>30.74</w:t>
            </w:r>
          </w:p>
        </w:tc>
      </w:tr>
    </w:tbl>
    <w:p w:rsidR="00102F4C" w:rsidRPr="002A4B19" w:rsidRDefault="00102F4C" w:rsidP="00102F4C"/>
    <w:p w:rsidR="00102F4C" w:rsidRPr="002A4B19" w:rsidRDefault="00102F4C" w:rsidP="00102F4C"/>
    <w:p w:rsidR="00102F4C" w:rsidRPr="002A4B19" w:rsidRDefault="00102F4C" w:rsidP="00102F4C">
      <w:pPr>
        <w:pStyle w:val="Mdeck4heading1"/>
        <w:spacing w:before="0"/>
        <w:rPr>
          <w:rFonts w:eastAsiaTheme="minorEastAsia" w:cs="Times New Roman"/>
          <w:color w:val="auto"/>
          <w:lang w:eastAsia="ko-KR"/>
        </w:rPr>
      </w:pPr>
      <w:r w:rsidRPr="002A4B19">
        <w:rPr>
          <w:rFonts w:cs="Times New Roman"/>
          <w:color w:val="auto"/>
          <w:lang w:eastAsia="zh-CN"/>
        </w:rPr>
        <w:t>6. Discussion and Conclusions</w:t>
      </w:r>
    </w:p>
    <w:p w:rsidR="00102F4C" w:rsidRPr="002A4B19" w:rsidRDefault="00102F4C" w:rsidP="00102F4C">
      <w:pPr>
        <w:pStyle w:val="Mdeck4text"/>
        <w:rPr>
          <w:rFonts w:eastAsiaTheme="minorEastAsia" w:cs="Times New Roman"/>
          <w:color w:val="auto"/>
          <w:lang w:eastAsia="ko-KR"/>
        </w:rPr>
      </w:pPr>
      <w:r w:rsidRPr="002A4B19">
        <w:rPr>
          <w:rFonts w:eastAsiaTheme="minorEastAsia" w:cs="Times New Roman"/>
          <w:color w:val="auto"/>
          <w:lang w:eastAsia="ko-KR"/>
        </w:rPr>
        <w:t>In this paper, we examined the economy-wide effects of innovation, in terms of employment structure and economic growth. For the analysis, we used the knowledge-based CGE model, focusing on the Korean economy. To incorporate characteristics of innovation within the CGE framework, R&amp;D investments and knowledge capital stocks were introduced in the model. The knowledge stock as one of the factor inputs is assumed to be accumulated through R&amp;D investments. In addition, to deal with spillover effects from R&amp;D, we described the spillover effects as a function of government’s knowledge stock and other industries’ knowledge stock. These two types of knowledge spillover effects contribute to TFP improvements in each sector. Moreover, the CES functional form was chosen as a production function to reflect the elasticities of substitution between factors of production, and, in turn, to incorporate SBTC and capital-biased technological change into the model into the model via the production function. Those methodological considerations have enabled us to examine direct and indirect employment effects arising from innovations.</w:t>
      </w:r>
    </w:p>
    <w:p w:rsidR="00102F4C" w:rsidRPr="002A4B19" w:rsidRDefault="00102F4C" w:rsidP="00102F4C">
      <w:pPr>
        <w:pStyle w:val="Mdeck4text"/>
        <w:rPr>
          <w:rFonts w:cs="Times New Roman"/>
          <w:color w:val="auto"/>
        </w:rPr>
      </w:pPr>
      <w:r w:rsidRPr="002A4B19">
        <w:rPr>
          <w:rFonts w:cs="Times New Roman"/>
          <w:color w:val="auto"/>
        </w:rPr>
        <w:t>Based on those methodological settings in the CGE model, simulation results for policy scenarios were analyzed in terms of employment structure, economic growth, and social inequality. Simulation results show that an increased level of R&amp;D investments promotes economic growth, and creates jobs with a higher aggregate demand for labor. These results indicate that indirect employment effects of technological innovations, associated with production expansion driven by productivity improvements and spillover effects in the economy, are larger than are direct employment effects of innovations, which replace workers via SBTC, and capital-biased technological change. In other words, it can be understood that higher levels of innovation in the economy create many more jobs, by offsetting the destructive impacts of technological innovations on the employment through factor-biased technological change. The results suggest that technological innovations with a higher level of R&amp;D investments can bring growth opportunities and drive economic growth, with a higher aggregate demand for labor.</w:t>
      </w:r>
    </w:p>
    <w:p w:rsidR="00102F4C" w:rsidRPr="002A4B19" w:rsidRDefault="00102F4C" w:rsidP="00102F4C">
      <w:pPr>
        <w:pStyle w:val="Mdeck4text"/>
        <w:rPr>
          <w:rFonts w:cs="Times New Roman"/>
          <w:color w:val="auto"/>
        </w:rPr>
      </w:pPr>
      <w:r w:rsidRPr="002A4B19">
        <w:rPr>
          <w:rFonts w:cs="Times New Roman"/>
          <w:color w:val="auto"/>
        </w:rPr>
        <w:t xml:space="preserve">However, our analysis highlights the fact that economic growth accompanied by factor-biased technological change can generate higher inequality and income polarization within the economy. When R&amp;D investment is increased, relative shares of unskilled and skilled labor in the composition of value-added are found to decrease, while those of high-skilled and capital </w:t>
      </w:r>
      <w:r w:rsidRPr="002A4B19">
        <w:rPr>
          <w:rFonts w:cs="Times New Roman"/>
          <w:color w:val="auto"/>
        </w:rPr>
        <w:lastRenderedPageBreak/>
        <w:t>are shown to increase. The increase in demand for labor is linked to higher levels of employment and wages. From simulation results, we found that innovation-driven economic growth favors high-skilled over unskilled labor, and further increases skill premium. A rise in skill premium could deepen wage inequality between workers. Results on income distribution also support the premise that more people in higher income groups are engaged in relatively high-skilled work and benefit from skill premium and capital earnings. In this regard, we can understand that technological changes disproportionately raise the demand for capital and high-skilled labor, over that for skilled and unskilled labor. Indeed, it is found that this “factor-biased” technical progress plays a central role in deepening income inequality and income polarization in the economy.</w:t>
      </w:r>
    </w:p>
    <w:p w:rsidR="00102F4C" w:rsidRPr="002A4B19" w:rsidRDefault="00102F4C" w:rsidP="00102F4C">
      <w:pPr>
        <w:pStyle w:val="Mdeck4text"/>
        <w:rPr>
          <w:rFonts w:cs="Times New Roman"/>
          <w:color w:val="auto"/>
        </w:rPr>
      </w:pPr>
      <w:r w:rsidRPr="002A4B19">
        <w:rPr>
          <w:rFonts w:cs="Times New Roman"/>
          <w:color w:val="auto"/>
        </w:rPr>
        <w:t>Our analysis implies that technological innovations pose both opportunities and challenges in the society. Over the past four decades, technological advances have driven productivity upward, improved living standards, and stimulated economic growth by creating new growth opportunities. However, economic growth accompanied by rapid technological change has brought new challenges in terms of employment and inequality. In this regard, our analysis demonstrates that economic growth driven by technological innovations does not automatically benefit everyone in a society. We have found that technological advances may create both winners and losers via SBTC, and by capital-biased technical change, as noticed by Brynjolfsson and McAfee (2012, 2014). A substantial increase in inequality does not bode well for social and political stability, and faster technological progress may intensify a strong relationship between technological change and higher inequality (Usanov and Chivot, 2013). Therefore, there should be faster adjustments by policymakers and institutions to address the risk of job polarization (by replacing skilled and unskilled jobs with higher skilled jobs) and the income inequality behind innovation-driven economic growth. The policy implications, in terms of employment and inequality challenges posed by technological innovations, can be summarized as the need to adopt a broad perspective when preparing policies dealing with these issues, rather than just focusing on labor market measures. In this regard, we propose policy recommendations in various dimensions, ranging from employment policy to fiscal policy. Policy recommendations, as presented below, suggest that socio-economic institutions need to be adjusted to the pace and direction of technological progress, to ensure both the quality of economic growth and the quantitative expansion:</w:t>
      </w:r>
    </w:p>
    <w:p w:rsidR="00102F4C" w:rsidRPr="002A4B19" w:rsidRDefault="00102F4C" w:rsidP="00102F4C">
      <w:pPr>
        <w:pStyle w:val="Mdeck4text"/>
        <w:rPr>
          <w:rFonts w:eastAsiaTheme="minorEastAsia" w:cs="Times New Roman"/>
          <w:color w:val="auto"/>
          <w:lang w:eastAsia="ko-KR"/>
        </w:rPr>
      </w:pPr>
    </w:p>
    <w:p w:rsidR="00102F4C" w:rsidRPr="002A4B19" w:rsidRDefault="00102F4C" w:rsidP="00102F4C">
      <w:pPr>
        <w:pStyle w:val="Mdeck4text"/>
        <w:numPr>
          <w:ilvl w:val="0"/>
          <w:numId w:val="3"/>
        </w:numPr>
        <w:ind w:left="76"/>
        <w:rPr>
          <w:rFonts w:eastAsiaTheme="minorEastAsia" w:cs="Times New Roman"/>
          <w:color w:val="auto"/>
          <w:lang w:eastAsia="ko-KR"/>
        </w:rPr>
      </w:pPr>
      <w:r w:rsidRPr="002A4B19">
        <w:rPr>
          <w:rFonts w:eastAsiaTheme="minorEastAsia" w:cs="Times New Roman"/>
          <w:color w:val="auto"/>
          <w:lang w:eastAsia="ko-KR"/>
        </w:rPr>
        <w:t>Employment policy</w:t>
      </w:r>
    </w:p>
    <w:p w:rsidR="00102F4C" w:rsidRPr="002A4B19" w:rsidRDefault="00102F4C" w:rsidP="00102F4C">
      <w:pPr>
        <w:pStyle w:val="Mdeck4text"/>
        <w:rPr>
          <w:rFonts w:cs="Times New Roman"/>
          <w:color w:val="auto"/>
        </w:rPr>
      </w:pPr>
      <w:r w:rsidRPr="002A4B19">
        <w:rPr>
          <w:rFonts w:eastAsiaTheme="minorEastAsia" w:cs="Times New Roman"/>
          <w:color w:val="auto"/>
          <w:lang w:eastAsia="ko-KR"/>
        </w:rPr>
        <w:t xml:space="preserve">Policymakers should prepare a variety of educational programs, to educate workforces to be able to fit in new jobs generated by technological changes, and learn more advanced skills. From the analysis, it is found that </w:t>
      </w:r>
      <w:r w:rsidRPr="002A4B19">
        <w:rPr>
          <w:rFonts w:cs="Times New Roman"/>
          <w:color w:val="auto"/>
        </w:rPr>
        <w:t xml:space="preserve">technological changes disproportionately raise the demand for capital and high-skilled labor over skilled and unskilled labor by eliminating many jobs, either through automation or upgrading the skill level required to attain or keep those jobs. Therefore, it is important to establish training-focused adjustment policies for effective worker transitions in the wake of technological displacement (Marchant et al., 2014). As noted by </w:t>
      </w:r>
      <w:r w:rsidRPr="002A4B19">
        <w:rPr>
          <w:rFonts w:cs="Times New Roman"/>
          <w:color w:val="auto"/>
        </w:rPr>
        <w:lastRenderedPageBreak/>
        <w:t>Cobo (2013), the concepts of “up-skilling” &amp; “re-training” should be emphasized in educational programs, to enable workers to keep their competences in quickly adjusting to the rapid technological changes, SBTC. Those educational programs can facilitate smooth transitions of workers, either from unskilled to skilled workers or from skilled to high-skilled workers, in line with changing labor market demand. At the same time, the unemployment system can play an important role, as technological change is found to accelerate the obsolescence of many low-skilled workers. High benefit replacement rates might be a complementary policy instrument to incentivize low-skilled unemployed workers to participate in up-skilling and re-training programs that facilitate re-entry to the labor market (Bassanini and Duval, 2006).</w:t>
      </w:r>
    </w:p>
    <w:p w:rsidR="00102F4C" w:rsidRPr="002A4B19" w:rsidRDefault="00102F4C" w:rsidP="00102F4C">
      <w:pPr>
        <w:pStyle w:val="Mdeck4text"/>
        <w:rPr>
          <w:rFonts w:cs="Times New Roman"/>
          <w:color w:val="auto"/>
        </w:rPr>
      </w:pPr>
    </w:p>
    <w:p w:rsidR="00102F4C" w:rsidRPr="002A4B19" w:rsidRDefault="00102F4C" w:rsidP="00102F4C">
      <w:pPr>
        <w:pStyle w:val="Mdeck4text"/>
        <w:numPr>
          <w:ilvl w:val="0"/>
          <w:numId w:val="3"/>
        </w:numPr>
        <w:ind w:left="76"/>
        <w:rPr>
          <w:rFonts w:eastAsiaTheme="minorEastAsia" w:cs="Times New Roman"/>
          <w:color w:val="auto"/>
          <w:lang w:eastAsia="ko-KR"/>
        </w:rPr>
      </w:pPr>
      <w:r w:rsidRPr="002A4B19">
        <w:rPr>
          <w:rFonts w:eastAsiaTheme="minorEastAsia" w:cs="Times New Roman"/>
          <w:color w:val="auto"/>
          <w:lang w:eastAsia="ko-KR"/>
        </w:rPr>
        <w:t>Education policy</w:t>
      </w:r>
    </w:p>
    <w:p w:rsidR="00102F4C" w:rsidRPr="002A4B19" w:rsidRDefault="00102F4C" w:rsidP="00102F4C">
      <w:pPr>
        <w:pStyle w:val="Mdeck4text"/>
        <w:rPr>
          <w:rFonts w:eastAsiaTheme="minorEastAsia" w:cs="Times New Roman"/>
          <w:color w:val="auto"/>
          <w:lang w:eastAsia="ko-KR"/>
        </w:rPr>
      </w:pPr>
      <w:r w:rsidRPr="002A4B19">
        <w:rPr>
          <w:rFonts w:eastAsiaTheme="minorEastAsia" w:cs="Times New Roman"/>
          <w:color w:val="auto"/>
          <w:lang w:eastAsia="ko-KR"/>
        </w:rPr>
        <w:t>From our study, we have confirmed that technological progress leads to acceleration of skill obsolescence and may contribute to skill mismatches and job polarization. This result suggests that the existing educational system should undergo drastic changes, to mitigate the effects of non-neutral technological change, which is characterized by SBTC, on job polarization and skill mismatches, as highlighted by Redecker et al. (2010). To sustain the knowledge-based economy, with innovation as an engine of growth, the right types of skills and knowledge should be provided and built up through education, to adjust to a shift in the skill sets that people need to develop in accordance with technological changes. In other words, the educational system should keep pace with technological change and evolving labor markets. Thus, workplace-based vocational training and lifelong learning can be considered as key elements in upcoming educational systems. In addition, existing curricula, and many of the skills being taught today in schools, are tied to routine skills and manual works that can be replaced by machines (Rotherham and Willingham, 2010). Therefore, existing curricula and educational systems should be focused on offering opportunities to learn new skill sets, keep skills up to date, and remain compatible with technological progress. Along with reforms of the educational system, policymakers need to understand the existing skill base, at both country and industry level, and anticipate changing future skill requirements that may arise from rapid technological change (WEF, 2016).</w:t>
      </w:r>
    </w:p>
    <w:p w:rsidR="00102F4C" w:rsidRPr="002A4B19" w:rsidRDefault="00102F4C" w:rsidP="00102F4C">
      <w:pPr>
        <w:pStyle w:val="Mdeck4text"/>
        <w:rPr>
          <w:rFonts w:eastAsiaTheme="minorEastAsia" w:cs="Times New Roman"/>
          <w:color w:val="auto"/>
          <w:lang w:eastAsia="ko-KR"/>
        </w:rPr>
      </w:pPr>
    </w:p>
    <w:p w:rsidR="00102F4C" w:rsidRPr="002A4B19" w:rsidRDefault="00102F4C" w:rsidP="00102F4C">
      <w:pPr>
        <w:pStyle w:val="Mdeck4text"/>
        <w:numPr>
          <w:ilvl w:val="0"/>
          <w:numId w:val="3"/>
        </w:numPr>
        <w:ind w:left="76"/>
        <w:rPr>
          <w:rFonts w:eastAsiaTheme="minorEastAsia" w:cs="Times New Roman"/>
          <w:color w:val="auto"/>
          <w:lang w:eastAsia="ko-KR"/>
        </w:rPr>
      </w:pPr>
      <w:r w:rsidRPr="002A4B19">
        <w:rPr>
          <w:rFonts w:eastAsiaTheme="minorEastAsia" w:cs="Times New Roman"/>
          <w:color w:val="auto"/>
          <w:lang w:eastAsia="ko-KR"/>
        </w:rPr>
        <w:t>Technology/Innovation policy</w:t>
      </w:r>
    </w:p>
    <w:p w:rsidR="00102F4C" w:rsidRPr="002A4B19" w:rsidRDefault="00102F4C" w:rsidP="00102F4C">
      <w:pPr>
        <w:pStyle w:val="Mdeck4text"/>
        <w:rPr>
          <w:rFonts w:eastAsiaTheme="minorEastAsia" w:cs="Times New Roman"/>
          <w:color w:val="auto"/>
          <w:lang w:eastAsia="ko-KR"/>
        </w:rPr>
      </w:pPr>
      <w:r w:rsidRPr="002A4B19">
        <w:rPr>
          <w:rFonts w:eastAsiaTheme="minorEastAsia" w:cs="Times New Roman"/>
          <w:color w:val="auto"/>
          <w:lang w:eastAsia="ko-KR"/>
        </w:rPr>
        <w:t xml:space="preserve">From the policy simulations, it is found that a higher level of R&amp;D investment leads to higher productivity growth, and, in turn, lowers the production costs in sectors. Lower costs in producing outputs make sectors demand more factors of production, resulting in production and employment expansion in the economy. It can be inferred that promoting innovation within the economy is essential to drive economic growth and aggregate employment expansion. Thus, we can conclude that policy instruments in the innovation policy domain should be established, to offer industries the opportunity to promote entrepreneurship and trigger many more innovation-related activities within the economy. These would include granting R&amp;D </w:t>
      </w:r>
      <w:r w:rsidRPr="002A4B19">
        <w:rPr>
          <w:rFonts w:eastAsiaTheme="minorEastAsia" w:cs="Times New Roman"/>
          <w:color w:val="auto"/>
          <w:lang w:eastAsia="ko-KR"/>
        </w:rPr>
        <w:lastRenderedPageBreak/>
        <w:t>subsidies, lowering entry barriers to new business creation, and revising regulations that might hinder the creation of new business models.</w:t>
      </w:r>
    </w:p>
    <w:p w:rsidR="00102F4C" w:rsidRPr="002A4B19" w:rsidRDefault="00102F4C" w:rsidP="00102F4C">
      <w:pPr>
        <w:pStyle w:val="Mdeck4text"/>
        <w:rPr>
          <w:rFonts w:eastAsiaTheme="minorEastAsia" w:cs="Times New Roman"/>
          <w:color w:val="auto"/>
          <w:lang w:eastAsia="ko-KR"/>
        </w:rPr>
      </w:pPr>
    </w:p>
    <w:p w:rsidR="00102F4C" w:rsidRPr="002A4B19" w:rsidRDefault="00102F4C" w:rsidP="00102F4C">
      <w:pPr>
        <w:pStyle w:val="Mdeck4text"/>
        <w:numPr>
          <w:ilvl w:val="0"/>
          <w:numId w:val="3"/>
        </w:numPr>
        <w:ind w:left="76"/>
        <w:rPr>
          <w:rFonts w:eastAsiaTheme="minorEastAsia" w:cs="Times New Roman"/>
          <w:color w:val="auto"/>
          <w:lang w:eastAsia="ko-KR"/>
        </w:rPr>
      </w:pPr>
      <w:r w:rsidRPr="002A4B19">
        <w:rPr>
          <w:rFonts w:eastAsiaTheme="minorEastAsia" w:cs="Times New Roman"/>
          <w:color w:val="auto"/>
          <w:lang w:eastAsia="ko-KR"/>
        </w:rPr>
        <w:t>Fiscal policy</w:t>
      </w:r>
    </w:p>
    <w:p w:rsidR="00102F4C" w:rsidRPr="002A4B19" w:rsidRDefault="00102F4C" w:rsidP="00102F4C">
      <w:pPr>
        <w:pStyle w:val="Mdeck4text"/>
        <w:rPr>
          <w:rFonts w:eastAsiaTheme="minorEastAsia" w:cs="Times New Roman"/>
          <w:color w:val="auto"/>
          <w:lang w:eastAsia="ko-KR"/>
        </w:rPr>
      </w:pPr>
      <w:r w:rsidRPr="002A4B19">
        <w:rPr>
          <w:rFonts w:eastAsiaTheme="minorEastAsia" w:cs="Times New Roman"/>
          <w:color w:val="auto"/>
          <w:lang w:eastAsia="ko-KR"/>
        </w:rPr>
        <w:t>To ensure the quality of economic growth, in addition to quantitative expansion, policy measures to solve rising income inequality should also be well established. Intensified inequalities among economic agents in the economy can cause social instability and may reduce economic efficiency and productivities. Therefore, problems of income polarization and inequality, driven by factor-bias technological change, should be mitigated with supplementary policy instruments. From the analysis, it is found that people at higher income groups are relatively more engaged in high-skilled works and benefit more from higher levels of skill premium and capital earnings than do other groups of people. This result suggests that technological progress is one of the major factors that widen income inequality within the economy. In this context, policy instruments related to tax and transfer mechanisms can play important roles in achieving redistribution of income and reducing inequality (OECD, 2015). For example, increase in tax rates for capital earnings and progressive labor income taxation could be policy options for resolving income inequality problems. However, those measures should not discourage incentives for innovation and investments and let the potential for innovation fall within the economy. Therefore, potential trade-offs in the design of tax instruments between economic growth and equity should be carefully take into consideration.</w:t>
      </w:r>
    </w:p>
    <w:p w:rsidR="00102F4C" w:rsidRPr="002A4B19" w:rsidRDefault="00102F4C" w:rsidP="00102F4C"/>
    <w:p w:rsidR="00102F4C" w:rsidRPr="002A4B19" w:rsidRDefault="00102F4C" w:rsidP="00102F4C"/>
    <w:p w:rsidR="00102F4C" w:rsidRPr="002A4B19" w:rsidRDefault="00102F4C" w:rsidP="00102F4C">
      <w:pPr>
        <w:pStyle w:val="Mdeck4heading1"/>
        <w:spacing w:before="0"/>
        <w:rPr>
          <w:color w:val="auto"/>
          <w:lang w:eastAsia="en-US"/>
        </w:rPr>
      </w:pPr>
      <w:r w:rsidRPr="002A4B19">
        <w:rPr>
          <w:color w:val="auto"/>
          <w:lang w:eastAsia="en-US"/>
        </w:rPr>
        <w:t>Acknowledgments</w:t>
      </w:r>
    </w:p>
    <w:p w:rsidR="00102F4C" w:rsidRPr="002A4B19" w:rsidRDefault="00102F4C" w:rsidP="00102F4C">
      <w:pPr>
        <w:pStyle w:val="Mdeck4text"/>
        <w:rPr>
          <w:rFonts w:eastAsiaTheme="minorEastAsia" w:cs="Times New Roman"/>
          <w:color w:val="auto"/>
          <w:lang w:eastAsia="ko-KR"/>
        </w:rPr>
      </w:pPr>
      <w:r w:rsidRPr="002A4B19">
        <w:rPr>
          <w:rFonts w:eastAsiaTheme="minorEastAsia" w:cs="Times New Roman"/>
          <w:color w:val="auto"/>
          <w:lang w:eastAsia="ko-KR"/>
        </w:rPr>
        <w:t xml:space="preserve">The authors are grateful to the </w:t>
      </w:r>
      <w:r w:rsidR="00DD37E9" w:rsidRPr="002A4B19">
        <w:rPr>
          <w:rFonts w:eastAsiaTheme="minorEastAsia" w:cs="Times New Roman"/>
          <w:color w:val="auto"/>
          <w:lang w:eastAsia="ko-KR"/>
        </w:rPr>
        <w:t>editor</w:t>
      </w:r>
      <w:r w:rsidRPr="002A4B19">
        <w:rPr>
          <w:rFonts w:eastAsiaTheme="minorEastAsia" w:cs="Times New Roman"/>
          <w:color w:val="auto"/>
          <w:lang w:eastAsia="ko-KR"/>
        </w:rPr>
        <w:t xml:space="preserve"> and two anonymous reviewers who dedicated their considerable time and provided valuable comments and suggestions to improve the quality of the paper. This work is supported by the National Research Foundation of Korea Grant, funded by the Korean Government (NRF-2013R1A2A2A03014744), and Institute of Engineering Research (IOEG) of Seoul National University.</w:t>
      </w:r>
    </w:p>
    <w:p w:rsidR="00102F4C" w:rsidRPr="002A4B19" w:rsidRDefault="00102F4C" w:rsidP="00102F4C">
      <w:pPr>
        <w:pStyle w:val="Mdeck4heading1"/>
        <w:rPr>
          <w:color w:val="auto"/>
          <w:lang w:eastAsia="en-US"/>
        </w:rPr>
      </w:pPr>
      <w:r w:rsidRPr="002A4B19">
        <w:rPr>
          <w:color w:val="auto"/>
          <w:lang w:eastAsia="en-US"/>
        </w:rPr>
        <w:t>Conflicts of Interest</w:t>
      </w:r>
    </w:p>
    <w:p w:rsidR="00102F4C" w:rsidRPr="002A4B19" w:rsidRDefault="00102F4C" w:rsidP="00102F4C">
      <w:pPr>
        <w:pStyle w:val="Mdeck4text"/>
        <w:rPr>
          <w:color w:val="auto"/>
          <w:lang w:eastAsia="en-US"/>
        </w:rPr>
      </w:pPr>
      <w:r w:rsidRPr="002A4B19">
        <w:rPr>
          <w:color w:val="auto"/>
          <w:lang w:eastAsia="en-US"/>
        </w:rPr>
        <w:t>The authors declare no conflict of interest.</w:t>
      </w:r>
    </w:p>
    <w:p w:rsidR="00102F4C" w:rsidRPr="002A4B19" w:rsidRDefault="00102F4C" w:rsidP="00102F4C"/>
    <w:p w:rsidR="00205DAF" w:rsidRPr="002A4B19" w:rsidRDefault="00205DAF" w:rsidP="00205DAF">
      <w:pPr>
        <w:pStyle w:val="Mdeck4heading1"/>
        <w:rPr>
          <w:color w:val="auto"/>
          <w:lang w:eastAsia="en-US"/>
        </w:rPr>
      </w:pPr>
      <w:r w:rsidRPr="002A4B19">
        <w:rPr>
          <w:color w:val="auto"/>
          <w:lang w:eastAsia="en-US"/>
        </w:rPr>
        <w:t>References</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Acemoglu, D.. (1998). Why do new technologies complement skills? Directed technical change and wage inequality. </w:t>
      </w:r>
      <w:r w:rsidRPr="002A4B19">
        <w:rPr>
          <w:rFonts w:ascii="Times New Roman" w:eastAsia="맑은 고딕" w:hAnsi="Times New Roman" w:cs="Times New Roman"/>
          <w:i/>
          <w:noProof/>
        </w:rPr>
        <w:t>The Quarterly Journal of Economics, 113</w:t>
      </w:r>
      <w:r w:rsidRPr="002A4B19">
        <w:rPr>
          <w:rFonts w:ascii="Times New Roman" w:eastAsia="맑은 고딕" w:hAnsi="Times New Roman" w:cs="Times New Roman"/>
          <w:noProof/>
        </w:rPr>
        <w:t>, 1055–1089.</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Acemoglu, D.. (2002). Technical Change, Inequality, and the Labor Market. </w:t>
      </w:r>
      <w:r w:rsidRPr="002A4B19">
        <w:rPr>
          <w:rFonts w:ascii="Times New Roman" w:eastAsia="맑은 고딕" w:hAnsi="Times New Roman" w:cs="Times New Roman"/>
          <w:i/>
          <w:noProof/>
        </w:rPr>
        <w:t xml:space="preserve">Journal of Economic Literature, </w:t>
      </w:r>
      <w:r w:rsidRPr="002A4B19">
        <w:rPr>
          <w:rFonts w:ascii="Times New Roman" w:eastAsia="맑은 고딕" w:hAnsi="Times New Roman" w:cs="Times New Roman"/>
          <w:i/>
          <w:noProof/>
        </w:rPr>
        <w:lastRenderedPageBreak/>
        <w:t>40(1)</w:t>
      </w:r>
      <w:r w:rsidRPr="002A4B19">
        <w:rPr>
          <w:rFonts w:ascii="Times New Roman" w:eastAsia="맑은 고딕" w:hAnsi="Times New Roman" w:cs="Times New Roman"/>
          <w:noProof/>
        </w:rPr>
        <w:t>, 7–72.</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Autor, D. H., Katz, L. F., &amp; Kearney, M. S. (2008). Trends in US wage inequality: Revising the revisionists. </w:t>
      </w:r>
      <w:r w:rsidRPr="002A4B19">
        <w:rPr>
          <w:rFonts w:ascii="Times New Roman" w:eastAsia="맑은 고딕" w:hAnsi="Times New Roman" w:cs="Times New Roman"/>
          <w:i/>
          <w:noProof/>
        </w:rPr>
        <w:t>The Review of economics and statistics, 90(2)</w:t>
      </w:r>
      <w:r w:rsidRPr="002A4B19">
        <w:rPr>
          <w:rFonts w:ascii="Times New Roman" w:eastAsia="맑은 고딕" w:hAnsi="Times New Roman" w:cs="Times New Roman"/>
          <w:noProof/>
        </w:rPr>
        <w:t>, 300-323.</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Baccini, A., &amp; Cioni, M. (2010). Is technological change really skill</w:t>
      </w:r>
      <w:r w:rsidRPr="002A4B19">
        <w:rPr>
          <w:rFonts w:ascii="Cambria Math" w:eastAsia="맑은 고딕" w:hAnsi="Cambria Math" w:cs="Cambria Math"/>
          <w:noProof/>
        </w:rPr>
        <w:t>‐</w:t>
      </w:r>
      <w:r w:rsidRPr="002A4B19">
        <w:rPr>
          <w:rFonts w:ascii="Times New Roman" w:eastAsia="맑은 고딕" w:hAnsi="Times New Roman" w:cs="Times New Roman"/>
          <w:noProof/>
        </w:rPr>
        <w:t xml:space="preserve">biased? Evidence from the introduction of ICT on the Italian textile industry (1980–2000). </w:t>
      </w:r>
      <w:r w:rsidRPr="002A4B19">
        <w:rPr>
          <w:rFonts w:ascii="Times New Roman" w:eastAsia="맑은 고딕" w:hAnsi="Times New Roman" w:cs="Times New Roman"/>
          <w:i/>
          <w:noProof/>
        </w:rPr>
        <w:t>New Technology, Work and Employment, 25(1)</w:t>
      </w:r>
      <w:r w:rsidRPr="002A4B19">
        <w:rPr>
          <w:rFonts w:ascii="Times New Roman" w:eastAsia="맑은 고딕" w:hAnsi="Times New Roman" w:cs="Times New Roman"/>
          <w:noProof/>
        </w:rPr>
        <w:t>, 80-93.</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Bank Of Korea (BOK). </w:t>
      </w:r>
      <w:r w:rsidRPr="002A4B19">
        <w:rPr>
          <w:rFonts w:ascii="Times New Roman" w:eastAsia="맑은 고딕" w:hAnsi="Times New Roman" w:cs="Times New Roman"/>
          <w:i/>
          <w:noProof/>
        </w:rPr>
        <w:t>Input-Output Table 2010</w:t>
      </w:r>
      <w:r w:rsidRPr="002A4B19">
        <w:rPr>
          <w:rFonts w:ascii="Times New Roman" w:eastAsia="맑은 고딕" w:hAnsi="Times New Roman" w:cs="Times New Roman"/>
          <w:noProof/>
        </w:rPr>
        <w:t>; BOK: Seoul, Korea, 2013.</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Bentolila, S., &amp; Saint-Paul, G. (2003). Explaining movements in the labor share. </w:t>
      </w:r>
      <w:r w:rsidRPr="002A4B19">
        <w:rPr>
          <w:rFonts w:ascii="Times New Roman" w:eastAsia="맑은 고딕" w:hAnsi="Times New Roman" w:cs="Times New Roman"/>
          <w:i/>
          <w:noProof/>
        </w:rPr>
        <w:t>Contributions in Macroeconomics, 3(1)</w:t>
      </w:r>
      <w:r w:rsidRPr="002A4B19">
        <w:rPr>
          <w:rFonts w:ascii="Times New Roman" w:eastAsia="맑은 고딕" w:hAnsi="Times New Roman" w:cs="Times New Roman"/>
          <w:noProof/>
        </w:rPr>
        <w:t>, 1-31.</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Berman, E., Bound, J., &amp; Griliches, Z. (1994). Changes in the demand for skilled labor within US manufacturing: evidence from the annual survey of manufacturers. </w:t>
      </w:r>
      <w:r w:rsidRPr="002A4B19">
        <w:rPr>
          <w:rFonts w:ascii="Times New Roman" w:eastAsia="맑은 고딕" w:hAnsi="Times New Roman" w:cs="Times New Roman"/>
          <w:i/>
          <w:noProof/>
        </w:rPr>
        <w:t>The Quarterly Journal of Economics</w:t>
      </w:r>
      <w:r w:rsidRPr="002A4B19">
        <w:rPr>
          <w:rFonts w:ascii="Times New Roman" w:eastAsia="맑은 고딕" w:hAnsi="Times New Roman" w:cs="Times New Roman"/>
          <w:noProof/>
        </w:rPr>
        <w:t xml:space="preserve">, </w:t>
      </w:r>
      <w:r w:rsidRPr="002A4B19">
        <w:rPr>
          <w:rFonts w:ascii="Times New Roman" w:eastAsia="맑은 고딕" w:hAnsi="Times New Roman" w:cs="Times New Roman"/>
          <w:i/>
          <w:noProof/>
        </w:rPr>
        <w:t>109(2)</w:t>
      </w:r>
      <w:r w:rsidRPr="002A4B19">
        <w:rPr>
          <w:rFonts w:ascii="Times New Roman" w:eastAsia="맑은 고딕" w:hAnsi="Times New Roman" w:cs="Times New Roman"/>
          <w:noProof/>
        </w:rPr>
        <w:t>, 367-397.</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Bassanini, A., &amp; Duval, R. (2006). The determinants of unemployment across OECD countries: Reassessing the role of policies and institutions. </w:t>
      </w:r>
      <w:r w:rsidRPr="002A4B19">
        <w:rPr>
          <w:rFonts w:ascii="Times New Roman" w:eastAsia="맑은 고딕" w:hAnsi="Times New Roman" w:cs="Times New Roman"/>
          <w:i/>
          <w:noProof/>
        </w:rPr>
        <w:t>OECD Economic Studies</w:t>
      </w:r>
      <w:r w:rsidRPr="002A4B19">
        <w:rPr>
          <w:rFonts w:ascii="Times New Roman" w:eastAsia="맑은 고딕" w:hAnsi="Times New Roman" w:cs="Times New Roman"/>
          <w:noProof/>
        </w:rPr>
        <w:t>, 42(1), 7-86.</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Bessen, J. </w:t>
      </w:r>
      <w:r w:rsidRPr="002A4B19">
        <w:rPr>
          <w:rFonts w:ascii="Times New Roman" w:eastAsia="맑은 고딕" w:hAnsi="Times New Roman" w:cs="Times New Roman"/>
          <w:i/>
          <w:noProof/>
        </w:rPr>
        <w:t>Learning by Doing: The Real Connection Between Innovation, Wages, and Wealth</w:t>
      </w:r>
      <w:r w:rsidRPr="002A4B19">
        <w:rPr>
          <w:rFonts w:ascii="Times New Roman" w:eastAsia="맑은 고딕" w:hAnsi="Times New Roman" w:cs="Times New Roman"/>
          <w:noProof/>
        </w:rPr>
        <w:t>. Yale University Press: London, United Kingdom, 2015.</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Bresnahan, T. F., Brynjolfsson, E., &amp; Hitt, L. M. (2002). Information Technology, Workplace Organization and the Demand for Skilled Labor: Firm-level Evidence. </w:t>
      </w:r>
      <w:r w:rsidRPr="002A4B19">
        <w:rPr>
          <w:rFonts w:ascii="Times New Roman" w:eastAsia="맑은 고딕" w:hAnsi="Times New Roman" w:cs="Times New Roman"/>
          <w:i/>
          <w:noProof/>
        </w:rPr>
        <w:t>Quarterly Journal of Economics</w:t>
      </w:r>
      <w:r w:rsidRPr="002A4B19">
        <w:rPr>
          <w:rFonts w:ascii="Times New Roman" w:eastAsia="맑은 고딕" w:hAnsi="Times New Roman" w:cs="Times New Roman"/>
          <w:noProof/>
        </w:rPr>
        <w:t xml:space="preserve">, </w:t>
      </w:r>
      <w:r w:rsidRPr="002A4B19">
        <w:rPr>
          <w:rFonts w:ascii="Times New Roman" w:eastAsia="맑은 고딕" w:hAnsi="Times New Roman" w:cs="Times New Roman"/>
          <w:i/>
          <w:noProof/>
        </w:rPr>
        <w:t>117</w:t>
      </w:r>
      <w:r w:rsidRPr="002A4B19">
        <w:rPr>
          <w:rFonts w:ascii="Times New Roman" w:eastAsia="맑은 고딕" w:hAnsi="Times New Roman" w:cs="Times New Roman"/>
          <w:noProof/>
        </w:rPr>
        <w:t>, 339–76.</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Brouwer, E., Kleinknecht, A., &amp; Reijnen, J. O. (1993). Employment growth and innovation at the firm level. </w:t>
      </w:r>
      <w:r w:rsidRPr="002A4B19">
        <w:rPr>
          <w:rFonts w:ascii="Times New Roman" w:eastAsia="맑은 고딕" w:hAnsi="Times New Roman" w:cs="Times New Roman"/>
          <w:i/>
          <w:noProof/>
        </w:rPr>
        <w:t>Journal of Evolutionary Economics</w:t>
      </w:r>
      <w:r w:rsidRPr="002A4B19">
        <w:rPr>
          <w:rFonts w:ascii="Times New Roman" w:eastAsia="맑은 고딕" w:hAnsi="Times New Roman" w:cs="Times New Roman"/>
          <w:noProof/>
        </w:rPr>
        <w:t xml:space="preserve">, </w:t>
      </w:r>
      <w:r w:rsidRPr="002A4B19">
        <w:rPr>
          <w:rFonts w:ascii="Times New Roman" w:eastAsia="맑은 고딕" w:hAnsi="Times New Roman" w:cs="Times New Roman"/>
          <w:i/>
          <w:noProof/>
        </w:rPr>
        <w:t>3(2)</w:t>
      </w:r>
      <w:r w:rsidRPr="002A4B19">
        <w:rPr>
          <w:rFonts w:ascii="Times New Roman" w:eastAsia="맑은 고딕" w:hAnsi="Times New Roman" w:cs="Times New Roman"/>
          <w:noProof/>
        </w:rPr>
        <w:t xml:space="preserve">, 153-159. </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Brynjolfsson, E., &amp; Hitt, L. M. (2014). Information technology as a factor of production: The role of differences among firms, </w:t>
      </w:r>
      <w:r w:rsidRPr="002A4B19">
        <w:rPr>
          <w:rFonts w:ascii="Times New Roman" w:eastAsia="맑은 고딕" w:hAnsi="Times New Roman" w:cs="Times New Roman"/>
          <w:i/>
          <w:noProof/>
        </w:rPr>
        <w:t>Economics of innovation and new technology, 3(3-4)</w:t>
      </w:r>
      <w:r w:rsidRPr="002A4B19">
        <w:rPr>
          <w:rFonts w:ascii="Times New Roman" w:eastAsia="맑은 고딕" w:hAnsi="Times New Roman" w:cs="Times New Roman"/>
          <w:noProof/>
        </w:rPr>
        <w:t>, 183-200.</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Brynjolfsson, E., &amp; McAfee, A. </w:t>
      </w:r>
      <w:r w:rsidRPr="002A4B19">
        <w:rPr>
          <w:rFonts w:ascii="Times New Roman" w:eastAsia="맑은 고딕" w:hAnsi="Times New Roman" w:cs="Times New Roman"/>
          <w:i/>
          <w:noProof/>
        </w:rPr>
        <w:t>The second machine age: Work, progress, and prosperity in a time of brilliant technologies</w:t>
      </w:r>
      <w:r w:rsidRPr="002A4B19">
        <w:rPr>
          <w:rFonts w:ascii="Times New Roman" w:eastAsia="맑은 고딕" w:hAnsi="Times New Roman" w:cs="Times New Roman"/>
          <w:noProof/>
        </w:rPr>
        <w:t>. WW Norton &amp; Company: New York, USA, 2014.</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Brynjolfsson, E.; McAfee, A. </w:t>
      </w:r>
      <w:r w:rsidRPr="002A4B19">
        <w:rPr>
          <w:rFonts w:ascii="Times New Roman" w:eastAsia="맑은 고딕" w:hAnsi="Times New Roman" w:cs="Times New Roman"/>
          <w:i/>
          <w:noProof/>
        </w:rPr>
        <w:t>Race against the machine: How the digital revolution is accelerating innovation, driving productivity, and irreversibly transforming employment and the economy</w:t>
      </w:r>
      <w:r w:rsidRPr="002A4B19">
        <w:rPr>
          <w:rFonts w:ascii="Times New Roman" w:eastAsia="맑은 고딕" w:hAnsi="Times New Roman" w:cs="Times New Roman"/>
          <w:noProof/>
        </w:rPr>
        <w:t>. WW Norton &amp; Company: New York, USA, 2012.</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Card, D., &amp; DiNardo, J. E. (2002). Skill biased technological change and rising wage inequality: some problems and puzzles. Available online: </w:t>
      </w:r>
      <w:hyperlink r:id="rId24" w:history="1">
        <w:r w:rsidRPr="002A4B19">
          <w:rPr>
            <w:rFonts w:ascii="Times New Roman" w:eastAsia="맑은 고딕" w:hAnsi="Times New Roman" w:cs="Times New Roman"/>
            <w:noProof/>
          </w:rPr>
          <w:t>http://www.nber.org/papers/w8769</w:t>
        </w:r>
      </w:hyperlink>
      <w:r w:rsidRPr="002A4B19">
        <w:rPr>
          <w:rFonts w:ascii="Times New Roman" w:eastAsia="맑은 고딕" w:hAnsi="Times New Roman" w:cs="Times New Roman"/>
          <w:noProof/>
        </w:rPr>
        <w:t xml:space="preserve"> (accessed on 26 August 2016)</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Coad, A., &amp; Rao, R. (2011). The firm-level employment effects of innovations in high-tech US manufacturing industries. </w:t>
      </w:r>
      <w:r w:rsidRPr="002A4B19">
        <w:rPr>
          <w:rFonts w:ascii="Times New Roman" w:eastAsia="맑은 고딕" w:hAnsi="Times New Roman" w:cs="Times New Roman"/>
          <w:i/>
          <w:noProof/>
        </w:rPr>
        <w:t>Journal of Evolutionary Economics, 21</w:t>
      </w:r>
      <w:r w:rsidRPr="002A4B19">
        <w:rPr>
          <w:rFonts w:ascii="Times New Roman" w:eastAsia="맑은 고딕" w:hAnsi="Times New Roman" w:cs="Times New Roman"/>
          <w:noProof/>
        </w:rPr>
        <w:t>(2), 255-283.</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Cobo, C. (2013). Skills for innovation: envisioning an education that prepares for the changing world. </w:t>
      </w:r>
      <w:r w:rsidRPr="002A4B19">
        <w:rPr>
          <w:rFonts w:ascii="Times New Roman" w:eastAsia="맑은 고딕" w:hAnsi="Times New Roman" w:cs="Times New Roman"/>
          <w:i/>
          <w:noProof/>
        </w:rPr>
        <w:t>Curriculum Journal</w:t>
      </w:r>
      <w:r w:rsidRPr="002A4B19">
        <w:rPr>
          <w:rFonts w:ascii="Times New Roman" w:eastAsia="맑은 고딕" w:hAnsi="Times New Roman" w:cs="Times New Roman"/>
          <w:noProof/>
        </w:rPr>
        <w:t>, 24(1), 67-85.</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David, H., Katz, L. F., &amp; Krueger, A. B. (1997). Computing inequality: have computers changed the labor market?. Available online: </w:t>
      </w:r>
      <w:hyperlink r:id="rId25" w:history="1">
        <w:r w:rsidRPr="002A4B19">
          <w:rPr>
            <w:rFonts w:ascii="Times New Roman" w:eastAsia="맑은 고딕" w:hAnsi="Times New Roman" w:cs="Times New Roman"/>
            <w:noProof/>
          </w:rPr>
          <w:t>http://www.nber.org/papers/w5956</w:t>
        </w:r>
      </w:hyperlink>
      <w:r w:rsidRPr="002A4B19">
        <w:rPr>
          <w:rFonts w:ascii="Times New Roman" w:eastAsia="맑은 고딕" w:hAnsi="Times New Roman" w:cs="Times New Roman"/>
          <w:noProof/>
        </w:rPr>
        <w:t xml:space="preserve"> (accessed on 26 August 2016)</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Dunne, T., Haltiwanger, J., &amp; Troske, K. R. (1997). Technology and jobs: secular changes and cyclical dynamics. Available online: </w:t>
      </w:r>
      <w:hyperlink r:id="rId26" w:history="1">
        <w:r w:rsidRPr="002A4B19">
          <w:rPr>
            <w:rFonts w:ascii="Times New Roman" w:eastAsia="맑은 고딕" w:hAnsi="Times New Roman" w:cs="Times New Roman"/>
            <w:noProof/>
          </w:rPr>
          <w:t>http://www.nber.org/papers/w5656</w:t>
        </w:r>
      </w:hyperlink>
      <w:r w:rsidRPr="002A4B19">
        <w:rPr>
          <w:rFonts w:ascii="Times New Roman" w:eastAsia="맑은 고딕" w:hAnsi="Times New Roman" w:cs="Times New Roman"/>
          <w:noProof/>
        </w:rPr>
        <w:t xml:space="preserve"> (accessed on 26 August 2016).</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Falk, M., &amp; Seim, K. (2001). Workers' skill level and information technology: a censored regression model. </w:t>
      </w:r>
      <w:r w:rsidRPr="002A4B19">
        <w:rPr>
          <w:rFonts w:ascii="Times New Roman" w:eastAsia="맑은 고딕" w:hAnsi="Times New Roman" w:cs="Times New Roman"/>
          <w:i/>
          <w:noProof/>
        </w:rPr>
        <w:t>International Journal of Manpower, 22</w:t>
      </w:r>
      <w:r w:rsidRPr="002A4B19">
        <w:rPr>
          <w:rFonts w:ascii="Times New Roman" w:eastAsia="맑은 고딕" w:hAnsi="Times New Roman" w:cs="Times New Roman"/>
          <w:noProof/>
        </w:rPr>
        <w:t xml:space="preserve">(1/2), 98-121. </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Griliches, Z. (1969). Capital-skill complementarity. </w:t>
      </w:r>
      <w:r w:rsidRPr="002A4B19">
        <w:rPr>
          <w:rFonts w:ascii="Times New Roman" w:eastAsia="맑은 고딕" w:hAnsi="Times New Roman" w:cs="Times New Roman"/>
          <w:i/>
          <w:noProof/>
        </w:rPr>
        <w:t>The review of Economics and Statistics</w:t>
      </w:r>
      <w:r w:rsidRPr="002A4B19">
        <w:rPr>
          <w:rFonts w:ascii="Times New Roman" w:eastAsia="맑은 고딕" w:hAnsi="Times New Roman" w:cs="Times New Roman"/>
          <w:noProof/>
        </w:rPr>
        <w:t xml:space="preserve">, </w:t>
      </w:r>
      <w:r w:rsidRPr="002A4B19">
        <w:rPr>
          <w:rFonts w:ascii="Times New Roman" w:eastAsia="맑은 고딕" w:hAnsi="Times New Roman" w:cs="Times New Roman"/>
          <w:i/>
          <w:noProof/>
        </w:rPr>
        <w:t>51(4),</w:t>
      </w:r>
      <w:r w:rsidRPr="002A4B19">
        <w:rPr>
          <w:rFonts w:ascii="Times New Roman" w:eastAsia="맑은 고딕" w:hAnsi="Times New Roman" w:cs="Times New Roman"/>
          <w:noProof/>
        </w:rPr>
        <w:t xml:space="preserve"> 465-468.</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Grossman, G. M., Helpman, E., Oberfield, E., &amp; Sampson, T. (2016). Balanced growth despite Uzawa. Available </w:t>
      </w:r>
      <w:r w:rsidRPr="002A4B19">
        <w:rPr>
          <w:rFonts w:ascii="Times New Roman" w:eastAsia="맑은 고딕" w:hAnsi="Times New Roman" w:cs="Times New Roman"/>
          <w:noProof/>
        </w:rPr>
        <w:lastRenderedPageBreak/>
        <w:t xml:space="preserve">online: </w:t>
      </w:r>
      <w:hyperlink r:id="rId27" w:history="1">
        <w:r w:rsidRPr="002A4B19">
          <w:rPr>
            <w:rFonts w:ascii="Times New Roman" w:eastAsia="맑은 고딕" w:hAnsi="Times New Roman" w:cs="Times New Roman"/>
            <w:noProof/>
          </w:rPr>
          <w:t>http://www.nber.org/papers/w21861</w:t>
        </w:r>
      </w:hyperlink>
      <w:r w:rsidRPr="002A4B19">
        <w:rPr>
          <w:rFonts w:ascii="Times New Roman" w:eastAsia="맑은 고딕" w:hAnsi="Times New Roman" w:cs="Times New Roman"/>
          <w:noProof/>
        </w:rPr>
        <w:t xml:space="preserve"> (accessed on 26 August 2016)</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Guerriero, M., &amp; Sen, K. (2012). What determines the share of labour in national income? A cross-country analysis. Available online: </w:t>
      </w:r>
      <w:hyperlink r:id="rId28" w:history="1">
        <w:r w:rsidRPr="002A4B19">
          <w:rPr>
            <w:rFonts w:ascii="Times New Roman" w:eastAsia="맑은 고딕" w:hAnsi="Times New Roman" w:cs="Times New Roman"/>
            <w:noProof/>
          </w:rPr>
          <w:t>http://ftp.iza.org/dp6643.pdf</w:t>
        </w:r>
      </w:hyperlink>
      <w:r w:rsidRPr="002A4B19">
        <w:rPr>
          <w:rFonts w:ascii="Times New Roman" w:eastAsia="맑은 고딕" w:hAnsi="Times New Roman" w:cs="Times New Roman"/>
          <w:noProof/>
        </w:rPr>
        <w:t xml:space="preserve"> (accessed on 26 August 2016)</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Guellec, D., &amp; De La Potterie, B. V. P. (2001). R&amp;D and productivity growth: panel data analysis of 16 OECD countries, </w:t>
      </w:r>
      <w:r w:rsidRPr="002A4B19">
        <w:rPr>
          <w:rFonts w:ascii="Times New Roman" w:eastAsia="맑은 고딕" w:hAnsi="Times New Roman" w:cs="Times New Roman"/>
          <w:i/>
          <w:noProof/>
        </w:rPr>
        <w:t>OECD Economic studies</w:t>
      </w:r>
      <w:r w:rsidRPr="002A4B19">
        <w:rPr>
          <w:rFonts w:ascii="Times New Roman" w:eastAsia="맑은 고딕" w:hAnsi="Times New Roman" w:cs="Times New Roman"/>
          <w:noProof/>
        </w:rPr>
        <w:t xml:space="preserve">, </w:t>
      </w:r>
      <w:r w:rsidRPr="002A4B19">
        <w:rPr>
          <w:rFonts w:ascii="Times New Roman" w:eastAsia="맑은 고딕" w:hAnsi="Times New Roman" w:cs="Times New Roman"/>
          <w:i/>
          <w:noProof/>
        </w:rPr>
        <w:t>33</w:t>
      </w:r>
      <w:r w:rsidRPr="002A4B19">
        <w:rPr>
          <w:rFonts w:ascii="Times New Roman" w:eastAsia="맑은 고딕" w:hAnsi="Times New Roman" w:cs="Times New Roman"/>
          <w:noProof/>
        </w:rPr>
        <w:t>, 103-126.</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Guellec, D., &amp; De La Potterie, B. V. P. (2003). The impact of public R&amp;D expenditure on business R&amp;D. </w:t>
      </w:r>
      <w:r w:rsidRPr="002A4B19">
        <w:rPr>
          <w:rFonts w:ascii="Times New Roman" w:eastAsia="맑은 고딕" w:hAnsi="Times New Roman" w:cs="Times New Roman"/>
          <w:i/>
          <w:noProof/>
        </w:rPr>
        <w:t>Economics of innovation and new technology</w:t>
      </w:r>
      <w:r w:rsidRPr="002A4B19">
        <w:rPr>
          <w:rFonts w:ascii="Times New Roman" w:eastAsia="맑은 고딕" w:hAnsi="Times New Roman" w:cs="Times New Roman"/>
          <w:noProof/>
        </w:rPr>
        <w:t>, 12(3), 225-243.</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Hall, B. H., Lotti, F., &amp; Mairesse, J. (2008). Employment, innovation, and productivity: evidence from Italian microdata. </w:t>
      </w:r>
      <w:r w:rsidRPr="002A4B19">
        <w:rPr>
          <w:rFonts w:ascii="Times New Roman" w:eastAsia="맑은 고딕" w:hAnsi="Times New Roman" w:cs="Times New Roman"/>
          <w:i/>
          <w:noProof/>
        </w:rPr>
        <w:t>Industrial and Corporate Change, 17</w:t>
      </w:r>
      <w:r w:rsidRPr="002A4B19">
        <w:rPr>
          <w:rFonts w:ascii="Times New Roman" w:eastAsia="맑은 고딕" w:hAnsi="Times New Roman" w:cs="Times New Roman"/>
          <w:noProof/>
        </w:rPr>
        <w:t xml:space="preserve">(4), 813-839. </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Harrison, R., Jaumandreu, J., Mairesse, J., &amp; Peters, B. (2008).</w:t>
      </w:r>
      <w:r w:rsidRPr="002A4B19">
        <w:rPr>
          <w:rFonts w:ascii="Times New Roman" w:eastAsia="맑은 고딕" w:hAnsi="Times New Roman" w:cs="Times New Roman"/>
          <w:i/>
          <w:noProof/>
        </w:rPr>
        <w:t xml:space="preserve"> </w:t>
      </w:r>
      <w:r w:rsidRPr="002A4B19">
        <w:rPr>
          <w:rFonts w:ascii="Times New Roman" w:eastAsia="맑은 고딕" w:hAnsi="Times New Roman" w:cs="Times New Roman"/>
          <w:noProof/>
        </w:rPr>
        <w:t xml:space="preserve">Does innovation stimulate employment? A firm-level analysis using comparable micro-data from four European countries. Availiable online: </w:t>
      </w:r>
      <w:hyperlink r:id="rId29" w:history="1">
        <w:r w:rsidRPr="002A4B19">
          <w:rPr>
            <w:rFonts w:ascii="Times New Roman" w:eastAsia="맑은 고딕" w:hAnsi="Times New Roman" w:cs="Times New Roman"/>
            <w:noProof/>
          </w:rPr>
          <w:t>http://www.nber.org/papers/w14216</w:t>
        </w:r>
      </w:hyperlink>
      <w:r w:rsidRPr="002A4B19">
        <w:rPr>
          <w:rFonts w:ascii="Times New Roman" w:eastAsia="맑은 고딕" w:hAnsi="Times New Roman" w:cs="Times New Roman"/>
          <w:noProof/>
        </w:rPr>
        <w:t xml:space="preserve"> (accessed on 26 August 2016)</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Haskel, J., &amp; Heden, Y. (1999). Computers and the Demand for Skilled Labour: Industry</w:t>
      </w:r>
      <w:r w:rsidRPr="002A4B19">
        <w:rPr>
          <w:rFonts w:ascii="Cambria Math" w:eastAsia="맑은 고딕" w:hAnsi="Cambria Math" w:cs="Cambria Math"/>
          <w:noProof/>
        </w:rPr>
        <w:t>‐</w:t>
      </w:r>
      <w:r w:rsidRPr="002A4B19">
        <w:rPr>
          <w:rFonts w:ascii="Times New Roman" w:eastAsia="맑은 고딕" w:hAnsi="Times New Roman" w:cs="Times New Roman"/>
          <w:noProof/>
        </w:rPr>
        <w:t>and Establishment</w:t>
      </w:r>
      <w:r w:rsidRPr="002A4B19">
        <w:rPr>
          <w:rFonts w:ascii="Cambria Math" w:eastAsia="맑은 고딕" w:hAnsi="Cambria Math" w:cs="Cambria Math"/>
          <w:noProof/>
        </w:rPr>
        <w:t>‐</w:t>
      </w:r>
      <w:r w:rsidRPr="002A4B19">
        <w:rPr>
          <w:rFonts w:ascii="Times New Roman" w:eastAsia="맑은 고딕" w:hAnsi="Times New Roman" w:cs="Times New Roman"/>
          <w:noProof/>
        </w:rPr>
        <w:t xml:space="preserve">Level Panel Evidence for the UK. </w:t>
      </w:r>
      <w:r w:rsidRPr="002A4B19">
        <w:rPr>
          <w:rFonts w:ascii="Times New Roman" w:eastAsia="맑은 고딕" w:hAnsi="Times New Roman" w:cs="Times New Roman"/>
          <w:i/>
          <w:noProof/>
        </w:rPr>
        <w:t>The Economic Journal, 109(454)</w:t>
      </w:r>
      <w:r w:rsidRPr="002A4B19">
        <w:rPr>
          <w:rFonts w:ascii="Times New Roman" w:eastAsia="맑은 고딕" w:hAnsi="Times New Roman" w:cs="Times New Roman"/>
          <w:noProof/>
        </w:rPr>
        <w:t>, 68-79.</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He, H., &amp; Liu, Z. (2008). Investment-specific technological change, skill accumulation, and wage inequality. </w:t>
      </w:r>
      <w:r w:rsidRPr="002A4B19">
        <w:rPr>
          <w:rFonts w:ascii="Times New Roman" w:eastAsia="맑은 고딕" w:hAnsi="Times New Roman" w:cs="Times New Roman"/>
          <w:i/>
          <w:noProof/>
        </w:rPr>
        <w:t>Review of Economic Dynamics</w:t>
      </w:r>
      <w:r w:rsidRPr="002A4B19">
        <w:rPr>
          <w:rFonts w:ascii="Times New Roman" w:eastAsia="맑은 고딕" w:hAnsi="Times New Roman" w:cs="Times New Roman"/>
          <w:noProof/>
        </w:rPr>
        <w:t>, 11(2), 314-334.</w:t>
      </w:r>
    </w:p>
    <w:p w:rsidR="00FE4886" w:rsidRPr="002A4B19" w:rsidRDefault="00FE4886" w:rsidP="00FE4886">
      <w:pPr>
        <w:spacing w:after="0" w:line="360" w:lineRule="auto"/>
        <w:ind w:left="720" w:hanging="720"/>
        <w:rPr>
          <w:rFonts w:ascii="Times New Roman" w:eastAsia="맑은 고딕" w:hAnsi="Times New Roman" w:cs="Times New Roman"/>
          <w:noProof/>
          <w:szCs w:val="24"/>
        </w:rPr>
      </w:pPr>
      <w:r w:rsidRPr="002A4B19">
        <w:rPr>
          <w:rFonts w:ascii="Times New Roman" w:eastAsia="맑은 고딕" w:hAnsi="Times New Roman" w:cs="Times New Roman"/>
          <w:noProof/>
          <w:szCs w:val="24"/>
        </w:rPr>
        <w:t>Hong, C., Yang, H., Hwang, W., &amp; Lee, J. D. (2014). Validation of an R&amp;D-based computable general equilibrium model.</w:t>
      </w:r>
      <w:r w:rsidRPr="002A4B19">
        <w:rPr>
          <w:rFonts w:ascii="Times New Roman" w:eastAsia="맑은 고딕" w:hAnsi="Times New Roman" w:cs="Times New Roman"/>
          <w:i/>
          <w:noProof/>
          <w:szCs w:val="24"/>
        </w:rPr>
        <w:t xml:space="preserve"> Economic modelling,</w:t>
      </w:r>
      <w:r w:rsidRPr="002A4B19">
        <w:rPr>
          <w:rFonts w:ascii="Times New Roman" w:eastAsia="맑은 고딕" w:hAnsi="Times New Roman" w:cs="Times New Roman"/>
          <w:noProof/>
          <w:szCs w:val="24"/>
        </w:rPr>
        <w:t xml:space="preserve"> </w:t>
      </w:r>
      <w:r w:rsidRPr="002A4B19">
        <w:rPr>
          <w:rFonts w:ascii="Times New Roman" w:eastAsia="맑은 고딕" w:hAnsi="Times New Roman" w:cs="Times New Roman"/>
          <w:i/>
          <w:noProof/>
          <w:szCs w:val="24"/>
        </w:rPr>
        <w:t>42</w:t>
      </w:r>
      <w:r w:rsidRPr="002A4B19">
        <w:rPr>
          <w:rFonts w:ascii="Times New Roman" w:eastAsia="맑은 고딕" w:hAnsi="Times New Roman" w:cs="Times New Roman"/>
          <w:noProof/>
          <w:szCs w:val="24"/>
        </w:rPr>
        <w:t>, 454-463.</w:t>
      </w:r>
    </w:p>
    <w:p w:rsidR="00FE4886" w:rsidRPr="002A4B19" w:rsidRDefault="00FE4886" w:rsidP="00FE4886">
      <w:pPr>
        <w:spacing w:after="0" w:line="360" w:lineRule="auto"/>
        <w:ind w:left="720" w:hanging="720"/>
        <w:rPr>
          <w:rFonts w:ascii="Times New Roman" w:eastAsia="맑은 고딕" w:hAnsi="Times New Roman" w:cs="Times New Roman"/>
          <w:noProof/>
          <w:szCs w:val="24"/>
        </w:rPr>
      </w:pPr>
      <w:r w:rsidRPr="002A4B19">
        <w:rPr>
          <w:rFonts w:ascii="Times New Roman" w:eastAsia="맑은 고딕" w:hAnsi="Times New Roman" w:cs="Times New Roman"/>
          <w:noProof/>
          <w:szCs w:val="24"/>
        </w:rPr>
        <w:t xml:space="preserve">Hwang, S.W., Kim, B. W., Yoo, S. H., Park, K. H., Ryu, T. G., Choo, G. N., &amp; Lee, M. K. (2008). Economic impact of basic R&amp;D. </w:t>
      </w:r>
      <w:r w:rsidRPr="002A4B19">
        <w:rPr>
          <w:rFonts w:ascii="Times New Roman" w:eastAsia="맑은 고딕" w:hAnsi="Times New Roman" w:cs="Times New Roman"/>
          <w:i/>
          <w:noProof/>
          <w:szCs w:val="24"/>
        </w:rPr>
        <w:t>STEPI Policy research paper</w:t>
      </w:r>
      <w:r w:rsidRPr="002A4B19">
        <w:rPr>
          <w:rFonts w:ascii="Times New Roman" w:eastAsia="맑은 고딕" w:hAnsi="Times New Roman" w:cs="Times New Roman"/>
          <w:noProof/>
          <w:szCs w:val="24"/>
        </w:rPr>
        <w:t xml:space="preserve"> 2008-07. (In Korean)</w:t>
      </w:r>
    </w:p>
    <w:p w:rsidR="00FE4886" w:rsidRPr="002A4B19" w:rsidRDefault="00FE4886" w:rsidP="00FE4886">
      <w:pPr>
        <w:spacing w:after="0" w:line="360" w:lineRule="auto"/>
        <w:ind w:left="720" w:hanging="720"/>
        <w:rPr>
          <w:rFonts w:ascii="Times New Roman" w:eastAsia="맑은 고딕" w:hAnsi="Times New Roman" w:cs="Times New Roman"/>
          <w:noProof/>
          <w:szCs w:val="24"/>
        </w:rPr>
      </w:pPr>
      <w:r w:rsidRPr="002A4B19">
        <w:rPr>
          <w:rFonts w:ascii="Times New Roman" w:eastAsia="맑은 고딕" w:hAnsi="Times New Roman" w:cs="Times New Roman"/>
          <w:noProof/>
          <w:szCs w:val="24"/>
        </w:rPr>
        <w:t xml:space="preserve">Hwang, W. S., &amp; Lee, J. D. (2014). Interindustry Knowledge Transfer and Absorption via Two Channels: The Case of Korea. </w:t>
      </w:r>
      <w:r w:rsidRPr="002A4B19">
        <w:rPr>
          <w:rFonts w:ascii="Times New Roman" w:eastAsia="맑은 고딕" w:hAnsi="Times New Roman" w:cs="Times New Roman"/>
          <w:i/>
          <w:noProof/>
          <w:szCs w:val="24"/>
        </w:rPr>
        <w:t>Global Economic Review, 43(2)</w:t>
      </w:r>
      <w:r w:rsidRPr="002A4B19">
        <w:rPr>
          <w:rFonts w:ascii="Times New Roman" w:eastAsia="맑은 고딕" w:hAnsi="Times New Roman" w:cs="Times New Roman"/>
          <w:noProof/>
          <w:szCs w:val="24"/>
        </w:rPr>
        <w:t>, 131-152.</w:t>
      </w:r>
    </w:p>
    <w:p w:rsidR="00FE4886" w:rsidRPr="002A4B19" w:rsidRDefault="00FE4886" w:rsidP="00FE4886">
      <w:pPr>
        <w:spacing w:after="0" w:line="360" w:lineRule="auto"/>
        <w:ind w:left="720" w:hanging="720"/>
        <w:rPr>
          <w:rFonts w:ascii="Times New Roman" w:eastAsia="맑은 고딕" w:hAnsi="Times New Roman" w:cs="Times New Roman"/>
          <w:noProof/>
          <w:szCs w:val="24"/>
        </w:rPr>
      </w:pPr>
      <w:r w:rsidRPr="002A4B19">
        <w:rPr>
          <w:rFonts w:ascii="Times New Roman" w:eastAsia="맑은 고딕" w:hAnsi="Times New Roman" w:cs="Times New Roman"/>
          <w:noProof/>
          <w:szCs w:val="24"/>
        </w:rPr>
        <w:t xml:space="preserve">Katz, L. F., &amp; Margo, R. A. (2013). Technical change and the relative demand for skilled labor: The united states in historical perspective. Available online: </w:t>
      </w:r>
      <w:hyperlink r:id="rId30" w:history="1">
        <w:r w:rsidRPr="002A4B19">
          <w:rPr>
            <w:rFonts w:ascii="Times New Roman" w:eastAsia="맑은 고딕" w:hAnsi="Times New Roman" w:cs="Times New Roman"/>
            <w:noProof/>
            <w:szCs w:val="24"/>
          </w:rPr>
          <w:t>http://www.nber.org/papers/w18752</w:t>
        </w:r>
      </w:hyperlink>
      <w:r w:rsidRPr="002A4B19">
        <w:rPr>
          <w:rFonts w:ascii="Times New Roman" w:eastAsia="맑은 고딕" w:hAnsi="Times New Roman" w:cs="Times New Roman"/>
          <w:noProof/>
          <w:szCs w:val="24"/>
        </w:rPr>
        <w:t xml:space="preserve"> (accessed </w:t>
      </w:r>
      <w:r w:rsidRPr="002A4B19">
        <w:rPr>
          <w:rFonts w:ascii="Times New Roman" w:eastAsia="맑은 고딕" w:hAnsi="Times New Roman" w:cs="Times New Roman"/>
          <w:noProof/>
        </w:rPr>
        <w:t>on 26 August 2016)</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Karabarbounis, L., &amp; Neiman, B. (2013). The global decline of the labor share. Available online: </w:t>
      </w:r>
      <w:hyperlink r:id="rId31" w:history="1">
        <w:r w:rsidRPr="002A4B19">
          <w:rPr>
            <w:rFonts w:ascii="Times New Roman" w:eastAsia="맑은 고딕" w:hAnsi="Times New Roman" w:cs="Times New Roman"/>
            <w:noProof/>
          </w:rPr>
          <w:t>http://www.nber.org/papers/w19136</w:t>
        </w:r>
      </w:hyperlink>
      <w:r w:rsidRPr="002A4B19">
        <w:rPr>
          <w:rFonts w:ascii="Times New Roman" w:eastAsia="맑은 고딕" w:hAnsi="Times New Roman" w:cs="Times New Roman"/>
          <w:noProof/>
        </w:rPr>
        <w:t xml:space="preserve"> (accessed on 26 August 2016)</w:t>
      </w:r>
    </w:p>
    <w:p w:rsidR="00FE4886" w:rsidRPr="002A4B19" w:rsidRDefault="00FE4886" w:rsidP="00FE4886">
      <w:pPr>
        <w:spacing w:after="0" w:line="360" w:lineRule="auto"/>
        <w:ind w:left="720" w:hanging="720"/>
        <w:rPr>
          <w:rFonts w:ascii="Times New Roman" w:eastAsia="맑은 고딕" w:hAnsi="Times New Roman" w:cs="Times New Roman"/>
          <w:noProof/>
          <w:szCs w:val="24"/>
        </w:rPr>
      </w:pPr>
      <w:r w:rsidRPr="002A4B19">
        <w:rPr>
          <w:rFonts w:ascii="Times New Roman" w:eastAsia="맑은 고딕" w:hAnsi="Times New Roman" w:cs="Times New Roman"/>
          <w:noProof/>
        </w:rPr>
        <w:t xml:space="preserve">Korea Institute of S&amp;T Evaluation and Planning (KISTEP). </w:t>
      </w:r>
      <w:r w:rsidRPr="002A4B19">
        <w:rPr>
          <w:rFonts w:ascii="Times New Roman" w:eastAsia="맑은 고딕" w:hAnsi="Times New Roman" w:cs="Times New Roman"/>
          <w:i/>
          <w:noProof/>
        </w:rPr>
        <w:t>Scientific and Technical Research Activities Survey Report.</w:t>
      </w:r>
      <w:r w:rsidRPr="002A4B19">
        <w:rPr>
          <w:rFonts w:ascii="Times New Roman" w:eastAsia="맑은 고딕" w:hAnsi="Times New Roman" w:cs="Times New Roman"/>
          <w:noProof/>
        </w:rPr>
        <w:t xml:space="preserve"> KISTEP: Seoul, Korea, 2011. </w:t>
      </w:r>
      <w:r w:rsidRPr="002A4B19">
        <w:rPr>
          <w:rFonts w:ascii="Times New Roman" w:eastAsia="맑은 고딕" w:hAnsi="Times New Roman" w:cs="Times New Roman"/>
          <w:noProof/>
          <w:szCs w:val="24"/>
        </w:rPr>
        <w:t>(In Korean)</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Klette, J., &amp; Førre, S. E. (1998). Innovation And Job Creation In A Smallopen Economy-Evidence From Norwegian Manufacturing Plants 1982–92. </w:t>
      </w:r>
      <w:r w:rsidRPr="002A4B19">
        <w:rPr>
          <w:rFonts w:ascii="Times New Roman" w:eastAsia="맑은 고딕" w:hAnsi="Times New Roman" w:cs="Times New Roman"/>
          <w:i/>
          <w:noProof/>
        </w:rPr>
        <w:t>Economics of Innovation and New Technology, 5(2-4)</w:t>
      </w:r>
      <w:r w:rsidRPr="002A4B19">
        <w:rPr>
          <w:rFonts w:ascii="Times New Roman" w:eastAsia="맑은 고딕" w:hAnsi="Times New Roman" w:cs="Times New Roman"/>
          <w:noProof/>
        </w:rPr>
        <w:t>, 247-272.</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Křístková, Z. (2012). Impact of R&amp;D Investment on Economic Growth of the Czech Republic-A Recursively Dynamic CGE Approach. </w:t>
      </w:r>
      <w:r w:rsidRPr="002A4B19">
        <w:rPr>
          <w:rFonts w:ascii="Times New Roman" w:eastAsia="맑은 고딕" w:hAnsi="Times New Roman" w:cs="Times New Roman"/>
          <w:i/>
          <w:noProof/>
        </w:rPr>
        <w:t xml:space="preserve">Prague Economic Papers, 21(4), </w:t>
      </w:r>
      <w:r w:rsidRPr="002A4B19">
        <w:rPr>
          <w:rFonts w:ascii="Times New Roman" w:eastAsia="맑은 고딕" w:hAnsi="Times New Roman" w:cs="Times New Roman"/>
          <w:noProof/>
        </w:rPr>
        <w:t>412-433.</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Krusell, P., Ohanian, L. E., Ríos</w:t>
      </w:r>
      <w:r w:rsidRPr="002A4B19">
        <w:rPr>
          <w:rFonts w:ascii="Cambria Math" w:eastAsia="맑은 고딕" w:hAnsi="Cambria Math" w:cs="Cambria Math"/>
          <w:noProof/>
        </w:rPr>
        <w:t>‐</w:t>
      </w:r>
      <w:r w:rsidRPr="002A4B19">
        <w:rPr>
          <w:rFonts w:ascii="Times New Roman" w:eastAsia="맑은 고딕" w:hAnsi="Times New Roman" w:cs="Times New Roman"/>
          <w:noProof/>
        </w:rPr>
        <w:t>Rull, J. V., &amp; Violante, G. L. (2000). Capital</w:t>
      </w:r>
      <w:r w:rsidRPr="002A4B19">
        <w:rPr>
          <w:rFonts w:ascii="Cambria Math" w:eastAsia="맑은 고딕" w:hAnsi="Cambria Math" w:cs="Cambria Math"/>
          <w:noProof/>
        </w:rPr>
        <w:t>‐</w:t>
      </w:r>
      <w:r w:rsidRPr="002A4B19">
        <w:rPr>
          <w:rFonts w:ascii="Times New Roman" w:eastAsia="맑은 고딕" w:hAnsi="Times New Roman" w:cs="Times New Roman"/>
          <w:noProof/>
        </w:rPr>
        <w:t xml:space="preserve">skill complementarity and inequality: A macroeconomic analysis. </w:t>
      </w:r>
      <w:r w:rsidRPr="002A4B19">
        <w:rPr>
          <w:rFonts w:ascii="Times New Roman" w:eastAsia="맑은 고딕" w:hAnsi="Times New Roman" w:cs="Times New Roman"/>
          <w:i/>
          <w:noProof/>
        </w:rPr>
        <w:t>Econometrica, 68(5)</w:t>
      </w:r>
      <w:r w:rsidRPr="002A4B19">
        <w:rPr>
          <w:rFonts w:ascii="Times New Roman" w:eastAsia="맑은 고딕" w:hAnsi="Times New Roman" w:cs="Times New Roman"/>
          <w:noProof/>
        </w:rPr>
        <w:t>, 1029-1053.</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Lachenmaier, S., &amp; Rottmann, H. (2011). Effects of innovation on employment: A dynamic panel analysis. </w:t>
      </w:r>
      <w:r w:rsidRPr="002A4B19">
        <w:rPr>
          <w:rFonts w:ascii="Times New Roman" w:eastAsia="맑은 고딕" w:hAnsi="Times New Roman" w:cs="Times New Roman"/>
          <w:i/>
          <w:noProof/>
        </w:rPr>
        <w:t>International Journal of Industrial Organization, 29(2)</w:t>
      </w:r>
      <w:r w:rsidRPr="002A4B19">
        <w:rPr>
          <w:rFonts w:ascii="Times New Roman" w:eastAsia="맑은 고딕" w:hAnsi="Times New Roman" w:cs="Times New Roman"/>
          <w:noProof/>
        </w:rPr>
        <w:t xml:space="preserve">, 210-220. </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Layard, R., Nickell, S., &amp; Jackman, R. </w:t>
      </w:r>
      <w:r w:rsidRPr="002A4B19">
        <w:rPr>
          <w:rFonts w:ascii="Times New Roman" w:eastAsia="맑은 고딕" w:hAnsi="Times New Roman" w:cs="Times New Roman"/>
          <w:i/>
          <w:noProof/>
        </w:rPr>
        <w:t>Unemployment: Macroeconomic Performance and the Labor Market.</w:t>
      </w:r>
      <w:r w:rsidRPr="002A4B19">
        <w:rPr>
          <w:rFonts w:ascii="Times New Roman" w:eastAsia="맑은 고딕" w:hAnsi="Times New Roman" w:cs="Times New Roman"/>
          <w:noProof/>
        </w:rPr>
        <w:t xml:space="preserve"> </w:t>
      </w:r>
      <w:r w:rsidRPr="002A4B19">
        <w:rPr>
          <w:rFonts w:ascii="Times New Roman" w:eastAsia="맑은 고딕" w:hAnsi="Times New Roman" w:cs="Times New Roman"/>
          <w:noProof/>
        </w:rPr>
        <w:lastRenderedPageBreak/>
        <w:t>Oxford University Press: Oxford, United Kingdom, 1991.</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Layard, R., Nickell, S., &amp; Jackman, R. </w:t>
      </w:r>
      <w:r w:rsidRPr="002A4B19">
        <w:rPr>
          <w:rFonts w:ascii="Times New Roman" w:eastAsia="맑은 고딕" w:hAnsi="Times New Roman" w:cs="Times New Roman"/>
          <w:i/>
          <w:noProof/>
        </w:rPr>
        <w:t>The unemployment crisis</w:t>
      </w:r>
      <w:r w:rsidRPr="002A4B19">
        <w:rPr>
          <w:rFonts w:ascii="Times New Roman" w:eastAsia="맑은 고딕" w:hAnsi="Times New Roman" w:cs="Times New Roman"/>
          <w:noProof/>
        </w:rPr>
        <w:t>. Oxford University Press: Oxford, United Kingdom, 1994.</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Lemelin, A., Decaluwé, B. Issues in recursive dynamic CGEmodeling: investment by destination, savings, and public debt. Politique économique et Pauvreté/Poverty and Economic Policy Network, Université Laval: Québec, Canada, 2007.</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Machin, S., &amp; Van Reenen, J. (1998). Technology and changes in skill structure: evidence from seven OECD countries. </w:t>
      </w:r>
      <w:r w:rsidRPr="002A4B19">
        <w:rPr>
          <w:rFonts w:ascii="Times New Roman" w:eastAsia="맑은 고딕" w:hAnsi="Times New Roman" w:cs="Times New Roman"/>
          <w:i/>
          <w:noProof/>
        </w:rPr>
        <w:t>Quarterly journal of economics, 113(4)</w:t>
      </w:r>
      <w:r w:rsidRPr="002A4B19">
        <w:rPr>
          <w:rFonts w:ascii="Times New Roman" w:eastAsia="맑은 고딕" w:hAnsi="Times New Roman" w:cs="Times New Roman"/>
          <w:noProof/>
        </w:rPr>
        <w:t>, 1215-1244.</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Mallick, S.K., &amp; Sousa, R.M. (2015). The skill premium effect of technological change: New evidence from the us manufacturing sector</w:t>
      </w:r>
      <w:r w:rsidRPr="002A4B19">
        <w:rPr>
          <w:rFonts w:ascii="Times New Roman" w:eastAsia="맑은 고딕" w:hAnsi="Times New Roman" w:cs="Times New Roman"/>
          <w:i/>
          <w:noProof/>
        </w:rPr>
        <w:t>. International Labour Review</w:t>
      </w:r>
      <w:r w:rsidRPr="002A4B19">
        <w:rPr>
          <w:rFonts w:ascii="Times New Roman" w:eastAsia="맑은 고딕" w:hAnsi="Times New Roman" w:cs="Times New Roman"/>
          <w:noProof/>
        </w:rPr>
        <w:t xml:space="preserve"> (in press).</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Marchant, G.E., Stevens, Y.A., &amp; Hennessy, J.M. (2014). Technology, unemployment &amp; policy options: Navigating the transition to a better world. </w:t>
      </w:r>
      <w:r w:rsidRPr="002A4B19">
        <w:rPr>
          <w:rFonts w:ascii="Times New Roman" w:eastAsia="맑은 고딕" w:hAnsi="Times New Roman" w:cs="Times New Roman"/>
          <w:i/>
          <w:noProof/>
        </w:rPr>
        <w:t>Journal of Evolution and Technology</w:t>
      </w:r>
      <w:r w:rsidRPr="002A4B19">
        <w:rPr>
          <w:rFonts w:ascii="Times New Roman" w:eastAsia="맑은 고딕" w:hAnsi="Times New Roman" w:cs="Times New Roman"/>
          <w:noProof/>
        </w:rPr>
        <w:t>, 24(1), 26-44.</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Marouani, M. A., &amp; Nilsson, B. (2016). The labor market effects of skill-biased technological change in Malaysia. </w:t>
      </w:r>
      <w:r w:rsidRPr="002A4B19">
        <w:rPr>
          <w:rFonts w:ascii="Times New Roman" w:eastAsia="맑은 고딕" w:hAnsi="Times New Roman" w:cs="Times New Roman"/>
          <w:i/>
          <w:noProof/>
        </w:rPr>
        <w:t>Economic Modelling</w:t>
      </w:r>
      <w:r w:rsidRPr="002A4B19">
        <w:rPr>
          <w:rFonts w:ascii="Times New Roman" w:eastAsia="맑은 고딕" w:hAnsi="Times New Roman" w:cs="Times New Roman"/>
          <w:noProof/>
        </w:rPr>
        <w:t>, 57, 55-75.</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OECD. (2015).</w:t>
      </w:r>
      <w:r w:rsidRPr="002A4B19">
        <w:rPr>
          <w:rFonts w:ascii="맑은 고딕" w:eastAsia="맑은 고딕" w:hAnsi="맑은 고딕" w:cs="Times New Roman"/>
          <w:noProof/>
          <w:szCs w:val="24"/>
        </w:rPr>
        <w:t xml:space="preserve"> I</w:t>
      </w:r>
      <w:r w:rsidRPr="002A4B19">
        <w:rPr>
          <w:rFonts w:ascii="Times New Roman" w:eastAsia="맑은 고딕" w:hAnsi="Times New Roman" w:cs="Times New Roman"/>
          <w:noProof/>
        </w:rPr>
        <w:t xml:space="preserve">nequality and inclusive growth policy tools to achieve balanced growth in G20 economies. Available online: </w:t>
      </w:r>
      <w:hyperlink r:id="rId32" w:history="1">
        <w:r w:rsidRPr="002A4B19">
          <w:rPr>
            <w:rFonts w:ascii="Times New Roman" w:eastAsia="맑은 고딕" w:hAnsi="Times New Roman" w:cs="Times New Roman"/>
            <w:noProof/>
          </w:rPr>
          <w:t>https://www.oecd.org/g20/topics/framework-strong-sustainable-balanced-growth/Inequality-and-Inclusive-Growth-Policy-Tools-to-Achieve-Balanced-Growth-in-g20-Economies.pdf</w:t>
        </w:r>
      </w:hyperlink>
      <w:r w:rsidRPr="002A4B19">
        <w:rPr>
          <w:rFonts w:ascii="맑은 고딕" w:eastAsia="맑은 고딕" w:hAnsi="맑은 고딕" w:cs="Times New Roman"/>
          <w:noProof/>
          <w:szCs w:val="24"/>
        </w:rPr>
        <w:t xml:space="preserve"> </w:t>
      </w:r>
      <w:r w:rsidRPr="002A4B19">
        <w:rPr>
          <w:rFonts w:ascii="Times New Roman" w:eastAsia="맑은 고딕" w:hAnsi="Times New Roman" w:cs="Times New Roman"/>
          <w:noProof/>
        </w:rPr>
        <w:t>(accessed on 26 August 2016)</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OECD. (2012). Education at glance 2012. Available online: </w:t>
      </w:r>
      <w:hyperlink r:id="rId33" w:history="1">
        <w:r w:rsidRPr="002A4B19">
          <w:rPr>
            <w:rFonts w:ascii="Times New Roman" w:eastAsia="맑은 고딕" w:hAnsi="Times New Roman" w:cs="Times New Roman"/>
            <w:noProof/>
          </w:rPr>
          <w:t>https://www.oecd.org/edu/EAG%202012_e-book_EN_200912.pdf</w:t>
        </w:r>
      </w:hyperlink>
      <w:r w:rsidRPr="002A4B19">
        <w:rPr>
          <w:rFonts w:ascii="맑은 고딕" w:eastAsia="맑은 고딕" w:hAnsi="맑은 고딕" w:cs="Times New Roman"/>
          <w:noProof/>
          <w:szCs w:val="24"/>
        </w:rPr>
        <w:t xml:space="preserve"> </w:t>
      </w:r>
      <w:r w:rsidRPr="002A4B19">
        <w:rPr>
          <w:rFonts w:ascii="Times New Roman" w:eastAsia="맑은 고딕" w:hAnsi="Times New Roman" w:cs="Times New Roman"/>
          <w:noProof/>
        </w:rPr>
        <w:t>(accessed on 26 August 2016)</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Pan, L. (2014). The impacts of education investment on skilled–unskilled wage inequality and economic development in developing countries. </w:t>
      </w:r>
      <w:r w:rsidRPr="002A4B19">
        <w:rPr>
          <w:rFonts w:ascii="Times New Roman" w:eastAsia="맑은 고딕" w:hAnsi="Times New Roman" w:cs="Times New Roman"/>
          <w:i/>
          <w:noProof/>
        </w:rPr>
        <w:t>Economic Modelling</w:t>
      </w:r>
      <w:r w:rsidRPr="002A4B19">
        <w:rPr>
          <w:rFonts w:ascii="Times New Roman" w:eastAsia="맑은 고딕" w:hAnsi="Times New Roman" w:cs="Times New Roman"/>
          <w:noProof/>
        </w:rPr>
        <w:t>, 39, 174-181.</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Pianta, M. </w:t>
      </w:r>
      <w:r w:rsidRPr="002A4B19">
        <w:rPr>
          <w:rFonts w:ascii="Times New Roman" w:eastAsia="맑은 고딕" w:hAnsi="Times New Roman" w:cs="Times New Roman"/>
          <w:i/>
          <w:noProof/>
        </w:rPr>
        <w:t xml:space="preserve">Innovation and employment. </w:t>
      </w:r>
      <w:r w:rsidRPr="002A4B19">
        <w:rPr>
          <w:rFonts w:ascii="Times New Roman" w:eastAsia="맑은 고딕" w:hAnsi="Times New Roman" w:cs="Times New Roman"/>
          <w:noProof/>
        </w:rPr>
        <w:t>Oxford University Press: Oxford, United Kingdom, 2005.</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Piketty, T. </w:t>
      </w:r>
      <w:r w:rsidRPr="002A4B19">
        <w:rPr>
          <w:rFonts w:ascii="Times New Roman" w:eastAsia="맑은 고딕" w:hAnsi="Times New Roman" w:cs="Times New Roman"/>
          <w:i/>
          <w:noProof/>
        </w:rPr>
        <w:t>Capital in the 21st Century.</w:t>
      </w:r>
      <w:r w:rsidRPr="002A4B19">
        <w:rPr>
          <w:rFonts w:ascii="Times New Roman" w:eastAsia="맑은 고딕" w:hAnsi="Times New Roman" w:cs="Times New Roman"/>
          <w:noProof/>
        </w:rPr>
        <w:t xml:space="preserve"> Harvard University Press: Cambridge, USA, 2014.</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Piva, M., Santarelli, E., &amp; Vivarelli, M. (2005). The skill bias effect of technological and organisational change: Evidence and policy implications. </w:t>
      </w:r>
      <w:r w:rsidRPr="002A4B19">
        <w:rPr>
          <w:rFonts w:ascii="Times New Roman" w:eastAsia="맑은 고딕" w:hAnsi="Times New Roman" w:cs="Times New Roman"/>
          <w:i/>
          <w:noProof/>
        </w:rPr>
        <w:t>Research Policy, 34(2)</w:t>
      </w:r>
      <w:r w:rsidRPr="002A4B19">
        <w:rPr>
          <w:rFonts w:ascii="Times New Roman" w:eastAsia="맑은 고딕" w:hAnsi="Times New Roman" w:cs="Times New Roman"/>
          <w:noProof/>
        </w:rPr>
        <w:t>, 141-157.</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Rogerson, R., Kaboski, J., &amp; Buera, F. (2015). Skill-Biased Structural Change and the Skill Premium. Available online: </w:t>
      </w:r>
      <w:hyperlink r:id="rId34" w:history="1">
        <w:r w:rsidRPr="002A4B19">
          <w:rPr>
            <w:rFonts w:ascii="Times New Roman" w:eastAsia="맑은 고딕" w:hAnsi="Times New Roman" w:cs="Times New Roman"/>
            <w:noProof/>
          </w:rPr>
          <w:t>https://www.economicdynamics.org/meetpapers/2015/paper_895.pdf</w:t>
        </w:r>
      </w:hyperlink>
      <w:r w:rsidRPr="002A4B19">
        <w:rPr>
          <w:rFonts w:ascii="Times New Roman" w:eastAsia="맑은 고딕" w:hAnsi="Times New Roman" w:cs="Times New Roman"/>
          <w:noProof/>
        </w:rPr>
        <w:t xml:space="preserve"> (accessed on 26 August 2016)</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Rotherham, A. J., &amp; Willingham, D. T. (2010). 21st-Century Skills. </w:t>
      </w:r>
      <w:r w:rsidRPr="002A4B19">
        <w:rPr>
          <w:rFonts w:ascii="Times New Roman" w:eastAsia="맑은 고딕" w:hAnsi="Times New Roman" w:cs="Times New Roman" w:hint="eastAsia"/>
          <w:noProof/>
        </w:rPr>
        <w:t xml:space="preserve">Available online: </w:t>
      </w:r>
      <w:hyperlink r:id="rId35" w:history="1">
        <w:r w:rsidRPr="002A4B19">
          <w:rPr>
            <w:rFonts w:ascii="Times New Roman" w:eastAsia="맑은 고딕" w:hAnsi="Times New Roman" w:cs="Times New Roman"/>
            <w:noProof/>
          </w:rPr>
          <w:t>http://www.aft.org/sites/default/files/periodicals/RotherhamWillingham.pdf</w:t>
        </w:r>
      </w:hyperlink>
      <w:r w:rsidRPr="002A4B19">
        <w:rPr>
          <w:rFonts w:ascii="Times New Roman" w:eastAsia="맑은 고딕" w:hAnsi="Times New Roman" w:cs="Times New Roman"/>
          <w:noProof/>
        </w:rPr>
        <w:t xml:space="preserve"> (accessed on 26 August 2016)</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Statistcs Korea. </w:t>
      </w:r>
      <w:r w:rsidRPr="002A4B19">
        <w:rPr>
          <w:rFonts w:ascii="Times New Roman" w:eastAsia="맑은 고딕" w:hAnsi="Times New Roman" w:cs="Times New Roman"/>
          <w:i/>
          <w:noProof/>
        </w:rPr>
        <w:t>The long-term population proejctions datasets 2010</w:t>
      </w:r>
      <w:r w:rsidRPr="002A4B19">
        <w:rPr>
          <w:rFonts w:ascii="Times New Roman" w:eastAsia="맑은 고딕" w:hAnsi="Times New Roman" w:cs="Times New Roman"/>
          <w:noProof/>
        </w:rPr>
        <w:t>; Statistkcs Korea: Seoul, Korea, 2011.</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Statistics Korea. </w:t>
      </w:r>
      <w:r w:rsidRPr="002A4B19">
        <w:rPr>
          <w:rFonts w:ascii="Times New Roman" w:eastAsia="맑은 고딕" w:hAnsi="Times New Roman" w:cs="Times New Roman"/>
          <w:i/>
          <w:noProof/>
        </w:rPr>
        <w:t>Hosehold Income and Expenditure Survey 2010</w:t>
      </w:r>
      <w:r w:rsidRPr="002A4B19">
        <w:rPr>
          <w:rFonts w:ascii="Times New Roman" w:eastAsia="맑은 고딕" w:hAnsi="Times New Roman" w:cs="Times New Roman"/>
          <w:noProof/>
        </w:rPr>
        <w:t>; Statistics Korea: Seoul, Korea, 2011.</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Stiglitz, J.E. (2014). Unemployment and innovation. Available online: </w:t>
      </w:r>
      <w:hyperlink r:id="rId36" w:history="1">
        <w:r w:rsidRPr="002A4B19">
          <w:rPr>
            <w:rFonts w:ascii="Times New Roman" w:eastAsia="맑은 고딕" w:hAnsi="Times New Roman" w:cs="Times New Roman"/>
            <w:noProof/>
          </w:rPr>
          <w:t>http://www.nber.org/papers/w20670</w:t>
        </w:r>
      </w:hyperlink>
      <w:r w:rsidRPr="002A4B19">
        <w:rPr>
          <w:rFonts w:ascii="맑은 고딕" w:eastAsia="맑은 고딕" w:hAnsi="맑은 고딕" w:cs="Times New Roman"/>
          <w:noProof/>
          <w:szCs w:val="24"/>
        </w:rPr>
        <w:t xml:space="preserve"> </w:t>
      </w:r>
      <w:r w:rsidRPr="002A4B19">
        <w:rPr>
          <w:rFonts w:ascii="Times New Roman" w:eastAsia="맑은 고딕" w:hAnsi="Times New Roman" w:cs="Times New Roman"/>
          <w:noProof/>
        </w:rPr>
        <w:t>(accessed on 26 August 2016)</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Terleckyj, N. (1980). Direct and indirect effects of industrial research and development on the productivity growth of industries. Available online: </w:t>
      </w:r>
      <w:hyperlink r:id="rId37" w:history="1">
        <w:r w:rsidRPr="002A4B19">
          <w:rPr>
            <w:rFonts w:ascii="Times New Roman" w:eastAsia="맑은 고딕" w:hAnsi="Times New Roman" w:cs="Times New Roman"/>
            <w:noProof/>
          </w:rPr>
          <w:t>http://www.nber.org/chapters/c3917.pdf</w:t>
        </w:r>
      </w:hyperlink>
      <w:r w:rsidRPr="002A4B19">
        <w:rPr>
          <w:rFonts w:ascii="Times New Roman" w:eastAsia="맑은 고딕" w:hAnsi="Times New Roman" w:cs="Times New Roman"/>
          <w:noProof/>
        </w:rPr>
        <w:t xml:space="preserve"> (accessed on 26 August 2016)</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Usanov, A., &amp; Chivot, E. (2013). The European Labor Market and Technology: Employment, Inequality, and </w:t>
      </w:r>
      <w:r w:rsidRPr="002A4B19">
        <w:rPr>
          <w:rFonts w:ascii="Times New Roman" w:eastAsia="맑은 고딕" w:hAnsi="Times New Roman" w:cs="Times New Roman"/>
          <w:noProof/>
        </w:rPr>
        <w:lastRenderedPageBreak/>
        <w:t xml:space="preserve">Productivity. Available online: </w:t>
      </w:r>
      <w:hyperlink r:id="rId38" w:history="1">
        <w:r w:rsidRPr="002A4B19">
          <w:rPr>
            <w:rFonts w:ascii="Times New Roman" w:eastAsia="맑은 고딕" w:hAnsi="Times New Roman" w:cs="Times New Roman"/>
            <w:noProof/>
          </w:rPr>
          <w:t>www.hcss.nl/reports/download/142/2273</w:t>
        </w:r>
      </w:hyperlink>
      <w:r w:rsidRPr="002A4B19">
        <w:rPr>
          <w:rFonts w:ascii="맑은 고딕" w:eastAsia="맑은 고딕" w:hAnsi="맑은 고딕" w:cs="Times New Roman"/>
          <w:noProof/>
          <w:szCs w:val="24"/>
        </w:rPr>
        <w:t xml:space="preserve"> (</w:t>
      </w:r>
      <w:r w:rsidRPr="002A4B19">
        <w:rPr>
          <w:rFonts w:ascii="Times New Roman" w:eastAsia="맑은 고딕" w:hAnsi="Times New Roman" w:cs="Times New Roman"/>
          <w:noProof/>
        </w:rPr>
        <w:t>accessed on 26 August 2016)</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Venables, A. J. (1985). The economic implications of a discrete technical change. </w:t>
      </w:r>
      <w:r w:rsidRPr="002A4B19">
        <w:rPr>
          <w:rFonts w:ascii="Times New Roman" w:eastAsia="맑은 고딕" w:hAnsi="Times New Roman" w:cs="Times New Roman"/>
          <w:i/>
          <w:noProof/>
        </w:rPr>
        <w:t>Oxford Economic Papers</w:t>
      </w:r>
      <w:r w:rsidRPr="002A4B19">
        <w:rPr>
          <w:rFonts w:ascii="Times New Roman" w:eastAsia="맑은 고딕" w:hAnsi="Times New Roman" w:cs="Times New Roman"/>
          <w:noProof/>
        </w:rPr>
        <w:t xml:space="preserve">, </w:t>
      </w:r>
      <w:r w:rsidRPr="002A4B19">
        <w:rPr>
          <w:rFonts w:ascii="Times New Roman" w:eastAsia="맑은 고딕" w:hAnsi="Times New Roman" w:cs="Times New Roman"/>
          <w:i/>
          <w:noProof/>
        </w:rPr>
        <w:t>37(2)</w:t>
      </w:r>
      <w:r w:rsidRPr="002A4B19">
        <w:rPr>
          <w:rFonts w:ascii="Times New Roman" w:eastAsia="맑은 고딕" w:hAnsi="Times New Roman" w:cs="Times New Roman"/>
          <w:noProof/>
        </w:rPr>
        <w:t>, 230-248.</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Visser, V. (2007). R&amp;D in WorldScan. Available online: </w:t>
      </w:r>
      <w:hyperlink r:id="rId39" w:history="1">
        <w:r w:rsidRPr="002A4B19">
          <w:rPr>
            <w:rFonts w:ascii="Times New Roman" w:eastAsia="맑은 고딕" w:hAnsi="Times New Roman" w:cs="Times New Roman"/>
            <w:noProof/>
          </w:rPr>
          <w:t>http://www.cpb.nl/sites/default/files/publicaties/download/memo189.pdf</w:t>
        </w:r>
      </w:hyperlink>
      <w:r w:rsidRPr="002A4B19">
        <w:rPr>
          <w:rFonts w:ascii="Times New Roman" w:eastAsia="맑은 고딕" w:hAnsi="Times New Roman" w:cs="Times New Roman"/>
          <w:noProof/>
        </w:rPr>
        <w:t xml:space="preserve"> (acceseed on 26 August 2016)</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Vivarelli, M. (2014). Innovation, employment and skills in advanced and developing countries: A survey of economic literature. </w:t>
      </w:r>
      <w:r w:rsidRPr="002A4B19">
        <w:rPr>
          <w:rFonts w:ascii="Times New Roman" w:eastAsia="맑은 고딕" w:hAnsi="Times New Roman" w:cs="Times New Roman"/>
          <w:i/>
          <w:iCs/>
          <w:noProof/>
        </w:rPr>
        <w:t>Journal of Economic Issues</w:t>
      </w:r>
      <w:r w:rsidRPr="002A4B19">
        <w:rPr>
          <w:rFonts w:ascii="Times New Roman" w:eastAsia="맑은 고딕" w:hAnsi="Times New Roman" w:cs="Times New Roman"/>
          <w:noProof/>
        </w:rPr>
        <w:t>, </w:t>
      </w:r>
      <w:r w:rsidRPr="002A4B19">
        <w:rPr>
          <w:rFonts w:ascii="Times New Roman" w:eastAsia="맑은 고딕" w:hAnsi="Times New Roman" w:cs="Times New Roman"/>
          <w:i/>
          <w:iCs/>
          <w:noProof/>
        </w:rPr>
        <w:t>48</w:t>
      </w:r>
      <w:r w:rsidRPr="002A4B19">
        <w:rPr>
          <w:rFonts w:ascii="Times New Roman" w:eastAsia="맑은 고딕" w:hAnsi="Times New Roman" w:cs="Times New Roman"/>
          <w:noProof/>
        </w:rPr>
        <w:t>(1), 123-154.</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Vivarelli, M. (2013). Skill-Biased Technological Change and Skill-Enhancing Trade in Turkey: Evidence from Longitudinal Microdata</w:t>
      </w:r>
      <w:r w:rsidRPr="002A4B19">
        <w:rPr>
          <w:rFonts w:ascii="Times New Roman" w:eastAsia="맑은 고딕" w:hAnsi="Times New Roman" w:cs="Times New Roman"/>
          <w:i/>
          <w:noProof/>
        </w:rPr>
        <w:t>.</w:t>
      </w:r>
      <w:r w:rsidRPr="002A4B19">
        <w:rPr>
          <w:rFonts w:ascii="Times New Roman" w:eastAsia="맑은 고딕" w:hAnsi="Times New Roman" w:cs="Times New Roman"/>
          <w:noProof/>
        </w:rPr>
        <w:t xml:space="preserve"> Available online: http://ftp.iza.org/dp7320.pdf (accessed on 26 August 2016)</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Vivarelli, M. (2012). Innovation, employment and skills in advanced and developing countries: a survey of the literature</w:t>
      </w:r>
      <w:r w:rsidRPr="002A4B19">
        <w:rPr>
          <w:rFonts w:ascii="Times New Roman" w:eastAsia="맑은 고딕" w:hAnsi="Times New Roman" w:cs="Times New Roman"/>
          <w:i/>
          <w:noProof/>
        </w:rPr>
        <w:t>.</w:t>
      </w:r>
      <w:r w:rsidRPr="002A4B19">
        <w:rPr>
          <w:rFonts w:ascii="Times New Roman" w:eastAsia="맑은 고딕" w:hAnsi="Times New Roman" w:cs="Times New Roman"/>
          <w:noProof/>
        </w:rPr>
        <w:t xml:space="preserve"> Available online: </w:t>
      </w:r>
      <w:hyperlink r:id="rId40" w:history="1">
        <w:r w:rsidRPr="002A4B19">
          <w:rPr>
            <w:rFonts w:ascii="Times New Roman" w:eastAsia="맑은 고딕" w:hAnsi="Times New Roman" w:cs="Times New Roman"/>
            <w:noProof/>
          </w:rPr>
          <w:t>http://ftp.iza.org/dp6291.pdf</w:t>
        </w:r>
      </w:hyperlink>
      <w:r w:rsidRPr="002A4B19">
        <w:rPr>
          <w:rFonts w:ascii="Times New Roman" w:eastAsia="맑은 고딕" w:hAnsi="Times New Roman" w:cs="Times New Roman"/>
          <w:noProof/>
        </w:rPr>
        <w:t xml:space="preserve"> (accessed on 26 August 2016)</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WEF.  (2016). The Future of Jobs. Employment, Skills and Workforce Strategy for the Fourth Industrial Revolution. Available online: http://www3.weforum.org/docs/WEF_Future_of_Jobs.pdf (accessed on 26 August 2016).</w:t>
      </w:r>
    </w:p>
    <w:p w:rsidR="00FE4886" w:rsidRPr="002A4B19" w:rsidRDefault="00FE4886" w:rsidP="00FE4886">
      <w:pPr>
        <w:spacing w:after="0" w:line="360" w:lineRule="auto"/>
        <w:ind w:left="720" w:hanging="720"/>
        <w:rPr>
          <w:rFonts w:ascii="Times New Roman" w:eastAsia="맑은 고딕" w:hAnsi="Times New Roman" w:cs="Times New Roman"/>
          <w:noProof/>
        </w:rPr>
      </w:pPr>
      <w:r w:rsidRPr="002A4B19">
        <w:rPr>
          <w:rFonts w:ascii="Times New Roman" w:eastAsia="맑은 고딕" w:hAnsi="Times New Roman" w:cs="Times New Roman"/>
          <w:noProof/>
        </w:rPr>
        <w:t xml:space="preserve">Yang, H., Jung, S. M., &amp; Lee, J. D. (2012). A study on the knowledge-based social accounting matrix. </w:t>
      </w:r>
      <w:r w:rsidRPr="002A4B19">
        <w:rPr>
          <w:rFonts w:ascii="Times New Roman" w:eastAsia="맑은 고딕" w:hAnsi="Times New Roman" w:cs="Times New Roman"/>
          <w:i/>
          <w:noProof/>
        </w:rPr>
        <w:t>Productivity review, 26(3)</w:t>
      </w:r>
      <w:r w:rsidRPr="002A4B19">
        <w:rPr>
          <w:rFonts w:ascii="Times New Roman" w:eastAsia="맑은 고딕" w:hAnsi="Times New Roman" w:cs="Times New Roman"/>
          <w:noProof/>
        </w:rPr>
        <w:t>, 257-285. (In Korean)</w:t>
      </w:r>
    </w:p>
    <w:p w:rsidR="00205DAF" w:rsidRPr="002A4B19" w:rsidRDefault="00FE4886" w:rsidP="00FE4886">
      <w:pPr>
        <w:pStyle w:val="EndNoteBibliography"/>
        <w:spacing w:line="360" w:lineRule="auto"/>
        <w:ind w:left="720" w:hanging="720"/>
        <w:jc w:val="both"/>
        <w:rPr>
          <w:rFonts w:ascii="Times New Roman" w:hAnsi="Times New Roman"/>
          <w:szCs w:val="20"/>
        </w:rPr>
      </w:pPr>
      <w:r w:rsidRPr="002A4B19">
        <w:rPr>
          <w:rFonts w:ascii="Times New Roman" w:eastAsiaTheme="minorEastAsia" w:hAnsi="Times New Roman" w:cstheme="minorBidi"/>
          <w:noProof w:val="0"/>
          <w:szCs w:val="22"/>
        </w:rPr>
        <w:t xml:space="preserve">Zuniga, P., &amp; Crespi, G. (2013). Innovation strategies and employment in Latin American firms. </w:t>
      </w:r>
      <w:r w:rsidRPr="002A4B19">
        <w:rPr>
          <w:rFonts w:ascii="Times New Roman" w:eastAsiaTheme="minorEastAsia" w:hAnsi="Times New Roman" w:cstheme="minorBidi"/>
          <w:i/>
          <w:noProof w:val="0"/>
          <w:szCs w:val="22"/>
        </w:rPr>
        <w:t>Structural Change and Economic Dynamics</w:t>
      </w:r>
      <w:r w:rsidRPr="002A4B19">
        <w:rPr>
          <w:rFonts w:ascii="Times New Roman" w:hAnsi="Times New Roman"/>
        </w:rPr>
        <w:t>, 24</w:t>
      </w:r>
      <w:r w:rsidRPr="002A4B19">
        <w:rPr>
          <w:rFonts w:ascii="Times New Roman" w:eastAsiaTheme="minorEastAsia" w:hAnsi="Times New Roman" w:cstheme="minorBidi"/>
          <w:noProof w:val="0"/>
          <w:szCs w:val="22"/>
        </w:rPr>
        <w:t>, 1-17.</w:t>
      </w:r>
    </w:p>
    <w:sectPr w:rsidR="00205DAF" w:rsidRPr="002A4B1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228" w:rsidRDefault="00137228" w:rsidP="00BB24C4">
      <w:pPr>
        <w:spacing w:after="0" w:line="240" w:lineRule="auto"/>
      </w:pPr>
      <w:r>
        <w:separator/>
      </w:r>
    </w:p>
  </w:endnote>
  <w:endnote w:type="continuationSeparator" w:id="0">
    <w:p w:rsidR="00137228" w:rsidRDefault="00137228" w:rsidP="00BB2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HY신명조">
    <w:panose1 w:val="02030600000101010101"/>
    <w:charset w:val="81"/>
    <w:family w:val="roman"/>
    <w:pitch w:val="variable"/>
    <w:sig w:usb0="900002A7" w:usb1="29D77CF9"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228" w:rsidRDefault="00137228" w:rsidP="00BB24C4">
      <w:pPr>
        <w:spacing w:after="0" w:line="240" w:lineRule="auto"/>
      </w:pPr>
      <w:r>
        <w:separator/>
      </w:r>
    </w:p>
  </w:footnote>
  <w:footnote w:type="continuationSeparator" w:id="0">
    <w:p w:rsidR="00137228" w:rsidRDefault="00137228" w:rsidP="00BB24C4">
      <w:pPr>
        <w:spacing w:after="0" w:line="240" w:lineRule="auto"/>
      </w:pPr>
      <w:r>
        <w:continuationSeparator/>
      </w:r>
    </w:p>
  </w:footnote>
  <w:footnote w:id="1">
    <w:p w:rsidR="00FA22B7" w:rsidRDefault="00FA22B7" w:rsidP="00BB24C4">
      <w:pPr>
        <w:pStyle w:val="a7"/>
        <w:jc w:val="both"/>
        <w:rPr>
          <w:rFonts w:ascii="Times New Roman" w:hAnsi="Times New Roman" w:cs="Times New Roman"/>
          <w:szCs w:val="20"/>
        </w:rPr>
      </w:pPr>
      <w:r>
        <w:rPr>
          <w:rStyle w:val="a8"/>
          <w:rFonts w:ascii="Times New Roman" w:hAnsi="Times New Roman" w:cs="Times New Roman"/>
          <w:szCs w:val="20"/>
        </w:rPr>
        <w:footnoteRef/>
      </w:r>
      <w:r>
        <w:rPr>
          <w:rFonts w:ascii="Times New Roman" w:hAnsi="Times New Roman" w:cs="Times New Roman"/>
          <w:szCs w:val="20"/>
        </w:rPr>
        <w:t xml:space="preserve"> The SAM used in this study accepts the recommendation of the 2008 SNA, in order to incorporate additional accounts for knowledge capital. According to the 1993 System of National Accounts (SNA), R&amp;D spending is treated as intermediate consumption, which is used up in the production process. However, the 2008 SNA extends the range of fixed assets and clarifies how to incorporate R&amp;D spending into fixed capital formation.</w:t>
      </w:r>
    </w:p>
  </w:footnote>
  <w:footnote w:id="2">
    <w:p w:rsidR="00FA22B7" w:rsidRPr="00CF42CD" w:rsidRDefault="00FA22B7" w:rsidP="00BB24C4">
      <w:pPr>
        <w:pStyle w:val="a7"/>
        <w:jc w:val="both"/>
        <w:rPr>
          <w:rFonts w:ascii="Times New Roman" w:hAnsi="Times New Roman" w:cs="Times New Roman"/>
          <w:szCs w:val="20"/>
        </w:rPr>
      </w:pPr>
      <w:r w:rsidRPr="00CF42CD">
        <w:rPr>
          <w:rStyle w:val="a8"/>
          <w:rFonts w:ascii="Times New Roman" w:hAnsi="Times New Roman" w:cs="Times New Roman"/>
          <w:szCs w:val="20"/>
        </w:rPr>
        <w:footnoteRef/>
      </w:r>
      <w:r w:rsidRPr="00CF42CD">
        <w:rPr>
          <w:rFonts w:ascii="Times New Roman" w:hAnsi="Times New Roman" w:cs="Times New Roman"/>
          <w:szCs w:val="20"/>
        </w:rPr>
        <w:t xml:space="preserve"> We extract labor inputs and wage levels by labor types for production activities from the 2010 Household Income and Expenditure Survey (HIE Survey) micro data</w:t>
      </w:r>
      <w:r>
        <w:rPr>
          <w:rFonts w:ascii="Times New Roman" w:hAnsi="Times New Roman" w:cs="Times New Roman"/>
          <w:szCs w:val="20"/>
        </w:rPr>
        <w:t>, from the</w:t>
      </w:r>
      <w:r w:rsidRPr="00CF42CD">
        <w:rPr>
          <w:rFonts w:ascii="Times New Roman" w:hAnsi="Times New Roman" w:cs="Times New Roman"/>
          <w:szCs w:val="20"/>
        </w:rPr>
        <w:t xml:space="preserve"> Korea National Statistical Office, and </w:t>
      </w:r>
      <w:r>
        <w:rPr>
          <w:rFonts w:ascii="Times New Roman" w:hAnsi="Times New Roman" w:cs="Times New Roman"/>
          <w:szCs w:val="20"/>
        </w:rPr>
        <w:t xml:space="preserve">the </w:t>
      </w:r>
      <w:r w:rsidRPr="00CF42CD">
        <w:rPr>
          <w:rFonts w:ascii="Times New Roman" w:hAnsi="Times New Roman" w:cs="Times New Roman"/>
          <w:szCs w:val="20"/>
        </w:rPr>
        <w:t xml:space="preserve">2010 Wage Structure Statistics </w:t>
      </w:r>
      <w:r>
        <w:rPr>
          <w:rFonts w:ascii="Times New Roman" w:hAnsi="Times New Roman" w:cs="Times New Roman"/>
          <w:szCs w:val="20"/>
        </w:rPr>
        <w:t>from</w:t>
      </w:r>
      <w:r w:rsidRPr="00CF42CD">
        <w:rPr>
          <w:rFonts w:ascii="Times New Roman" w:hAnsi="Times New Roman" w:cs="Times New Roman"/>
          <w:szCs w:val="20"/>
        </w:rPr>
        <w:t xml:space="preserve"> the Ministry of Employment and Labor.</w:t>
      </w:r>
    </w:p>
  </w:footnote>
  <w:footnote w:id="3">
    <w:p w:rsidR="00FA22B7" w:rsidRDefault="00FA22B7" w:rsidP="00BB24C4">
      <w:pPr>
        <w:pStyle w:val="a7"/>
        <w:jc w:val="both"/>
      </w:pPr>
      <w:r w:rsidRPr="00CF42CD">
        <w:rPr>
          <w:rStyle w:val="a8"/>
          <w:rFonts w:ascii="Times New Roman" w:hAnsi="Times New Roman" w:cs="Times New Roman"/>
          <w:szCs w:val="20"/>
        </w:rPr>
        <w:footnoteRef/>
      </w:r>
      <w:r w:rsidRPr="00B67E2E">
        <w:rPr>
          <w:szCs w:val="20"/>
        </w:rPr>
        <w:t xml:space="preserve"> </w:t>
      </w:r>
      <w:r w:rsidRPr="00B67E2E">
        <w:rPr>
          <w:rFonts w:ascii="Times New Roman" w:hAnsi="Times New Roman" w:cs="Times New Roman"/>
          <w:szCs w:val="20"/>
        </w:rPr>
        <w:t>Household Income and Expenditure Survey define</w:t>
      </w:r>
      <w:r>
        <w:rPr>
          <w:rFonts w:ascii="Times New Roman" w:hAnsi="Times New Roman" w:cs="Times New Roman"/>
          <w:szCs w:val="20"/>
        </w:rPr>
        <w:t>s</w:t>
      </w:r>
      <w:r w:rsidRPr="00B67E2E">
        <w:rPr>
          <w:rFonts w:ascii="Times New Roman" w:hAnsi="Times New Roman" w:cs="Times New Roman"/>
          <w:szCs w:val="20"/>
        </w:rPr>
        <w:t xml:space="preserve"> 12 </w:t>
      </w:r>
      <w:r>
        <w:rPr>
          <w:rFonts w:ascii="Times New Roman" w:hAnsi="Times New Roman" w:cs="Times New Roman"/>
          <w:szCs w:val="20"/>
        </w:rPr>
        <w:t xml:space="preserve">categories of </w:t>
      </w:r>
      <w:r w:rsidRPr="00B67E2E">
        <w:rPr>
          <w:rFonts w:ascii="Times New Roman" w:hAnsi="Times New Roman" w:cs="Times New Roman"/>
          <w:szCs w:val="20"/>
        </w:rPr>
        <w:t>final consumption as follows: (1) Food and non-alcoholic beverages</w:t>
      </w:r>
      <w:r>
        <w:rPr>
          <w:rFonts w:ascii="Times New Roman" w:hAnsi="Times New Roman" w:cs="Times New Roman"/>
          <w:szCs w:val="20"/>
        </w:rPr>
        <w:t>;</w:t>
      </w:r>
      <w:r w:rsidRPr="00B67E2E">
        <w:rPr>
          <w:rFonts w:ascii="Times New Roman" w:hAnsi="Times New Roman" w:cs="Times New Roman"/>
          <w:szCs w:val="20"/>
        </w:rPr>
        <w:t xml:space="preserve"> (2) alcoholic beverages and tobacco</w:t>
      </w:r>
      <w:r>
        <w:rPr>
          <w:rFonts w:ascii="Times New Roman" w:hAnsi="Times New Roman" w:cs="Times New Roman"/>
          <w:szCs w:val="20"/>
        </w:rPr>
        <w:t>;</w:t>
      </w:r>
      <w:r w:rsidRPr="00B67E2E">
        <w:rPr>
          <w:rFonts w:ascii="Times New Roman" w:hAnsi="Times New Roman" w:cs="Times New Roman"/>
          <w:szCs w:val="20"/>
        </w:rPr>
        <w:t xml:space="preserve"> (3) clothing and footwear</w:t>
      </w:r>
      <w:r>
        <w:rPr>
          <w:rFonts w:ascii="Times New Roman" w:hAnsi="Times New Roman" w:cs="Times New Roman"/>
          <w:szCs w:val="20"/>
        </w:rPr>
        <w:t>;</w:t>
      </w:r>
      <w:r w:rsidRPr="00B67E2E">
        <w:rPr>
          <w:rFonts w:ascii="Times New Roman" w:hAnsi="Times New Roman" w:cs="Times New Roman"/>
          <w:szCs w:val="20"/>
        </w:rPr>
        <w:t xml:space="preserve"> (4) housing, water, electricity, and gas</w:t>
      </w:r>
      <w:r>
        <w:rPr>
          <w:rFonts w:ascii="Times New Roman" w:hAnsi="Times New Roman" w:cs="Times New Roman"/>
          <w:szCs w:val="20"/>
        </w:rPr>
        <w:t>;</w:t>
      </w:r>
      <w:r w:rsidRPr="00B67E2E">
        <w:rPr>
          <w:rFonts w:ascii="Times New Roman" w:hAnsi="Times New Roman" w:cs="Times New Roman"/>
          <w:szCs w:val="20"/>
        </w:rPr>
        <w:t xml:space="preserve"> (5) furnishings and household equipment</w:t>
      </w:r>
      <w:r>
        <w:rPr>
          <w:rFonts w:ascii="Times New Roman" w:hAnsi="Times New Roman" w:cs="Times New Roman"/>
          <w:szCs w:val="20"/>
        </w:rPr>
        <w:t>;</w:t>
      </w:r>
      <w:r w:rsidRPr="00B67E2E">
        <w:rPr>
          <w:rFonts w:ascii="Times New Roman" w:hAnsi="Times New Roman" w:cs="Times New Roman"/>
          <w:szCs w:val="20"/>
        </w:rPr>
        <w:t xml:space="preserve"> (6) health</w:t>
      </w:r>
      <w:r>
        <w:rPr>
          <w:rFonts w:ascii="Times New Roman" w:hAnsi="Times New Roman" w:cs="Times New Roman"/>
          <w:szCs w:val="20"/>
        </w:rPr>
        <w:t>;</w:t>
      </w:r>
      <w:r w:rsidRPr="00B67E2E">
        <w:rPr>
          <w:rFonts w:ascii="Times New Roman" w:hAnsi="Times New Roman" w:cs="Times New Roman"/>
          <w:szCs w:val="20"/>
        </w:rPr>
        <w:t xml:space="preserve"> (7) transport</w:t>
      </w:r>
      <w:r>
        <w:rPr>
          <w:rFonts w:ascii="Times New Roman" w:hAnsi="Times New Roman" w:cs="Times New Roman"/>
          <w:szCs w:val="20"/>
        </w:rPr>
        <w:t>;</w:t>
      </w:r>
      <w:r w:rsidRPr="00B67E2E">
        <w:rPr>
          <w:rFonts w:ascii="Times New Roman" w:hAnsi="Times New Roman" w:cs="Times New Roman"/>
          <w:szCs w:val="20"/>
        </w:rPr>
        <w:t xml:space="preserve"> (8) communications</w:t>
      </w:r>
      <w:r>
        <w:rPr>
          <w:rFonts w:ascii="Times New Roman" w:hAnsi="Times New Roman" w:cs="Times New Roman"/>
          <w:szCs w:val="20"/>
        </w:rPr>
        <w:t>;</w:t>
      </w:r>
      <w:r w:rsidRPr="00B67E2E">
        <w:rPr>
          <w:rFonts w:ascii="Times New Roman" w:hAnsi="Times New Roman" w:cs="Times New Roman"/>
          <w:szCs w:val="20"/>
        </w:rPr>
        <w:t xml:space="preserve"> (9) recreations and culture</w:t>
      </w:r>
      <w:r>
        <w:rPr>
          <w:rFonts w:ascii="Times New Roman" w:hAnsi="Times New Roman" w:cs="Times New Roman"/>
          <w:szCs w:val="20"/>
        </w:rPr>
        <w:t>;</w:t>
      </w:r>
      <w:r w:rsidRPr="00B67E2E">
        <w:rPr>
          <w:rFonts w:ascii="Times New Roman" w:hAnsi="Times New Roman" w:cs="Times New Roman"/>
          <w:szCs w:val="20"/>
        </w:rPr>
        <w:t xml:space="preserve"> (10) education</w:t>
      </w:r>
      <w:r>
        <w:rPr>
          <w:rFonts w:ascii="Times New Roman" w:hAnsi="Times New Roman" w:cs="Times New Roman"/>
          <w:szCs w:val="20"/>
        </w:rPr>
        <w:t>;</w:t>
      </w:r>
      <w:r w:rsidRPr="00B67E2E">
        <w:rPr>
          <w:rFonts w:ascii="Times New Roman" w:hAnsi="Times New Roman" w:cs="Times New Roman"/>
          <w:szCs w:val="20"/>
        </w:rPr>
        <w:t xml:space="preserve"> (11) restaurant and hotels</w:t>
      </w:r>
      <w:r>
        <w:rPr>
          <w:rFonts w:ascii="Times New Roman" w:hAnsi="Times New Roman" w:cs="Times New Roman"/>
          <w:szCs w:val="20"/>
        </w:rPr>
        <w:t>;</w:t>
      </w:r>
      <w:r w:rsidRPr="00B67E2E">
        <w:rPr>
          <w:rFonts w:ascii="Times New Roman" w:hAnsi="Times New Roman" w:cs="Times New Roman"/>
          <w:szCs w:val="20"/>
        </w:rPr>
        <w:t xml:space="preserve"> and (12) miscellaneous goods and services.</w:t>
      </w:r>
    </w:p>
  </w:footnote>
  <w:footnote w:id="4">
    <w:p w:rsidR="00FA22B7" w:rsidRDefault="00FA22B7" w:rsidP="00BB24C4">
      <w:pPr>
        <w:pStyle w:val="a7"/>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Symbols with 0 indicate the parameters obtained by variable values of knowledge-based social accounting matrix of base year (year 2010).</w:t>
      </w:r>
    </w:p>
  </w:footnote>
  <w:footnote w:id="5">
    <w:p w:rsidR="00FA22B7" w:rsidRDefault="00FA22B7" w:rsidP="00BB24C4">
      <w:pPr>
        <w:pStyle w:val="a7"/>
        <w:spacing w:line="240" w:lineRule="auto"/>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w:t>
      </w:r>
      <w:r w:rsidRPr="00233C30">
        <w:rPr>
          <w:rFonts w:ascii="Times New Roman" w:hAnsi="Times New Roman" w:cs="Times New Roman"/>
        </w:rPr>
        <w:t xml:space="preserve">Knowledge stocks </w:t>
      </w:r>
      <w:r w:rsidRPr="00CC1067">
        <w:rPr>
          <w:rFonts w:ascii="Times New Roman" w:hAnsi="Times New Roman" w:cs="Times New Roman"/>
        </w:rPr>
        <w:t xml:space="preserve">in public and private sectors </w:t>
      </w:r>
      <w:r>
        <w:rPr>
          <w:rFonts w:ascii="Times New Roman" w:hAnsi="Times New Roman" w:cs="Times New Roman"/>
        </w:rPr>
        <w:t xml:space="preserve">(for the year of 2010) </w:t>
      </w:r>
      <w:r w:rsidRPr="00CC1067">
        <w:rPr>
          <w:rFonts w:ascii="Times New Roman" w:hAnsi="Times New Roman" w:cs="Times New Roman"/>
        </w:rPr>
        <w:t>are estimated using data in “Scientific and Technical Research Activities Survey Report”</w:t>
      </w:r>
      <w:r>
        <w:rPr>
          <w:rFonts w:ascii="Times New Roman" w:hAnsi="Times New Roman" w:cs="Times New Roman"/>
        </w:rPr>
        <w:t>,</w:t>
      </w:r>
      <w:r w:rsidRPr="00CC1067">
        <w:rPr>
          <w:rFonts w:ascii="Times New Roman" w:hAnsi="Times New Roman" w:cs="Times New Roman"/>
        </w:rPr>
        <w:t xml:space="preserve"> published by the Korea Institute of Science and Technology Evaluation and Planning (KISTEP).</w:t>
      </w:r>
      <w:r>
        <w:rPr>
          <w:rFonts w:ascii="Times New Roman" w:hAnsi="Times New Roman" w:cs="Times New Roman"/>
        </w:rPr>
        <w:t xml:space="preserve"> Using equations from (6) to (7), the size of knowledge stocks in public sector is estimated to be approximately 43 trillion KRW in 2010, while that of the private sector is to be approximately 134 trillion KRW (1 U.S. dollar = 1,144.4 Korean won (KRW) in March 2016.). In addition, the industry-specific knowledge stock is estimated, and the electronic and electrical equipment sector shows the highest level of knowledge stock, with approximately 52 trillion KRW.</w:t>
      </w:r>
    </w:p>
  </w:footnote>
  <w:footnote w:id="6">
    <w:p w:rsidR="00FA22B7" w:rsidRDefault="00FA22B7" w:rsidP="00454632">
      <w:pPr>
        <w:pStyle w:val="a7"/>
        <w:spacing w:line="240" w:lineRule="auto"/>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The CES production function has an advantage in freely choosing the substitution elasticities’ values. The values for the elasticity of substitution among primary factors measure how easy it is to substitute one for another. Therefore, biases in technical change depend on the elasticities of substitution between the different inputs. In this context, we incorporate SBTC and capital-biased technical change into the production function through different values of substitution elasticities in two-level nested CES production functions.</w:t>
      </w:r>
    </w:p>
  </w:footnote>
  <w:footnote w:id="7">
    <w:p w:rsidR="00FA22B7" w:rsidRDefault="00FA22B7" w:rsidP="00454632">
      <w:pPr>
        <w:pStyle w:val="a7"/>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The classification between high-tech and low-tech manufacturing industries is based on whether the R&amp;D intensity is higher than the average level of R&amp;D intensity among manufacturing industries.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3487"/>
    <w:multiLevelType w:val="hybridMultilevel"/>
    <w:tmpl w:val="F58A445E"/>
    <w:lvl w:ilvl="0" w:tplc="7F265226">
      <w:start w:val="1"/>
      <w:numFmt w:val="decimal"/>
      <w:lvlText w:val="(%1)"/>
      <w:lvlJc w:val="left"/>
      <w:pPr>
        <w:ind w:left="360" w:hanging="36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15:restartNumberingAfterBreak="0">
    <w:nsid w:val="28B73B9E"/>
    <w:multiLevelType w:val="hybridMultilevel"/>
    <w:tmpl w:val="FC4E0982"/>
    <w:lvl w:ilvl="0" w:tplc="761ECA64">
      <w:start w:val="1"/>
      <w:numFmt w:val="lowerLetter"/>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5EBB77CA"/>
    <w:multiLevelType w:val="hybridMultilevel"/>
    <w:tmpl w:val="47E0E498"/>
    <w:lvl w:ilvl="0" w:tplc="7A86E4AC">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139"/>
    <w:rsid w:val="000F69D5"/>
    <w:rsid w:val="00102F4C"/>
    <w:rsid w:val="00137228"/>
    <w:rsid w:val="00205DAF"/>
    <w:rsid w:val="002A4B19"/>
    <w:rsid w:val="00305690"/>
    <w:rsid w:val="00401BB8"/>
    <w:rsid w:val="0044620D"/>
    <w:rsid w:val="00454632"/>
    <w:rsid w:val="004673A0"/>
    <w:rsid w:val="00513ED0"/>
    <w:rsid w:val="005506F9"/>
    <w:rsid w:val="00574139"/>
    <w:rsid w:val="006F3FD0"/>
    <w:rsid w:val="007E2E0B"/>
    <w:rsid w:val="007E6140"/>
    <w:rsid w:val="007F1940"/>
    <w:rsid w:val="008111AC"/>
    <w:rsid w:val="00827340"/>
    <w:rsid w:val="009B1773"/>
    <w:rsid w:val="009D4D11"/>
    <w:rsid w:val="009F258C"/>
    <w:rsid w:val="009F32DD"/>
    <w:rsid w:val="00A3451A"/>
    <w:rsid w:val="00B32D7B"/>
    <w:rsid w:val="00BB24C4"/>
    <w:rsid w:val="00BC3E53"/>
    <w:rsid w:val="00BC6D21"/>
    <w:rsid w:val="00C908F5"/>
    <w:rsid w:val="00CD43B3"/>
    <w:rsid w:val="00DD37E9"/>
    <w:rsid w:val="00F12BCF"/>
    <w:rsid w:val="00F9183E"/>
    <w:rsid w:val="00FA22B7"/>
    <w:rsid w:val="00FB66F1"/>
    <w:rsid w:val="00FE48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AC40C0-A952-4C98-925E-948884E2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2title">
    <w:name w:val="MDPI_1.2_title"/>
    <w:next w:val="a"/>
    <w:qFormat/>
    <w:rsid w:val="00574139"/>
    <w:pPr>
      <w:adjustRightInd w:val="0"/>
      <w:snapToGrid w:val="0"/>
      <w:spacing w:after="240" w:line="400" w:lineRule="exact"/>
      <w:jc w:val="left"/>
    </w:pPr>
    <w:rPr>
      <w:rFonts w:ascii="Palatino Linotype" w:eastAsia="Times New Roman" w:hAnsi="Palatino Linotype" w:cs="Times New Roman"/>
      <w:b/>
      <w:color w:val="000000"/>
      <w:kern w:val="0"/>
      <w:sz w:val="36"/>
      <w:szCs w:val="20"/>
      <w:lang w:eastAsia="de-DE" w:bidi="en-US"/>
    </w:rPr>
  </w:style>
  <w:style w:type="paragraph" w:customStyle="1" w:styleId="MDPI17abstract">
    <w:name w:val="MDPI_1.7_abstract"/>
    <w:basedOn w:val="a"/>
    <w:next w:val="a"/>
    <w:qFormat/>
    <w:rsid w:val="00574139"/>
    <w:pPr>
      <w:widowControl/>
      <w:wordWrap/>
      <w:autoSpaceDE/>
      <w:autoSpaceDN/>
      <w:adjustRightInd w:val="0"/>
      <w:snapToGrid w:val="0"/>
      <w:spacing w:before="240" w:after="0" w:line="260" w:lineRule="atLeast"/>
      <w:ind w:left="113"/>
    </w:pPr>
    <w:rPr>
      <w:rFonts w:ascii="Palatino Linotype" w:eastAsia="Times New Roman" w:hAnsi="Palatino Linotype" w:cs="Times New Roman"/>
      <w:color w:val="000000"/>
      <w:kern w:val="0"/>
      <w:lang w:eastAsia="de-DE" w:bidi="en-US"/>
    </w:rPr>
  </w:style>
  <w:style w:type="paragraph" w:customStyle="1" w:styleId="MDPI19line">
    <w:name w:val="MDPI_1.9_line"/>
    <w:basedOn w:val="a"/>
    <w:qFormat/>
    <w:rsid w:val="00574139"/>
    <w:pPr>
      <w:widowControl/>
      <w:pBdr>
        <w:bottom w:val="single" w:sz="6" w:space="1" w:color="auto"/>
      </w:pBdr>
      <w:wordWrap/>
      <w:autoSpaceDE/>
      <w:autoSpaceDN/>
      <w:adjustRightInd w:val="0"/>
      <w:snapToGrid w:val="0"/>
      <w:spacing w:after="0" w:line="260" w:lineRule="atLeast"/>
    </w:pPr>
    <w:rPr>
      <w:rFonts w:ascii="Palatino Linotype" w:eastAsia="Times New Roman" w:hAnsi="Palatino Linotype"/>
      <w:color w:val="000000"/>
      <w:kern w:val="0"/>
      <w:szCs w:val="24"/>
      <w:lang w:eastAsia="de-DE" w:bidi="en-US"/>
    </w:rPr>
  </w:style>
  <w:style w:type="paragraph" w:styleId="a3">
    <w:name w:val="annotation text"/>
    <w:basedOn w:val="a"/>
    <w:link w:val="Char"/>
    <w:uiPriority w:val="99"/>
    <w:semiHidden/>
    <w:unhideWhenUsed/>
    <w:rsid w:val="00574139"/>
    <w:pPr>
      <w:spacing w:line="256" w:lineRule="auto"/>
      <w:jc w:val="left"/>
    </w:pPr>
  </w:style>
  <w:style w:type="character" w:customStyle="1" w:styleId="Char">
    <w:name w:val="메모 텍스트 Char"/>
    <w:basedOn w:val="a0"/>
    <w:link w:val="a3"/>
    <w:uiPriority w:val="99"/>
    <w:semiHidden/>
    <w:rsid w:val="00574139"/>
  </w:style>
  <w:style w:type="paragraph" w:customStyle="1" w:styleId="Mdeck4text">
    <w:name w:val="M_deck_4_text"/>
    <w:link w:val="Mdeck4textChar"/>
    <w:qFormat/>
    <w:rsid w:val="00574139"/>
    <w:pPr>
      <w:kinsoku w:val="0"/>
      <w:overflowPunct w:val="0"/>
      <w:autoSpaceDE w:val="0"/>
      <w:autoSpaceDN w:val="0"/>
      <w:adjustRightInd w:val="0"/>
      <w:snapToGrid w:val="0"/>
      <w:spacing w:after="0" w:line="340" w:lineRule="atLeast"/>
      <w:ind w:firstLine="284"/>
    </w:pPr>
    <w:rPr>
      <w:rFonts w:ascii="Times New Roman" w:eastAsia="Times New Roman" w:hAnsi="Times New Roman"/>
      <w:color w:val="000000"/>
      <w:kern w:val="0"/>
      <w:sz w:val="24"/>
      <w:szCs w:val="20"/>
      <w:lang w:eastAsia="de-DE" w:bidi="en-US"/>
    </w:rPr>
  </w:style>
  <w:style w:type="character" w:customStyle="1" w:styleId="Mdeck4textChar">
    <w:name w:val="M_deck_4_text Char"/>
    <w:basedOn w:val="a0"/>
    <w:link w:val="Mdeck4text"/>
    <w:rsid w:val="00574139"/>
    <w:rPr>
      <w:rFonts w:ascii="Times New Roman" w:eastAsia="Times New Roman" w:hAnsi="Times New Roman"/>
      <w:color w:val="000000"/>
      <w:kern w:val="0"/>
      <w:sz w:val="24"/>
      <w:szCs w:val="20"/>
      <w:lang w:eastAsia="de-DE" w:bidi="en-US"/>
    </w:rPr>
  </w:style>
  <w:style w:type="paragraph" w:customStyle="1" w:styleId="Mdeck4heading1">
    <w:name w:val="M_deck_4_heading_1"/>
    <w:next w:val="a"/>
    <w:qFormat/>
    <w:rsid w:val="00574139"/>
    <w:pPr>
      <w:kinsoku w:val="0"/>
      <w:overflowPunct w:val="0"/>
      <w:autoSpaceDE w:val="0"/>
      <w:autoSpaceDN w:val="0"/>
      <w:adjustRightInd w:val="0"/>
      <w:snapToGrid w:val="0"/>
      <w:spacing w:before="240" w:after="240" w:line="340" w:lineRule="atLeast"/>
      <w:jc w:val="left"/>
      <w:outlineLvl w:val="0"/>
    </w:pPr>
    <w:rPr>
      <w:rFonts w:ascii="Times New Roman" w:eastAsia="Times New Roman" w:hAnsi="Times New Roman"/>
      <w:b/>
      <w:color w:val="000000"/>
      <w:kern w:val="0"/>
      <w:sz w:val="24"/>
      <w:szCs w:val="20"/>
      <w:lang w:eastAsia="de-DE" w:bidi="en-US"/>
    </w:rPr>
  </w:style>
  <w:style w:type="character" w:styleId="a4">
    <w:name w:val="annotation reference"/>
    <w:basedOn w:val="a0"/>
    <w:semiHidden/>
    <w:unhideWhenUsed/>
    <w:rsid w:val="00574139"/>
    <w:rPr>
      <w:sz w:val="18"/>
      <w:szCs w:val="18"/>
    </w:rPr>
  </w:style>
  <w:style w:type="paragraph" w:customStyle="1" w:styleId="Mdeck4heading2">
    <w:name w:val="M_deck_4_heading_2"/>
    <w:next w:val="a"/>
    <w:qFormat/>
    <w:rsid w:val="00574139"/>
    <w:pPr>
      <w:kinsoku w:val="0"/>
      <w:overflowPunct w:val="0"/>
      <w:autoSpaceDE w:val="0"/>
      <w:autoSpaceDN w:val="0"/>
      <w:adjustRightInd w:val="0"/>
      <w:snapToGrid w:val="0"/>
      <w:spacing w:before="240" w:after="240" w:line="340" w:lineRule="atLeast"/>
      <w:jc w:val="left"/>
      <w:outlineLvl w:val="1"/>
    </w:pPr>
    <w:rPr>
      <w:rFonts w:ascii="Times New Roman" w:eastAsia="Times New Roman" w:hAnsi="Times New Roman"/>
      <w:i/>
      <w:color w:val="000000"/>
      <w:kern w:val="0"/>
      <w:sz w:val="24"/>
      <w:szCs w:val="20"/>
      <w:lang w:eastAsia="de-DE" w:bidi="en-US"/>
    </w:rPr>
  </w:style>
  <w:style w:type="paragraph" w:styleId="a5">
    <w:name w:val="Balloon Text"/>
    <w:basedOn w:val="a"/>
    <w:link w:val="Char0"/>
    <w:uiPriority w:val="99"/>
    <w:semiHidden/>
    <w:unhideWhenUsed/>
    <w:rsid w:val="00574139"/>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5"/>
    <w:uiPriority w:val="99"/>
    <w:semiHidden/>
    <w:rsid w:val="00574139"/>
    <w:rPr>
      <w:rFonts w:asciiTheme="majorHAnsi" w:eastAsiaTheme="majorEastAsia" w:hAnsiTheme="majorHAnsi" w:cstheme="majorBidi"/>
      <w:sz w:val="18"/>
      <w:szCs w:val="18"/>
    </w:rPr>
  </w:style>
  <w:style w:type="paragraph" w:styleId="a6">
    <w:name w:val="caption"/>
    <w:basedOn w:val="a"/>
    <w:next w:val="a"/>
    <w:uiPriority w:val="35"/>
    <w:unhideWhenUsed/>
    <w:qFormat/>
    <w:rsid w:val="00BB24C4"/>
    <w:pPr>
      <w:spacing w:line="256" w:lineRule="auto"/>
    </w:pPr>
    <w:rPr>
      <w:b/>
      <w:bCs/>
      <w:szCs w:val="20"/>
    </w:rPr>
  </w:style>
  <w:style w:type="paragraph" w:styleId="a7">
    <w:name w:val="footnote text"/>
    <w:basedOn w:val="a"/>
    <w:link w:val="Char1"/>
    <w:uiPriority w:val="99"/>
    <w:semiHidden/>
    <w:unhideWhenUsed/>
    <w:rsid w:val="00BB24C4"/>
    <w:pPr>
      <w:snapToGrid w:val="0"/>
      <w:spacing w:line="256" w:lineRule="auto"/>
      <w:jc w:val="left"/>
    </w:pPr>
  </w:style>
  <w:style w:type="character" w:customStyle="1" w:styleId="Char1">
    <w:name w:val="각주 텍스트 Char"/>
    <w:basedOn w:val="a0"/>
    <w:link w:val="a7"/>
    <w:uiPriority w:val="99"/>
    <w:semiHidden/>
    <w:rsid w:val="00BB24C4"/>
  </w:style>
  <w:style w:type="character" w:styleId="a8">
    <w:name w:val="footnote reference"/>
    <w:basedOn w:val="a0"/>
    <w:uiPriority w:val="99"/>
    <w:semiHidden/>
    <w:unhideWhenUsed/>
    <w:rsid w:val="00BB24C4"/>
    <w:rPr>
      <w:vertAlign w:val="superscript"/>
    </w:rPr>
  </w:style>
  <w:style w:type="paragraph" w:styleId="a9">
    <w:name w:val="List Paragraph"/>
    <w:basedOn w:val="a"/>
    <w:uiPriority w:val="34"/>
    <w:qFormat/>
    <w:rsid w:val="00BB24C4"/>
    <w:pPr>
      <w:spacing w:line="256" w:lineRule="auto"/>
      <w:ind w:leftChars="400" w:left="800"/>
    </w:pPr>
  </w:style>
  <w:style w:type="table" w:styleId="aa">
    <w:name w:val="Table Grid"/>
    <w:basedOn w:val="a1"/>
    <w:uiPriority w:val="39"/>
    <w:rsid w:val="00BB2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3"/>
    <w:next w:val="a3"/>
    <w:link w:val="Char2"/>
    <w:uiPriority w:val="99"/>
    <w:semiHidden/>
    <w:unhideWhenUsed/>
    <w:rsid w:val="00BB24C4"/>
    <w:pPr>
      <w:spacing w:line="259" w:lineRule="auto"/>
    </w:pPr>
    <w:rPr>
      <w:b/>
      <w:bCs/>
    </w:rPr>
  </w:style>
  <w:style w:type="character" w:customStyle="1" w:styleId="Char2">
    <w:name w:val="메모 주제 Char"/>
    <w:basedOn w:val="Char"/>
    <w:link w:val="ab"/>
    <w:uiPriority w:val="99"/>
    <w:semiHidden/>
    <w:rsid w:val="00BB24C4"/>
    <w:rPr>
      <w:b/>
      <w:bCs/>
    </w:rPr>
  </w:style>
  <w:style w:type="paragraph" w:styleId="ac">
    <w:name w:val="Body Text"/>
    <w:basedOn w:val="a"/>
    <w:link w:val="Char3"/>
    <w:semiHidden/>
    <w:unhideWhenUsed/>
    <w:rsid w:val="00BB24C4"/>
    <w:pPr>
      <w:spacing w:after="0" w:line="360" w:lineRule="auto"/>
      <w:ind w:firstLine="312"/>
    </w:pPr>
    <w:rPr>
      <w:rFonts w:ascii="Times New Roman" w:eastAsia="HY신명조" w:hAnsi="Times New Roman" w:cs="Times New Roman"/>
      <w:sz w:val="22"/>
    </w:rPr>
  </w:style>
  <w:style w:type="character" w:customStyle="1" w:styleId="Char3">
    <w:name w:val="본문 Char"/>
    <w:basedOn w:val="a0"/>
    <w:link w:val="ac"/>
    <w:semiHidden/>
    <w:rsid w:val="00BB24C4"/>
    <w:rPr>
      <w:rFonts w:ascii="Times New Roman" w:eastAsia="HY신명조" w:hAnsi="Times New Roman" w:cs="Times New Roman"/>
      <w:sz w:val="22"/>
    </w:rPr>
  </w:style>
  <w:style w:type="paragraph" w:styleId="ad">
    <w:name w:val="header"/>
    <w:basedOn w:val="a"/>
    <w:link w:val="Char4"/>
    <w:uiPriority w:val="99"/>
    <w:unhideWhenUsed/>
    <w:rsid w:val="00454632"/>
    <w:pPr>
      <w:tabs>
        <w:tab w:val="center" w:pos="4513"/>
        <w:tab w:val="right" w:pos="9026"/>
      </w:tabs>
      <w:snapToGrid w:val="0"/>
    </w:pPr>
  </w:style>
  <w:style w:type="character" w:customStyle="1" w:styleId="Char4">
    <w:name w:val="머리글 Char"/>
    <w:basedOn w:val="a0"/>
    <w:link w:val="ad"/>
    <w:uiPriority w:val="99"/>
    <w:rsid w:val="00454632"/>
  </w:style>
  <w:style w:type="paragraph" w:styleId="ae">
    <w:name w:val="footer"/>
    <w:basedOn w:val="a"/>
    <w:link w:val="Char5"/>
    <w:uiPriority w:val="99"/>
    <w:unhideWhenUsed/>
    <w:rsid w:val="00454632"/>
    <w:pPr>
      <w:tabs>
        <w:tab w:val="center" w:pos="4513"/>
        <w:tab w:val="right" w:pos="9026"/>
      </w:tabs>
      <w:snapToGrid w:val="0"/>
    </w:pPr>
  </w:style>
  <w:style w:type="character" w:customStyle="1" w:styleId="Char5">
    <w:name w:val="바닥글 Char"/>
    <w:basedOn w:val="a0"/>
    <w:link w:val="ae"/>
    <w:uiPriority w:val="99"/>
    <w:rsid w:val="00454632"/>
  </w:style>
  <w:style w:type="character" w:styleId="af">
    <w:name w:val="Hyperlink"/>
    <w:basedOn w:val="a0"/>
    <w:uiPriority w:val="99"/>
    <w:unhideWhenUsed/>
    <w:rsid w:val="00205DAF"/>
    <w:rPr>
      <w:color w:val="0563C1" w:themeColor="hyperlink"/>
      <w:u w:val="single"/>
    </w:rPr>
  </w:style>
  <w:style w:type="character" w:customStyle="1" w:styleId="EndNoteBibliographyChar">
    <w:name w:val="EndNote Bibliography Char"/>
    <w:link w:val="EndNoteBibliography"/>
    <w:locked/>
    <w:rsid w:val="00205DAF"/>
    <w:rPr>
      <w:rFonts w:ascii="맑은 고딕" w:eastAsia="맑은 고딕" w:hAnsi="맑은 고딕" w:cs="Times New Roman"/>
      <w:noProof/>
      <w:szCs w:val="24"/>
    </w:rPr>
  </w:style>
  <w:style w:type="paragraph" w:customStyle="1" w:styleId="EndNoteBibliography">
    <w:name w:val="EndNote Bibliography"/>
    <w:basedOn w:val="a"/>
    <w:link w:val="EndNoteBibliographyChar"/>
    <w:rsid w:val="00205DAF"/>
    <w:pPr>
      <w:spacing w:after="0" w:line="240" w:lineRule="auto"/>
      <w:jc w:val="center"/>
    </w:pPr>
    <w:rPr>
      <w:rFonts w:ascii="맑은 고딕" w:eastAsia="맑은 고딕" w:hAnsi="맑은 고딕" w:cs="Times New Roman"/>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hyperlink" Target="http://www.nber.org/papers/w5656" TargetMode="External"/><Relationship Id="rId39" Type="http://schemas.openxmlformats.org/officeDocument/2006/relationships/hyperlink" Target="http://www.cpb.nl/sites/default/files/publicaties/download/memo189.pdf" TargetMode="External"/><Relationship Id="rId21" Type="http://schemas.openxmlformats.org/officeDocument/2006/relationships/chart" Target="charts/chart11.xml"/><Relationship Id="rId34" Type="http://schemas.openxmlformats.org/officeDocument/2006/relationships/hyperlink" Target="https://www.economicdynamics.org/meetpapers/2015/paper_895.pdf"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hyperlink" Target="http://www.nber.org/papers/w1421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www.nber.org/papers/w8769" TargetMode="External"/><Relationship Id="rId32" Type="http://schemas.openxmlformats.org/officeDocument/2006/relationships/hyperlink" Target="https://www.oecd.org/g20/topics/framework-strong-sustainable-balanced-growth/Inequality-and-Inclusive-Growth-Policy-Tools-to-Achieve-Balanced-Growth-in-g20-Economies.pdf" TargetMode="External"/><Relationship Id="rId37" Type="http://schemas.openxmlformats.org/officeDocument/2006/relationships/hyperlink" Target="http://www.nber.org/chapters/c3917.pdf" TargetMode="External"/><Relationship Id="rId40" Type="http://schemas.openxmlformats.org/officeDocument/2006/relationships/hyperlink" Target="http://ftp.iza.org/dp6291.pdf" TargetMode="Externa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hyperlink" Target="http://ftp.iza.org/dp6643.pdf" TargetMode="External"/><Relationship Id="rId36" Type="http://schemas.openxmlformats.org/officeDocument/2006/relationships/hyperlink" Target="http://www.nber.org/papers/w20670" TargetMode="External"/><Relationship Id="rId10" Type="http://schemas.openxmlformats.org/officeDocument/2006/relationships/image" Target="media/image3.png"/><Relationship Id="rId19" Type="http://schemas.openxmlformats.org/officeDocument/2006/relationships/chart" Target="charts/chart9.xml"/><Relationship Id="rId31" Type="http://schemas.openxmlformats.org/officeDocument/2006/relationships/hyperlink" Target="http://www.nber.org/papers/w1913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hyperlink" Target="http://www.nber.org/papers/w21861" TargetMode="External"/><Relationship Id="rId30" Type="http://schemas.openxmlformats.org/officeDocument/2006/relationships/hyperlink" Target="http://www.nber.org/papers/w18752" TargetMode="External"/><Relationship Id="rId35" Type="http://schemas.openxmlformats.org/officeDocument/2006/relationships/hyperlink" Target="http://www.aft.org/sites/default/files/periodicals/RotherhamWillingham.pdf"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yperlink" Target="http://www.nber.org/papers/w5956" TargetMode="External"/><Relationship Id="rId33" Type="http://schemas.openxmlformats.org/officeDocument/2006/relationships/hyperlink" Target="https://www.oecd.org/edu/EAG%202012_e-book_EN_200912.pdf" TargetMode="External"/><Relationship Id="rId38" Type="http://schemas.openxmlformats.org/officeDocument/2006/relationships/hyperlink" Target="http://www.hcss.nl/reports/download/142/227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YEO\Downloads\&#45432;&#46041;&#49688;&#50836;%20&#44288;&#47144;%20&#44208;&#44284;%20(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YEO\Downloads\&#44221;&#51228;%20&#49457;&#51109;%20&#44288;&#47144;%20&#44208;&#44284;.xlsx" TargetMode="External"/></Relationships>
</file>

<file path=word/charts/_rels/chart11.xml.rels><?xml version="1.0" encoding="UTF-8" standalone="yes"?>
<Relationships xmlns="http://schemas.openxmlformats.org/package/2006/relationships"><Relationship Id="rId3" Type="http://schemas.openxmlformats.org/officeDocument/2006/relationships/oleObject" Target="file:///C:\Users\YEO\Downloads\&#50577;&#44537;&#54868;%20&#44288;&#47144;%20&#44208;&#44284;.xlsx" TargetMode="External"/><Relationship Id="rId2" Type="http://schemas.microsoft.com/office/2011/relationships/chartColorStyle" Target="colors9.xml"/><Relationship Id="rId1" Type="http://schemas.microsoft.com/office/2011/relationships/chartStyle" Target="style9.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YEO\Downloads\&#50577;&#44537;&#54868;%20&#44288;&#47144;%20&#44208;&#44284;.xlsx" TargetMode="External"/><Relationship Id="rId2" Type="http://schemas.microsoft.com/office/2011/relationships/chartColorStyle" Target="colors10.xml"/><Relationship Id="rId1" Type="http://schemas.microsoft.com/office/2011/relationships/chartStyle" Target="style10.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YEO\Downloads\&#50577;&#44537;&#54868;%20&#44288;&#47144;%20&#44208;&#44284;.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YEO\Downloads\&#45432;&#46041;&#49688;&#50836;%20&#44288;&#47144;%20&#44208;&#44284;%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YEO\Downloads\&#45432;&#46041;&#49688;&#50836;%20&#44288;&#47144;%20&#44208;&#44284;%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YEO\Downloads\&#45432;&#46041;&#49688;&#50836;%20&#44288;&#47144;%20&#44208;&#44284;%2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YEO\Downloads\&#45432;&#46041;&#49688;&#50836;%20&#44288;&#47144;%20&#44208;&#44284;%20(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2016\Revision_ecomod\&#44208;&#44284;&#52824;\&#44221;&#51228;%20&#49457;&#51109;%20&#44288;&#47144;%20&#44208;&#44284;%20(&#51088;&#46041;%20&#51200;&#51109;&#461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YEO\Downloads\&#44221;&#51228;%20&#49457;&#51109;%20&#44288;&#47144;%20&#44208;&#44284;.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YEO\Downloads\&#44221;&#51228;%20&#49457;&#51109;%20&#44288;&#47144;%20&#44208;&#44284;.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1" Type="http://schemas.openxmlformats.org/officeDocument/2006/relationships/oleObject" Target="file:///C:\Users\YEO\Downloads\&#44221;&#51228;%20&#49457;&#51109;%20&#44288;&#47144;%20&#44208;&#4428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'노동수요_전체 (2)'!$H$26</c:f>
              <c:strCache>
                <c:ptCount val="1"/>
                <c:pt idx="0">
                  <c:v>SCN1</c:v>
                </c:pt>
              </c:strCache>
            </c:strRef>
          </c:tx>
          <c:spPr>
            <a:ln w="9525" cap="rnd">
              <a:solidFill>
                <a:schemeClr val="accent1"/>
              </a:solidFill>
              <a:prstDash val="sysDash"/>
              <a:round/>
            </a:ln>
            <a:effectLst/>
          </c:spPr>
          <c:marker>
            <c:symbol val="circle"/>
            <c:size val="5"/>
            <c:spPr>
              <a:solidFill>
                <a:schemeClr val="accent1"/>
              </a:solidFill>
              <a:ln w="9525">
                <a:solidFill>
                  <a:schemeClr val="accent1"/>
                </a:solidFill>
                <a:prstDash val="sysDash"/>
              </a:ln>
              <a:effectLst/>
            </c:spPr>
          </c:marker>
          <c:dLbls>
            <c:dLbl>
              <c:idx val="20"/>
              <c:layout>
                <c:manualLayout>
                  <c:x val="-2.2675736961451417E-2"/>
                  <c:y val="4.884004884004884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ko-KR"/>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50F-40B3-B1EA-1E80D642605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ko-K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'노동수요_전체 (2)'!$G$27:$G$47</c:f>
              <c:numCache>
                <c:formatCode>General</c:formatCod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numCache>
            </c:numRef>
          </c:cat>
          <c:val>
            <c:numRef>
              <c:f>'노동수요_전체 (2)'!$H$27:$H$47</c:f>
              <c:numCache>
                <c:formatCode>0.0</c:formatCode>
                <c:ptCount val="21"/>
                <c:pt idx="0">
                  <c:v>-8.889939873135695E-6</c:v>
                </c:pt>
                <c:pt idx="1">
                  <c:v>-1.6987784041400115E-2</c:v>
                </c:pt>
                <c:pt idx="2">
                  <c:v>0.17248215794269942</c:v>
                </c:pt>
                <c:pt idx="3">
                  <c:v>-0.19591586797979013</c:v>
                </c:pt>
                <c:pt idx="4">
                  <c:v>-1.164485637698043</c:v>
                </c:pt>
                <c:pt idx="5">
                  <c:v>-1.9599096225593635</c:v>
                </c:pt>
                <c:pt idx="6">
                  <c:v>-2.6157104350759681</c:v>
                </c:pt>
                <c:pt idx="7">
                  <c:v>-3.1547640334302236</c:v>
                </c:pt>
                <c:pt idx="8">
                  <c:v>-3.5946757502778204</c:v>
                </c:pt>
                <c:pt idx="9">
                  <c:v>-3.9498031484650808</c:v>
                </c:pt>
                <c:pt idx="10">
                  <c:v>-4.2322022857994259</c:v>
                </c:pt>
                <c:pt idx="11">
                  <c:v>-4.4521501912998867</c:v>
                </c:pt>
                <c:pt idx="12">
                  <c:v>-4.6184629199469294</c:v>
                </c:pt>
                <c:pt idx="13">
                  <c:v>-4.7387490665043233</c:v>
                </c:pt>
                <c:pt idx="14">
                  <c:v>-4.8195397141902694</c:v>
                </c:pt>
                <c:pt idx="15">
                  <c:v>-4.8664631066526534</c:v>
                </c:pt>
                <c:pt idx="16">
                  <c:v>-4.8843126046663965</c:v>
                </c:pt>
                <c:pt idx="17">
                  <c:v>-4.8771702460907544</c:v>
                </c:pt>
                <c:pt idx="18">
                  <c:v>-4.8484901010369397</c:v>
                </c:pt>
                <c:pt idx="19">
                  <c:v>-4.8011697334629071</c:v>
                </c:pt>
                <c:pt idx="20">
                  <c:v>-4.7376113734652776</c:v>
                </c:pt>
              </c:numCache>
            </c:numRef>
          </c:val>
          <c:smooth val="0"/>
          <c:extLst xmlns:c16r2="http://schemas.microsoft.com/office/drawing/2015/06/chart">
            <c:ext xmlns:c16="http://schemas.microsoft.com/office/drawing/2014/chart" uri="{C3380CC4-5D6E-409C-BE32-E72D297353CC}">
              <c16:uniqueId val="{00000001-650F-40B3-B1EA-1E80D642605E}"/>
            </c:ext>
          </c:extLst>
        </c:ser>
        <c:ser>
          <c:idx val="1"/>
          <c:order val="1"/>
          <c:tx>
            <c:strRef>
              <c:f>'노동수요_전체 (2)'!$I$26</c:f>
              <c:strCache>
                <c:ptCount val="1"/>
                <c:pt idx="0">
                  <c:v>SCN2</c:v>
                </c:pt>
              </c:strCache>
            </c:strRef>
          </c:tx>
          <c:spPr>
            <a:ln w="9525" cap="rnd">
              <a:solidFill>
                <a:schemeClr val="accent2"/>
              </a:solidFill>
              <a:round/>
            </a:ln>
            <a:effectLst/>
          </c:spPr>
          <c:marker>
            <c:symbol val="square"/>
            <c:size val="5"/>
            <c:spPr>
              <a:noFill/>
              <a:ln w="9525">
                <a:solidFill>
                  <a:schemeClr val="accent2"/>
                </a:solidFill>
              </a:ln>
              <a:effectLst/>
            </c:spPr>
          </c:marker>
          <c:dLbls>
            <c:dLbl>
              <c:idx val="20"/>
              <c:layout>
                <c:manualLayout>
                  <c:x val="-2.7210884353741659E-2"/>
                  <c:y val="-4.884004884004886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ko-KR"/>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50F-40B3-B1EA-1E80D642605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ko-K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'노동수요_전체 (2)'!$G$27:$G$47</c:f>
              <c:numCache>
                <c:formatCode>General</c:formatCod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numCache>
            </c:numRef>
          </c:cat>
          <c:val>
            <c:numRef>
              <c:f>'노동수요_전체 (2)'!$I$27:$I$47</c:f>
              <c:numCache>
                <c:formatCode>0.0</c:formatCode>
                <c:ptCount val="21"/>
                <c:pt idx="0">
                  <c:v>0</c:v>
                </c:pt>
                <c:pt idx="1">
                  <c:v>-0.42793636413277497</c:v>
                </c:pt>
                <c:pt idx="2">
                  <c:v>0.60227491711484249</c:v>
                </c:pt>
                <c:pt idx="3">
                  <c:v>1.1292873672522854</c:v>
                </c:pt>
                <c:pt idx="4">
                  <c:v>1.0959693369370969</c:v>
                </c:pt>
                <c:pt idx="5">
                  <c:v>1.2311324313302177</c:v>
                </c:pt>
                <c:pt idx="6">
                  <c:v>1.4754946907264084</c:v>
                </c:pt>
                <c:pt idx="7">
                  <c:v>1.8528956614230376</c:v>
                </c:pt>
                <c:pt idx="8">
                  <c:v>2.365516311225746</c:v>
                </c:pt>
                <c:pt idx="9">
                  <c:v>2.964776069502451</c:v>
                </c:pt>
                <c:pt idx="10">
                  <c:v>3.6659629248721126</c:v>
                </c:pt>
                <c:pt idx="11">
                  <c:v>4.6038307669072678</c:v>
                </c:pt>
                <c:pt idx="12">
                  <c:v>5.4957197540620903</c:v>
                </c:pt>
                <c:pt idx="13">
                  <c:v>6.3438625946072866</c:v>
                </c:pt>
                <c:pt idx="14">
                  <c:v>7.1533453638305664</c:v>
                </c:pt>
                <c:pt idx="15">
                  <c:v>7.9296236582478974</c:v>
                </c:pt>
                <c:pt idx="16">
                  <c:v>8.6775410563406474</c:v>
                </c:pt>
                <c:pt idx="17">
                  <c:v>9.4013654760834537</c:v>
                </c:pt>
                <c:pt idx="18">
                  <c:v>10.104865675677585</c:v>
                </c:pt>
                <c:pt idx="19">
                  <c:v>10.791416578112155</c:v>
                </c:pt>
                <c:pt idx="20">
                  <c:v>11.464098110631515</c:v>
                </c:pt>
              </c:numCache>
            </c:numRef>
          </c:val>
          <c:smooth val="0"/>
          <c:extLst xmlns:c16r2="http://schemas.microsoft.com/office/drawing/2015/06/chart">
            <c:ext xmlns:c16="http://schemas.microsoft.com/office/drawing/2014/chart" uri="{C3380CC4-5D6E-409C-BE32-E72D297353CC}">
              <c16:uniqueId val="{00000003-650F-40B3-B1EA-1E80D642605E}"/>
            </c:ext>
          </c:extLst>
        </c:ser>
        <c:dLbls>
          <c:showLegendKey val="0"/>
          <c:showVal val="0"/>
          <c:showCatName val="0"/>
          <c:showSerName val="0"/>
          <c:showPercent val="0"/>
          <c:showBubbleSize val="0"/>
        </c:dLbls>
        <c:marker val="1"/>
        <c:smooth val="0"/>
        <c:axId val="301765936"/>
        <c:axId val="301766496"/>
      </c:lineChart>
      <c:catAx>
        <c:axId val="301765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ko-KR"/>
          </a:p>
        </c:txPr>
        <c:crossAx val="301766496"/>
        <c:crosses val="autoZero"/>
        <c:auto val="1"/>
        <c:lblAlgn val="ctr"/>
        <c:lblOffset val="100"/>
        <c:noMultiLvlLbl val="0"/>
      </c:catAx>
      <c:valAx>
        <c:axId val="301766496"/>
        <c:scaling>
          <c:orientation val="minMax"/>
          <c:max val="16"/>
          <c:min val="-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ko-KR"/>
          </a:p>
        </c:txPr>
        <c:crossAx val="301765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ko-K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Sheet2!$J$27</c:f>
              <c:strCache>
                <c:ptCount val="1"/>
                <c:pt idx="0">
                  <c:v>Capital</c:v>
                </c:pt>
              </c:strCache>
            </c:strRef>
          </c:tx>
          <c:spPr>
            <a:ln w="9525" cap="rnd">
              <a:solidFill>
                <a:schemeClr val="accent1"/>
              </a:solidFill>
              <a:round/>
            </a:ln>
            <a:effectLst/>
          </c:spPr>
          <c:marker>
            <c:symbol val="triangle"/>
            <c:size val="5"/>
            <c:spPr>
              <a:solidFill>
                <a:schemeClr val="accent1"/>
              </a:solidFill>
              <a:ln w="9525">
                <a:solidFill>
                  <a:schemeClr val="accent1"/>
                </a:solidFill>
              </a:ln>
              <a:effectLst/>
            </c:spPr>
          </c:marker>
          <c:cat>
            <c:numRef>
              <c:f>Sheet2!$I$28:$I$48</c:f>
              <c:numCache>
                <c:formatCode>General</c:formatCod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numCache>
            </c:numRef>
          </c:cat>
          <c:val>
            <c:numRef>
              <c:f>Sheet2!$J$28:$J$48</c:f>
              <c:numCache>
                <c:formatCode>General</c:formatCode>
                <c:ptCount val="21"/>
                <c:pt idx="0">
                  <c:v>0</c:v>
                </c:pt>
                <c:pt idx="1">
                  <c:v>0.1279207694822482</c:v>
                </c:pt>
                <c:pt idx="2">
                  <c:v>0.92700067474136272</c:v>
                </c:pt>
                <c:pt idx="3">
                  <c:v>1.3165219183459476</c:v>
                </c:pt>
                <c:pt idx="4">
                  <c:v>1.4887095901534584</c:v>
                </c:pt>
                <c:pt idx="5">
                  <c:v>1.8336588086334427</c:v>
                </c:pt>
                <c:pt idx="6">
                  <c:v>2.3010532800180168</c:v>
                </c:pt>
                <c:pt idx="7">
                  <c:v>2.9192176082039278</c:v>
                </c:pt>
                <c:pt idx="8">
                  <c:v>3.6889424682337468</c:v>
                </c:pt>
                <c:pt idx="9">
                  <c:v>4.585303751832682</c:v>
                </c:pt>
                <c:pt idx="10">
                  <c:v>5.6160145133977259</c:v>
                </c:pt>
                <c:pt idx="11">
                  <c:v>6.8158990008580167</c:v>
                </c:pt>
                <c:pt idx="12">
                  <c:v>8.0086186032441109</c:v>
                </c:pt>
                <c:pt idx="13">
                  <c:v>9.1845319358748956</c:v>
                </c:pt>
                <c:pt idx="14">
                  <c:v>10.339289370700346</c:v>
                </c:pt>
                <c:pt idx="15">
                  <c:v>11.47143502595196</c:v>
                </c:pt>
                <c:pt idx="16">
                  <c:v>12.580360119504519</c:v>
                </c:pt>
                <c:pt idx="17">
                  <c:v>13.666325759488274</c:v>
                </c:pt>
                <c:pt idx="18">
                  <c:v>14.730410449973272</c:v>
                </c:pt>
                <c:pt idx="19">
                  <c:v>15.774532772621932</c:v>
                </c:pt>
                <c:pt idx="20">
                  <c:v>16.801484866874119</c:v>
                </c:pt>
              </c:numCache>
            </c:numRef>
          </c:val>
          <c:smooth val="0"/>
          <c:extLst xmlns:c16r2="http://schemas.microsoft.com/office/drawing/2015/06/chart">
            <c:ext xmlns:c16="http://schemas.microsoft.com/office/drawing/2014/chart" uri="{C3380CC4-5D6E-409C-BE32-E72D297353CC}">
              <c16:uniqueId val="{00000000-CA11-4DC6-8485-51C47A97503E}"/>
            </c:ext>
          </c:extLst>
        </c:ser>
        <c:ser>
          <c:idx val="1"/>
          <c:order val="1"/>
          <c:tx>
            <c:strRef>
              <c:f>Sheet2!$K$27</c:f>
              <c:strCache>
                <c:ptCount val="1"/>
                <c:pt idx="0">
                  <c:v>Unskilled labor</c:v>
                </c:pt>
              </c:strCache>
            </c:strRef>
          </c:tx>
          <c:spPr>
            <a:ln w="9525" cap="rnd">
              <a:solidFill>
                <a:schemeClr val="accent2"/>
              </a:solidFill>
              <a:round/>
            </a:ln>
            <a:effectLst/>
          </c:spPr>
          <c:marker>
            <c:symbol val="circle"/>
            <c:size val="5"/>
            <c:spPr>
              <a:solidFill>
                <a:schemeClr val="accent2"/>
              </a:solidFill>
              <a:ln w="9525">
                <a:solidFill>
                  <a:schemeClr val="accent2"/>
                </a:solidFill>
              </a:ln>
              <a:effectLst/>
            </c:spPr>
          </c:marker>
          <c:cat>
            <c:numRef>
              <c:f>Sheet2!$I$28:$I$48</c:f>
              <c:numCache>
                <c:formatCode>General</c:formatCod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numCache>
            </c:numRef>
          </c:cat>
          <c:val>
            <c:numRef>
              <c:f>Sheet2!$K$28:$K$48</c:f>
              <c:numCache>
                <c:formatCode>General</c:formatCode>
                <c:ptCount val="21"/>
                <c:pt idx="0">
                  <c:v>0</c:v>
                </c:pt>
                <c:pt idx="1">
                  <c:v>-0.42793636413277497</c:v>
                </c:pt>
                <c:pt idx="2">
                  <c:v>0.60227491711484249</c:v>
                </c:pt>
                <c:pt idx="3">
                  <c:v>1.1292873672522854</c:v>
                </c:pt>
                <c:pt idx="4">
                  <c:v>1.0959693369370969</c:v>
                </c:pt>
                <c:pt idx="5">
                  <c:v>1.2311324313302177</c:v>
                </c:pt>
                <c:pt idx="6">
                  <c:v>1.4754946907264084</c:v>
                </c:pt>
                <c:pt idx="7">
                  <c:v>1.8528956614230376</c:v>
                </c:pt>
                <c:pt idx="8">
                  <c:v>2.365516311225746</c:v>
                </c:pt>
                <c:pt idx="9">
                  <c:v>2.964776069502451</c:v>
                </c:pt>
                <c:pt idx="10">
                  <c:v>3.6659629248721126</c:v>
                </c:pt>
                <c:pt idx="11">
                  <c:v>4.6038307669072678</c:v>
                </c:pt>
                <c:pt idx="12">
                  <c:v>5.4957197540620903</c:v>
                </c:pt>
                <c:pt idx="13">
                  <c:v>6.3438625946072866</c:v>
                </c:pt>
                <c:pt idx="14">
                  <c:v>7.1533453638305664</c:v>
                </c:pt>
                <c:pt idx="15">
                  <c:v>7.9296236582478974</c:v>
                </c:pt>
                <c:pt idx="16">
                  <c:v>8.6775410563406474</c:v>
                </c:pt>
                <c:pt idx="17">
                  <c:v>9.4013654760834537</c:v>
                </c:pt>
                <c:pt idx="18">
                  <c:v>10.104865675677585</c:v>
                </c:pt>
                <c:pt idx="19">
                  <c:v>10.791416578112155</c:v>
                </c:pt>
                <c:pt idx="20">
                  <c:v>11.464098110631515</c:v>
                </c:pt>
              </c:numCache>
            </c:numRef>
          </c:val>
          <c:smooth val="0"/>
          <c:extLst xmlns:c16r2="http://schemas.microsoft.com/office/drawing/2015/06/chart">
            <c:ext xmlns:c16="http://schemas.microsoft.com/office/drawing/2014/chart" uri="{C3380CC4-5D6E-409C-BE32-E72D297353CC}">
              <c16:uniqueId val="{00000001-CA11-4DC6-8485-51C47A97503E}"/>
            </c:ext>
          </c:extLst>
        </c:ser>
        <c:ser>
          <c:idx val="2"/>
          <c:order val="2"/>
          <c:tx>
            <c:strRef>
              <c:f>Sheet2!$L$27</c:f>
              <c:strCache>
                <c:ptCount val="1"/>
                <c:pt idx="0">
                  <c:v>Skilled labor</c:v>
                </c:pt>
              </c:strCache>
            </c:strRef>
          </c:tx>
          <c:spPr>
            <a:ln w="9525" cap="rnd">
              <a:solidFill>
                <a:schemeClr val="accent3"/>
              </a:solidFill>
              <a:round/>
            </a:ln>
            <a:effectLst/>
          </c:spPr>
          <c:marker>
            <c:symbol val="diamond"/>
            <c:size val="5"/>
            <c:spPr>
              <a:noFill/>
              <a:ln w="9525">
                <a:solidFill>
                  <a:schemeClr val="accent3"/>
                </a:solidFill>
              </a:ln>
              <a:effectLst/>
            </c:spPr>
          </c:marker>
          <c:cat>
            <c:numRef>
              <c:f>Sheet2!$I$28:$I$48</c:f>
              <c:numCache>
                <c:formatCode>General</c:formatCod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numCache>
            </c:numRef>
          </c:cat>
          <c:val>
            <c:numRef>
              <c:f>Sheet2!$L$28:$L$48</c:f>
              <c:numCache>
                <c:formatCode>General</c:formatCode>
                <c:ptCount val="21"/>
                <c:pt idx="0">
                  <c:v>0</c:v>
                </c:pt>
                <c:pt idx="1">
                  <c:v>-0.37946422772892074</c:v>
                </c:pt>
                <c:pt idx="2">
                  <c:v>0.73785930164764768</c:v>
                </c:pt>
                <c:pt idx="3">
                  <c:v>1.3462644092414155</c:v>
                </c:pt>
                <c:pt idx="4">
                  <c:v>1.3525768616456715</c:v>
                </c:pt>
                <c:pt idx="5">
                  <c:v>1.5382253299493609</c:v>
                </c:pt>
                <c:pt idx="6">
                  <c:v>1.8839820110378991</c:v>
                </c:pt>
                <c:pt idx="7">
                  <c:v>2.370370639098351</c:v>
                </c:pt>
                <c:pt idx="8">
                  <c:v>2.9922782078536598</c:v>
                </c:pt>
                <c:pt idx="9">
                  <c:v>3.7159947693558015</c:v>
                </c:pt>
                <c:pt idx="10">
                  <c:v>4.5497548372568799</c:v>
                </c:pt>
                <c:pt idx="11">
                  <c:v>5.5290998454706095</c:v>
                </c:pt>
                <c:pt idx="12">
                  <c:v>6.4623120157073943</c:v>
                </c:pt>
                <c:pt idx="13">
                  <c:v>7.3513129995659288</c:v>
                </c:pt>
                <c:pt idx="14">
                  <c:v>8.2007111600337552</c:v>
                </c:pt>
                <c:pt idx="15">
                  <c:v>9.0159662631869271</c:v>
                </c:pt>
                <c:pt idx="16">
                  <c:v>9.8017798181874412</c:v>
                </c:pt>
                <c:pt idx="17">
                  <c:v>10.56232497145122</c:v>
                </c:pt>
                <c:pt idx="18">
                  <c:v>11.301318089106239</c:v>
                </c:pt>
                <c:pt idx="19">
                  <c:v>12.022120667438594</c:v>
                </c:pt>
                <c:pt idx="20">
                  <c:v>12.727835351748817</c:v>
                </c:pt>
              </c:numCache>
            </c:numRef>
          </c:val>
          <c:smooth val="0"/>
          <c:extLst xmlns:c16r2="http://schemas.microsoft.com/office/drawing/2015/06/chart">
            <c:ext xmlns:c16="http://schemas.microsoft.com/office/drawing/2014/chart" uri="{C3380CC4-5D6E-409C-BE32-E72D297353CC}">
              <c16:uniqueId val="{00000002-CA11-4DC6-8485-51C47A97503E}"/>
            </c:ext>
          </c:extLst>
        </c:ser>
        <c:ser>
          <c:idx val="3"/>
          <c:order val="3"/>
          <c:tx>
            <c:strRef>
              <c:f>Sheet2!$M$27</c:f>
              <c:strCache>
                <c:ptCount val="1"/>
                <c:pt idx="0">
                  <c:v>High-skilled labor</c:v>
                </c:pt>
              </c:strCache>
            </c:strRef>
          </c:tx>
          <c:spPr>
            <a:ln w="9525" cap="rnd">
              <a:solidFill>
                <a:schemeClr val="accent4"/>
              </a:solidFill>
              <a:round/>
            </a:ln>
            <a:effectLst/>
          </c:spPr>
          <c:marker>
            <c:symbol val="x"/>
            <c:size val="5"/>
            <c:spPr>
              <a:solidFill>
                <a:schemeClr val="accent4"/>
              </a:solidFill>
              <a:ln w="9525">
                <a:solidFill>
                  <a:schemeClr val="accent4"/>
                </a:solidFill>
              </a:ln>
              <a:effectLst/>
            </c:spPr>
          </c:marker>
          <c:cat>
            <c:numRef>
              <c:f>Sheet2!$I$28:$I$48</c:f>
              <c:numCache>
                <c:formatCode>General</c:formatCod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numCache>
            </c:numRef>
          </c:cat>
          <c:val>
            <c:numRef>
              <c:f>Sheet2!$M$28:$M$48</c:f>
              <c:numCache>
                <c:formatCode>General</c:formatCode>
                <c:ptCount val="21"/>
                <c:pt idx="0">
                  <c:v>0</c:v>
                </c:pt>
                <c:pt idx="1">
                  <c:v>0.91787980148247972</c:v>
                </c:pt>
                <c:pt idx="2">
                  <c:v>2.0568122630670644</c:v>
                </c:pt>
                <c:pt idx="3">
                  <c:v>2.677366642377633</c:v>
                </c:pt>
                <c:pt idx="4">
                  <c:v>3.1204536153009999</c:v>
                </c:pt>
                <c:pt idx="5">
                  <c:v>3.8014793403800207</c:v>
                </c:pt>
                <c:pt idx="6">
                  <c:v>4.8125740721721266</c:v>
                </c:pt>
                <c:pt idx="7">
                  <c:v>6.0084660583840543</c:v>
                </c:pt>
                <c:pt idx="8">
                  <c:v>7.3651024190124472</c:v>
                </c:pt>
                <c:pt idx="9">
                  <c:v>8.9314639519251671</c:v>
                </c:pt>
                <c:pt idx="10">
                  <c:v>10.687340039422446</c:v>
                </c:pt>
                <c:pt idx="11">
                  <c:v>12.251020063435968</c:v>
                </c:pt>
                <c:pt idx="12">
                  <c:v>13.841063621189507</c:v>
                </c:pt>
                <c:pt idx="13">
                  <c:v>15.439738636524238</c:v>
                </c:pt>
                <c:pt idx="14">
                  <c:v>17.03936161842017</c:v>
                </c:pt>
                <c:pt idx="15">
                  <c:v>18.635029945317491</c:v>
                </c:pt>
                <c:pt idx="16">
                  <c:v>20.224362023997202</c:v>
                </c:pt>
                <c:pt idx="17">
                  <c:v>21.806236808395525</c:v>
                </c:pt>
                <c:pt idx="18">
                  <c:v>23.380481618603241</c:v>
                </c:pt>
                <c:pt idx="19">
                  <c:v>24.947752534678155</c:v>
                </c:pt>
                <c:pt idx="20">
                  <c:v>26.509514194462415</c:v>
                </c:pt>
              </c:numCache>
            </c:numRef>
          </c:val>
          <c:smooth val="0"/>
          <c:extLst xmlns:c16r2="http://schemas.microsoft.com/office/drawing/2015/06/chart">
            <c:ext xmlns:c16="http://schemas.microsoft.com/office/drawing/2014/chart" uri="{C3380CC4-5D6E-409C-BE32-E72D297353CC}">
              <c16:uniqueId val="{00000003-CA11-4DC6-8485-51C47A97503E}"/>
            </c:ext>
          </c:extLst>
        </c:ser>
        <c:ser>
          <c:idx val="4"/>
          <c:order val="4"/>
          <c:tx>
            <c:strRef>
              <c:f>Sheet2!$N$27</c:f>
              <c:strCache>
                <c:ptCount val="1"/>
                <c:pt idx="0">
                  <c:v>Knowledge</c:v>
                </c:pt>
              </c:strCache>
            </c:strRef>
          </c:tx>
          <c:spPr>
            <a:ln w="9525" cap="rnd">
              <a:solidFill>
                <a:schemeClr val="accent5"/>
              </a:solidFill>
              <a:round/>
            </a:ln>
            <a:effectLst/>
          </c:spPr>
          <c:marker>
            <c:symbol val="circle"/>
            <c:size val="5"/>
            <c:spPr>
              <a:noFill/>
              <a:ln w="9525">
                <a:solidFill>
                  <a:schemeClr val="accent5"/>
                </a:solidFill>
              </a:ln>
              <a:effectLst/>
            </c:spPr>
          </c:marker>
          <c:cat>
            <c:numRef>
              <c:f>Sheet2!$I$28:$I$48</c:f>
              <c:numCache>
                <c:formatCode>General</c:formatCod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numCache>
            </c:numRef>
          </c:cat>
          <c:val>
            <c:numRef>
              <c:f>Sheet2!$N$28:$N$48</c:f>
              <c:numCache>
                <c:formatCode>General</c:formatCode>
                <c:ptCount val="21"/>
                <c:pt idx="0">
                  <c:v>0</c:v>
                </c:pt>
                <c:pt idx="1">
                  <c:v>1.3343668888582405</c:v>
                </c:pt>
                <c:pt idx="2">
                  <c:v>3.7462626509938475</c:v>
                </c:pt>
                <c:pt idx="3">
                  <c:v>5.6372424041819089</c:v>
                </c:pt>
                <c:pt idx="4">
                  <c:v>6.2962038166116905</c:v>
                </c:pt>
                <c:pt idx="5">
                  <c:v>7.1769316362084936</c:v>
                </c:pt>
                <c:pt idx="6">
                  <c:v>9.1229152153564197</c:v>
                </c:pt>
                <c:pt idx="7">
                  <c:v>11.146169387768554</c:v>
                </c:pt>
                <c:pt idx="8">
                  <c:v>13.099087225188379</c:v>
                </c:pt>
                <c:pt idx="9">
                  <c:v>15.291973250590747</c:v>
                </c:pt>
                <c:pt idx="10">
                  <c:v>17.59481666848664</c:v>
                </c:pt>
                <c:pt idx="11">
                  <c:v>18.188464395643482</c:v>
                </c:pt>
                <c:pt idx="12">
                  <c:v>18.839891836798596</c:v>
                </c:pt>
                <c:pt idx="13">
                  <c:v>19.563387686841224</c:v>
                </c:pt>
                <c:pt idx="14">
                  <c:v>20.356530320587105</c:v>
                </c:pt>
                <c:pt idx="15">
                  <c:v>21.211681445397534</c:v>
                </c:pt>
                <c:pt idx="16">
                  <c:v>22.118159051073949</c:v>
                </c:pt>
                <c:pt idx="17">
                  <c:v>23.064244084601189</c:v>
                </c:pt>
                <c:pt idx="18">
                  <c:v>24.037662854153787</c:v>
                </c:pt>
                <c:pt idx="19">
                  <c:v>25.025644264812392</c:v>
                </c:pt>
                <c:pt idx="20">
                  <c:v>26.014812716841387</c:v>
                </c:pt>
              </c:numCache>
            </c:numRef>
          </c:val>
          <c:smooth val="0"/>
          <c:extLst xmlns:c16r2="http://schemas.microsoft.com/office/drawing/2015/06/chart">
            <c:ext xmlns:c16="http://schemas.microsoft.com/office/drawing/2014/chart" uri="{C3380CC4-5D6E-409C-BE32-E72D297353CC}">
              <c16:uniqueId val="{00000004-CA11-4DC6-8485-51C47A97503E}"/>
            </c:ext>
          </c:extLst>
        </c:ser>
        <c:dLbls>
          <c:showLegendKey val="0"/>
          <c:showVal val="0"/>
          <c:showCatName val="0"/>
          <c:showSerName val="0"/>
          <c:showPercent val="0"/>
          <c:showBubbleSize val="0"/>
        </c:dLbls>
        <c:marker val="1"/>
        <c:smooth val="0"/>
        <c:axId val="463141888"/>
        <c:axId val="463142448"/>
      </c:lineChart>
      <c:catAx>
        <c:axId val="463141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ko-KR"/>
          </a:p>
        </c:txPr>
        <c:crossAx val="463142448"/>
        <c:crosses val="autoZero"/>
        <c:auto val="1"/>
        <c:lblAlgn val="ctr"/>
        <c:lblOffset val="100"/>
        <c:noMultiLvlLbl val="0"/>
      </c:catAx>
      <c:valAx>
        <c:axId val="463142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ko-KR"/>
          </a:p>
        </c:txPr>
        <c:crossAx val="46314188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ko-K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'가계 소득'!$D$115</c:f>
              <c:strCache>
                <c:ptCount val="1"/>
                <c:pt idx="0">
                  <c:v>BAU</c:v>
                </c:pt>
              </c:strCache>
            </c:strRef>
          </c:tx>
          <c:spPr>
            <a:ln w="9525" cap="rnd">
              <a:solidFill>
                <a:schemeClr val="bg2">
                  <a:lumMod val="75000"/>
                </a:schemeClr>
              </a:solidFill>
              <a:round/>
            </a:ln>
            <a:effectLst/>
          </c:spPr>
          <c:marker>
            <c:symbol val="triangle"/>
            <c:size val="5"/>
            <c:spPr>
              <a:solidFill>
                <a:schemeClr val="bg1">
                  <a:lumMod val="85000"/>
                </a:schemeClr>
              </a:solidFill>
              <a:ln w="9525">
                <a:solidFill>
                  <a:schemeClr val="bg2">
                    <a:lumMod val="75000"/>
                  </a:schemeClr>
                </a:solidFill>
              </a:ln>
              <a:effectLst/>
            </c:spPr>
          </c:marker>
          <c:dLbls>
            <c:dLbl>
              <c:idx val="20"/>
              <c:layout>
                <c:manualLayout>
                  <c:x val="0"/>
                  <c:y val="-4.4776119402985079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ko-KR"/>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C06-4924-893B-8749A98D757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ko-K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'가계 소득'!$C$116:$C$136</c:f>
              <c:numCache>
                <c:formatCode>General</c:formatCod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numCache>
            </c:numRef>
          </c:cat>
          <c:val>
            <c:numRef>
              <c:f>'가계 소득'!$D$116:$D$136</c:f>
              <c:numCache>
                <c:formatCode>0.00%</c:formatCode>
                <c:ptCount val="21"/>
                <c:pt idx="0">
                  <c:v>0.25843954579083234</c:v>
                </c:pt>
                <c:pt idx="1">
                  <c:v>0.25872212025800534</c:v>
                </c:pt>
                <c:pt idx="2">
                  <c:v>0.25905255885515682</c:v>
                </c:pt>
                <c:pt idx="3">
                  <c:v>0.25935703929029408</c:v>
                </c:pt>
                <c:pt idx="4">
                  <c:v>0.25958685525299441</c:v>
                </c:pt>
                <c:pt idx="5">
                  <c:v>0.25980122722225124</c:v>
                </c:pt>
                <c:pt idx="6">
                  <c:v>0.25999702456378126</c:v>
                </c:pt>
                <c:pt idx="7">
                  <c:v>0.26017277514519971</c:v>
                </c:pt>
                <c:pt idx="8">
                  <c:v>0.26032775246478779</c:v>
                </c:pt>
                <c:pt idx="9">
                  <c:v>0.26046178983232421</c:v>
                </c:pt>
                <c:pt idx="10">
                  <c:v>0.26057514631543682</c:v>
                </c:pt>
                <c:pt idx="11">
                  <c:v>0.26066900939327314</c:v>
                </c:pt>
                <c:pt idx="12">
                  <c:v>0.26074355722298215</c:v>
                </c:pt>
                <c:pt idx="13">
                  <c:v>0.26080039137832411</c:v>
                </c:pt>
                <c:pt idx="14">
                  <c:v>0.26083937741011293</c:v>
                </c:pt>
                <c:pt idx="15">
                  <c:v>0.26086293893117368</c:v>
                </c:pt>
                <c:pt idx="16">
                  <c:v>0.26087224554841337</c:v>
                </c:pt>
                <c:pt idx="17">
                  <c:v>0.26086845466452369</c:v>
                </c:pt>
                <c:pt idx="18">
                  <c:v>0.26085267897299014</c:v>
                </c:pt>
                <c:pt idx="19">
                  <c:v>0.26082595759416299</c:v>
                </c:pt>
                <c:pt idx="20">
                  <c:v>0.26078923102748575</c:v>
                </c:pt>
              </c:numCache>
            </c:numRef>
          </c:val>
          <c:smooth val="0"/>
          <c:extLst xmlns:c16r2="http://schemas.microsoft.com/office/drawing/2015/06/chart">
            <c:ext xmlns:c16="http://schemas.microsoft.com/office/drawing/2014/chart" uri="{C3380CC4-5D6E-409C-BE32-E72D297353CC}">
              <c16:uniqueId val="{00000001-DC06-4924-893B-8749A98D7574}"/>
            </c:ext>
          </c:extLst>
        </c:ser>
        <c:ser>
          <c:idx val="1"/>
          <c:order val="1"/>
          <c:tx>
            <c:strRef>
              <c:f>'가계 소득'!$E$115</c:f>
              <c:strCache>
                <c:ptCount val="1"/>
                <c:pt idx="0">
                  <c:v>SCN1</c:v>
                </c:pt>
              </c:strCache>
            </c:strRef>
          </c:tx>
          <c:spPr>
            <a:ln w="9525" cap="rnd">
              <a:solidFill>
                <a:schemeClr val="accent1">
                  <a:lumMod val="75000"/>
                </a:schemeClr>
              </a:solidFill>
              <a:round/>
            </a:ln>
            <a:effectLst/>
          </c:spPr>
          <c:marker>
            <c:symbol val="circle"/>
            <c:size val="5"/>
            <c:spPr>
              <a:solidFill>
                <a:schemeClr val="accent1">
                  <a:lumMod val="75000"/>
                </a:schemeClr>
              </a:solidFill>
              <a:ln w="9525">
                <a:solidFill>
                  <a:schemeClr val="accent1">
                    <a:lumMod val="75000"/>
                  </a:schemeClr>
                </a:solidFill>
              </a:ln>
              <a:effectLst/>
            </c:spPr>
          </c:marker>
          <c:dLbls>
            <c:dLbl>
              <c:idx val="20"/>
              <c:layout>
                <c:manualLayout>
                  <c:x val="0"/>
                  <c:y val="4.477611940298503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ko-KR"/>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C06-4924-893B-8749A98D757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ko-K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'가계 소득'!$C$116:$C$136</c:f>
              <c:numCache>
                <c:formatCode>General</c:formatCod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numCache>
            </c:numRef>
          </c:cat>
          <c:val>
            <c:numRef>
              <c:f>'가계 소득'!$E$116:$E$136</c:f>
              <c:numCache>
                <c:formatCode>0.00%</c:formatCode>
                <c:ptCount val="21"/>
                <c:pt idx="0">
                  <c:v>0.25843954773927419</c:v>
                </c:pt>
                <c:pt idx="1">
                  <c:v>0.25872654399770734</c:v>
                </c:pt>
                <c:pt idx="2">
                  <c:v>0.25900281077997067</c:v>
                </c:pt>
                <c:pt idx="3">
                  <c:v>0.25925222544081378</c:v>
                </c:pt>
                <c:pt idx="4">
                  <c:v>0.25947661992643978</c:v>
                </c:pt>
                <c:pt idx="5">
                  <c:v>0.25967809289128047</c:v>
                </c:pt>
                <c:pt idx="6">
                  <c:v>0.25985725550954525</c:v>
                </c:pt>
                <c:pt idx="7">
                  <c:v>0.26001522480814221</c:v>
                </c:pt>
                <c:pt idx="8">
                  <c:v>0.2601530226657382</c:v>
                </c:pt>
                <c:pt idx="9">
                  <c:v>0.2602716138186526</c:v>
                </c:pt>
                <c:pt idx="10">
                  <c:v>0.26037193270938985</c:v>
                </c:pt>
                <c:pt idx="11">
                  <c:v>0.26045550615377744</c:v>
                </c:pt>
                <c:pt idx="12">
                  <c:v>0.26052261277363442</c:v>
                </c:pt>
                <c:pt idx="13">
                  <c:v>0.2605747831172206</c:v>
                </c:pt>
                <c:pt idx="14">
                  <c:v>0.26061170516437221</c:v>
                </c:pt>
                <c:pt idx="15">
                  <c:v>0.26063555619500378</c:v>
                </c:pt>
                <c:pt idx="16">
                  <c:v>0.26064723494991615</c:v>
                </c:pt>
                <c:pt idx="17">
                  <c:v>0.26064763002811187</c:v>
                </c:pt>
                <c:pt idx="18">
                  <c:v>0.26063761093376225</c:v>
                </c:pt>
                <c:pt idx="19">
                  <c:v>0.26061801770722259</c:v>
                </c:pt>
                <c:pt idx="20">
                  <c:v>0.26058964958026182</c:v>
                </c:pt>
              </c:numCache>
            </c:numRef>
          </c:val>
          <c:smooth val="0"/>
          <c:extLst xmlns:c16r2="http://schemas.microsoft.com/office/drawing/2015/06/chart">
            <c:ext xmlns:c16="http://schemas.microsoft.com/office/drawing/2014/chart" uri="{C3380CC4-5D6E-409C-BE32-E72D297353CC}">
              <c16:uniqueId val="{00000003-DC06-4924-893B-8749A98D7574}"/>
            </c:ext>
          </c:extLst>
        </c:ser>
        <c:ser>
          <c:idx val="2"/>
          <c:order val="2"/>
          <c:tx>
            <c:strRef>
              <c:f>'가계 소득'!$F$115</c:f>
              <c:strCache>
                <c:ptCount val="1"/>
                <c:pt idx="0">
                  <c:v>SCN2</c:v>
                </c:pt>
              </c:strCache>
            </c:strRef>
          </c:tx>
          <c:spPr>
            <a:ln w="9525" cap="rnd">
              <a:solidFill>
                <a:schemeClr val="accent2"/>
              </a:solidFill>
              <a:round/>
            </a:ln>
            <a:effectLst/>
          </c:spPr>
          <c:marker>
            <c:symbol val="square"/>
            <c:size val="5"/>
            <c:spPr>
              <a:noFill/>
              <a:ln w="9525">
                <a:solidFill>
                  <a:schemeClr val="accent2"/>
                </a:solidFill>
              </a:ln>
              <a:effectLst/>
            </c:spPr>
          </c:marker>
          <c:dLbls>
            <c:dLbl>
              <c:idx val="20"/>
              <c:layout>
                <c:manualLayout>
                  <c:x val="0"/>
                  <c:y val="-4.4776119402985093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ko-KR"/>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DC06-4924-893B-8749A98D757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ko-K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'가계 소득'!$C$116:$C$136</c:f>
              <c:numCache>
                <c:formatCode>General</c:formatCod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numCache>
            </c:numRef>
          </c:cat>
          <c:val>
            <c:numRef>
              <c:f>'가계 소득'!$F$116:$F$136</c:f>
              <c:numCache>
                <c:formatCode>0.00%</c:formatCode>
                <c:ptCount val="21"/>
                <c:pt idx="0">
                  <c:v>0.25843954579083234</c:v>
                </c:pt>
                <c:pt idx="1">
                  <c:v>0.2588417523464917</c:v>
                </c:pt>
                <c:pt idx="2">
                  <c:v>0.25914890489575482</c:v>
                </c:pt>
                <c:pt idx="3">
                  <c:v>0.25944006383725438</c:v>
                </c:pt>
                <c:pt idx="4">
                  <c:v>0.25971324317369343</c:v>
                </c:pt>
                <c:pt idx="5">
                  <c:v>0.25997453833717105</c:v>
                </c:pt>
                <c:pt idx="6">
                  <c:v>0.26022613580668286</c:v>
                </c:pt>
                <c:pt idx="7">
                  <c:v>0.26046146711278784</c:v>
                </c:pt>
                <c:pt idx="8">
                  <c:v>0.26067858998160787</c:v>
                </c:pt>
                <c:pt idx="9">
                  <c:v>0.26088306138483108</c:v>
                </c:pt>
                <c:pt idx="10">
                  <c:v>0.26107267408822959</c:v>
                </c:pt>
                <c:pt idx="11">
                  <c:v>0.26122045799740762</c:v>
                </c:pt>
                <c:pt idx="12">
                  <c:v>0.2613549487817059</c:v>
                </c:pt>
                <c:pt idx="13">
                  <c:v>0.2614754094326861</c:v>
                </c:pt>
                <c:pt idx="14">
                  <c:v>0.26158010917667518</c:v>
                </c:pt>
                <c:pt idx="15">
                  <c:v>0.26167033373010995</c:v>
                </c:pt>
                <c:pt idx="16">
                  <c:v>0.26174644971950989</c:v>
                </c:pt>
                <c:pt idx="17">
                  <c:v>0.2618090648868806</c:v>
                </c:pt>
                <c:pt idx="18">
                  <c:v>0.2618589491529279</c:v>
                </c:pt>
                <c:pt idx="19">
                  <c:v>0.26189697600173201</c:v>
                </c:pt>
                <c:pt idx="20">
                  <c:v>0.26192407696267472</c:v>
                </c:pt>
              </c:numCache>
            </c:numRef>
          </c:val>
          <c:smooth val="0"/>
          <c:extLst xmlns:c16r2="http://schemas.microsoft.com/office/drawing/2015/06/chart">
            <c:ext xmlns:c16="http://schemas.microsoft.com/office/drawing/2014/chart" uri="{C3380CC4-5D6E-409C-BE32-E72D297353CC}">
              <c16:uniqueId val="{00000005-DC06-4924-893B-8749A98D7574}"/>
            </c:ext>
          </c:extLst>
        </c:ser>
        <c:dLbls>
          <c:showLegendKey val="0"/>
          <c:showVal val="0"/>
          <c:showCatName val="0"/>
          <c:showSerName val="0"/>
          <c:showPercent val="0"/>
          <c:showBubbleSize val="0"/>
        </c:dLbls>
        <c:marker val="1"/>
        <c:smooth val="0"/>
        <c:axId val="622398560"/>
        <c:axId val="622399120"/>
      </c:lineChart>
      <c:catAx>
        <c:axId val="622398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ko-KR"/>
          </a:p>
        </c:txPr>
        <c:crossAx val="622399120"/>
        <c:crosses val="autoZero"/>
        <c:auto val="1"/>
        <c:lblAlgn val="ctr"/>
        <c:lblOffset val="100"/>
        <c:noMultiLvlLbl val="0"/>
      </c:catAx>
      <c:valAx>
        <c:axId val="622399120"/>
        <c:scaling>
          <c:orientation val="minMax"/>
          <c:min val="0.2580000000000000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ko-KR"/>
          </a:p>
        </c:txPr>
        <c:crossAx val="622398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ko-K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'가계 소득'!$D$139</c:f>
              <c:strCache>
                <c:ptCount val="1"/>
                <c:pt idx="0">
                  <c:v>BAU</c:v>
                </c:pt>
              </c:strCache>
            </c:strRef>
          </c:tx>
          <c:spPr>
            <a:ln w="9525" cap="rnd">
              <a:solidFill>
                <a:schemeClr val="bg1">
                  <a:lumMod val="65000"/>
                </a:schemeClr>
              </a:solidFill>
              <a:round/>
            </a:ln>
            <a:effectLst/>
          </c:spPr>
          <c:marker>
            <c:symbol val="triangle"/>
            <c:size val="5"/>
            <c:spPr>
              <a:solidFill>
                <a:schemeClr val="bg1">
                  <a:lumMod val="85000"/>
                </a:schemeClr>
              </a:solidFill>
              <a:ln w="9525">
                <a:solidFill>
                  <a:schemeClr val="bg1">
                    <a:lumMod val="65000"/>
                  </a:schemeClr>
                </a:solidFill>
              </a:ln>
              <a:effectLst/>
            </c:spPr>
          </c:marker>
          <c:dLbls>
            <c:dLbl>
              <c:idx val="20"/>
              <c:layout>
                <c:manualLayout>
                  <c:x val="-1.1348264653388295E-16"/>
                  <c:y val="6.4046579330422015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ko-KR"/>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F2E-45A8-8281-F9A4731CC0F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ko-K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'가계 소득'!$C$140:$C$160</c:f>
              <c:numCache>
                <c:formatCode>General</c:formatCod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numCache>
            </c:numRef>
          </c:cat>
          <c:val>
            <c:numRef>
              <c:f>'가계 소득'!$D$140:$D$160</c:f>
              <c:numCache>
                <c:formatCode>0.00%</c:formatCode>
                <c:ptCount val="21"/>
                <c:pt idx="0">
                  <c:v>0.17299297743399544</c:v>
                </c:pt>
                <c:pt idx="1">
                  <c:v>0.17289493337960871</c:v>
                </c:pt>
                <c:pt idx="2">
                  <c:v>0.17277898202945768</c:v>
                </c:pt>
                <c:pt idx="3">
                  <c:v>0.17267305942124891</c:v>
                </c:pt>
                <c:pt idx="4">
                  <c:v>0.17259576359401238</c:v>
                </c:pt>
                <c:pt idx="5">
                  <c:v>0.17252420137990884</c:v>
                </c:pt>
                <c:pt idx="6">
                  <c:v>0.17245944561953888</c:v>
                </c:pt>
                <c:pt idx="7">
                  <c:v>0.17240198277617044</c:v>
                </c:pt>
                <c:pt idx="8">
                  <c:v>0.17235203032213461</c:v>
                </c:pt>
                <c:pt idx="9">
                  <c:v>0.17230960320896671</c:v>
                </c:pt>
                <c:pt idx="10">
                  <c:v>0.17227456261761984</c:v>
                </c:pt>
                <c:pt idx="11">
                  <c:v>0.17224644327405841</c:v>
                </c:pt>
                <c:pt idx="12">
                  <c:v>0.1722251291937677</c:v>
                </c:pt>
                <c:pt idx="13">
                  <c:v>0.17221000977933471</c:v>
                </c:pt>
                <c:pt idx="14">
                  <c:v>0.17220107859357286</c:v>
                </c:pt>
                <c:pt idx="15">
                  <c:v>0.17219744572404985</c:v>
                </c:pt>
                <c:pt idx="16">
                  <c:v>0.1721986614367072</c:v>
                </c:pt>
                <c:pt idx="17">
                  <c:v>0.17220428683959477</c:v>
                </c:pt>
                <c:pt idx="18">
                  <c:v>0.1722139064829864</c:v>
                </c:pt>
                <c:pt idx="19">
                  <c:v>0.17222713946291021</c:v>
                </c:pt>
                <c:pt idx="20">
                  <c:v>0.17224364890925953</c:v>
                </c:pt>
              </c:numCache>
            </c:numRef>
          </c:val>
          <c:smooth val="0"/>
          <c:extLst xmlns:c16r2="http://schemas.microsoft.com/office/drawing/2015/06/chart">
            <c:ext xmlns:c16="http://schemas.microsoft.com/office/drawing/2014/chart" uri="{C3380CC4-5D6E-409C-BE32-E72D297353CC}">
              <c16:uniqueId val="{00000001-0F2E-45A8-8281-F9A4731CC0F1}"/>
            </c:ext>
          </c:extLst>
        </c:ser>
        <c:ser>
          <c:idx val="1"/>
          <c:order val="1"/>
          <c:tx>
            <c:strRef>
              <c:f>'가계 소득'!$E$139</c:f>
              <c:strCache>
                <c:ptCount val="1"/>
                <c:pt idx="0">
                  <c:v>SCN1</c:v>
                </c:pt>
              </c:strCache>
            </c:strRef>
          </c:tx>
          <c:spPr>
            <a:ln w="9525" cap="rnd">
              <a:solidFill>
                <a:schemeClr val="accent1">
                  <a:lumMod val="75000"/>
                </a:schemeClr>
              </a:solidFill>
              <a:round/>
            </a:ln>
            <a:effectLst/>
          </c:spPr>
          <c:marker>
            <c:symbol val="circle"/>
            <c:size val="5"/>
            <c:spPr>
              <a:solidFill>
                <a:schemeClr val="accent1">
                  <a:lumMod val="75000"/>
                </a:schemeClr>
              </a:solidFill>
              <a:ln w="9525">
                <a:solidFill>
                  <a:schemeClr val="accent1">
                    <a:lumMod val="75000"/>
                  </a:schemeClr>
                </a:solidFill>
              </a:ln>
              <a:effectLst/>
            </c:spPr>
          </c:marker>
          <c:dLbls>
            <c:dLbl>
              <c:idx val="20"/>
              <c:layout>
                <c:manualLayout>
                  <c:x val="-1.1348264653388305E-16"/>
                  <c:y val="-4.6579330422125226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ko-KR"/>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F2E-45A8-8281-F9A4731CC0F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ko-K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'가계 소득'!$C$140:$C$160</c:f>
              <c:numCache>
                <c:formatCode>General</c:formatCod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numCache>
            </c:numRef>
          </c:cat>
          <c:val>
            <c:numRef>
              <c:f>'가계 소득'!$E$140:$E$160</c:f>
              <c:numCache>
                <c:formatCode>0.00%</c:formatCode>
                <c:ptCount val="21"/>
                <c:pt idx="0">
                  <c:v>0.17299297685894871</c:v>
                </c:pt>
                <c:pt idx="1">
                  <c:v>0.17289347020671625</c:v>
                </c:pt>
                <c:pt idx="2">
                  <c:v>0.17279815572146445</c:v>
                </c:pt>
                <c:pt idx="3">
                  <c:v>0.17271267888040567</c:v>
                </c:pt>
                <c:pt idx="4">
                  <c:v>0.1726363483192542</c:v>
                </c:pt>
                <c:pt idx="5">
                  <c:v>0.17256838674471445</c:v>
                </c:pt>
                <c:pt idx="6">
                  <c:v>0.17250854239265428</c:v>
                </c:pt>
                <c:pt idx="7">
                  <c:v>0.17245638726913326</c:v>
                </c:pt>
                <c:pt idx="8">
                  <c:v>0.17241152730598916</c:v>
                </c:pt>
                <c:pt idx="9">
                  <c:v>0.17237358831535177</c:v>
                </c:pt>
                <c:pt idx="10">
                  <c:v>0.17234220620497598</c:v>
                </c:pt>
                <c:pt idx="11">
                  <c:v>0.17231681038642069</c:v>
                </c:pt>
                <c:pt idx="12">
                  <c:v>0.17229726402373408</c:v>
                </c:pt>
                <c:pt idx="13">
                  <c:v>0.1722829949862458</c:v>
                </c:pt>
                <c:pt idx="14">
                  <c:v>0.17227407107617881</c:v>
                </c:pt>
                <c:pt idx="15">
                  <c:v>0.1722696976300058</c:v>
                </c:pt>
                <c:pt idx="16">
                  <c:v>0.17226952562049427</c:v>
                </c:pt>
                <c:pt idx="17">
                  <c:v>0.17227321214030603</c:v>
                </c:pt>
                <c:pt idx="18">
                  <c:v>0.17228042435127153</c:v>
                </c:pt>
                <c:pt idx="19">
                  <c:v>0.1722908438968298</c:v>
                </c:pt>
                <c:pt idx="20">
                  <c:v>0.17230417160324366</c:v>
                </c:pt>
              </c:numCache>
            </c:numRef>
          </c:val>
          <c:smooth val="0"/>
          <c:extLst xmlns:c16r2="http://schemas.microsoft.com/office/drawing/2015/06/chart">
            <c:ext xmlns:c16="http://schemas.microsoft.com/office/drawing/2014/chart" uri="{C3380CC4-5D6E-409C-BE32-E72D297353CC}">
              <c16:uniqueId val="{00000003-0F2E-45A8-8281-F9A4731CC0F1}"/>
            </c:ext>
          </c:extLst>
        </c:ser>
        <c:ser>
          <c:idx val="2"/>
          <c:order val="2"/>
          <c:tx>
            <c:strRef>
              <c:f>'가계 소득'!$F$139</c:f>
              <c:strCache>
                <c:ptCount val="1"/>
                <c:pt idx="0">
                  <c:v>SCN2</c:v>
                </c:pt>
              </c:strCache>
            </c:strRef>
          </c:tx>
          <c:spPr>
            <a:ln w="9525" cap="rnd">
              <a:solidFill>
                <a:schemeClr val="accent2">
                  <a:lumMod val="75000"/>
                </a:schemeClr>
              </a:solidFill>
              <a:round/>
            </a:ln>
            <a:effectLst/>
          </c:spPr>
          <c:marker>
            <c:symbol val="square"/>
            <c:size val="5"/>
            <c:spPr>
              <a:noFill/>
              <a:ln w="9525">
                <a:solidFill>
                  <a:schemeClr val="accent2">
                    <a:lumMod val="75000"/>
                  </a:schemeClr>
                </a:solidFill>
              </a:ln>
              <a:effectLst/>
            </c:spPr>
          </c:marker>
          <c:dLbls>
            <c:dLbl>
              <c:idx val="20"/>
              <c:layout>
                <c:manualLayout>
                  <c:x val="-3.0950170225937379E-3"/>
                  <c:y val="4.0756914119359534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ko-KR"/>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0F2E-45A8-8281-F9A4731CC0F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ko-K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'가계 소득'!$C$140:$C$160</c:f>
              <c:numCache>
                <c:formatCode>General</c:formatCod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numCache>
            </c:numRef>
          </c:cat>
          <c:val>
            <c:numRef>
              <c:f>'가계 소득'!$F$140:$F$160</c:f>
              <c:numCache>
                <c:formatCode>0.00%</c:formatCode>
                <c:ptCount val="21"/>
                <c:pt idx="0">
                  <c:v>0.17299297743399544</c:v>
                </c:pt>
                <c:pt idx="1">
                  <c:v>0.17285393914451938</c:v>
                </c:pt>
                <c:pt idx="2">
                  <c:v>0.17274990756618344</c:v>
                </c:pt>
                <c:pt idx="3">
                  <c:v>0.1726516142076982</c:v>
                </c:pt>
                <c:pt idx="4">
                  <c:v>0.17255972769548084</c:v>
                </c:pt>
                <c:pt idx="5">
                  <c:v>0.17247261479312376</c:v>
                </c:pt>
                <c:pt idx="6">
                  <c:v>0.17239086795907824</c:v>
                </c:pt>
                <c:pt idx="7">
                  <c:v>0.17231513105146021</c:v>
                </c:pt>
                <c:pt idx="8">
                  <c:v>0.17224578971051169</c:v>
                </c:pt>
                <c:pt idx="9">
                  <c:v>0.17218134574318497</c:v>
                </c:pt>
                <c:pt idx="10">
                  <c:v>0.17212229781739347</c:v>
                </c:pt>
                <c:pt idx="11">
                  <c:v>0.17207495729983041</c:v>
                </c:pt>
                <c:pt idx="12">
                  <c:v>0.17203232445070354</c:v>
                </c:pt>
                <c:pt idx="13">
                  <c:v>0.17199465976854877</c:v>
                </c:pt>
                <c:pt idx="14">
                  <c:v>0.17196254071617176</c:v>
                </c:pt>
                <c:pt idx="15">
                  <c:v>0.17193548459514285</c:v>
                </c:pt>
                <c:pt idx="16">
                  <c:v>0.17191332267089307</c:v>
                </c:pt>
                <c:pt idx="17">
                  <c:v>0.17189580099606672</c:v>
                </c:pt>
                <c:pt idx="18">
                  <c:v>0.17188261012487396</c:v>
                </c:pt>
                <c:pt idx="19">
                  <c:v>0.17187340703020285</c:v>
                </c:pt>
                <c:pt idx="20">
                  <c:v>0.17186783209431883</c:v>
                </c:pt>
              </c:numCache>
            </c:numRef>
          </c:val>
          <c:smooth val="0"/>
          <c:extLst xmlns:c16r2="http://schemas.microsoft.com/office/drawing/2015/06/chart">
            <c:ext xmlns:c16="http://schemas.microsoft.com/office/drawing/2014/chart" uri="{C3380CC4-5D6E-409C-BE32-E72D297353CC}">
              <c16:uniqueId val="{00000005-0F2E-45A8-8281-F9A4731CC0F1}"/>
            </c:ext>
          </c:extLst>
        </c:ser>
        <c:dLbls>
          <c:showLegendKey val="0"/>
          <c:showVal val="0"/>
          <c:showCatName val="0"/>
          <c:showSerName val="0"/>
          <c:showPercent val="0"/>
          <c:showBubbleSize val="0"/>
        </c:dLbls>
        <c:marker val="1"/>
        <c:smooth val="0"/>
        <c:axId val="461658304"/>
        <c:axId val="461658864"/>
      </c:lineChart>
      <c:catAx>
        <c:axId val="461658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ko-KR"/>
          </a:p>
        </c:txPr>
        <c:crossAx val="461658864"/>
        <c:crosses val="autoZero"/>
        <c:auto val="1"/>
        <c:lblAlgn val="ctr"/>
        <c:lblOffset val="100"/>
        <c:noMultiLvlLbl val="0"/>
      </c:catAx>
      <c:valAx>
        <c:axId val="461658864"/>
        <c:scaling>
          <c:orientation val="minMax"/>
          <c:min val="0.1716"/>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ko-KR"/>
          </a:p>
        </c:txPr>
        <c:crossAx val="461658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ko-K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'가계 소득'!$R$111</c:f>
              <c:strCache>
                <c:ptCount val="1"/>
                <c:pt idx="0">
                  <c:v>BAU</c:v>
                </c:pt>
              </c:strCache>
            </c:strRef>
          </c:tx>
          <c:spPr>
            <a:ln w="9525" cap="rnd">
              <a:solidFill>
                <a:schemeClr val="bg1">
                  <a:lumMod val="65000"/>
                </a:schemeClr>
              </a:solidFill>
              <a:round/>
            </a:ln>
            <a:effectLst/>
          </c:spPr>
          <c:marker>
            <c:symbol val="triangle"/>
            <c:size val="5"/>
            <c:spPr>
              <a:solidFill>
                <a:schemeClr val="bg1">
                  <a:lumMod val="85000"/>
                </a:schemeClr>
              </a:solidFill>
              <a:ln w="9525">
                <a:solidFill>
                  <a:schemeClr val="bg1">
                    <a:lumMod val="50000"/>
                  </a:schemeClr>
                </a:solidFill>
              </a:ln>
              <a:effectLst/>
            </c:spPr>
          </c:marker>
          <c:dLbls>
            <c:dLbl>
              <c:idx val="20"/>
              <c:layout>
                <c:manualLayout>
                  <c:x val="0"/>
                  <c:y val="4.657933042212512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63B-4347-9264-8A46FFED990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ko-K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'가계 소득'!$Q$112:$Q$132</c:f>
              <c:numCache>
                <c:formatCode>General</c:formatCod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numCache>
            </c:numRef>
          </c:cat>
          <c:val>
            <c:numRef>
              <c:f>'가계 소득'!$R$112:$R$132</c:f>
              <c:numCache>
                <c:formatCode>0.000</c:formatCode>
                <c:ptCount val="21"/>
                <c:pt idx="0">
                  <c:v>0.33375290086865805</c:v>
                </c:pt>
                <c:pt idx="1">
                  <c:v>0.33303228665457585</c:v>
                </c:pt>
                <c:pt idx="2">
                  <c:v>0.3321801540502734</c:v>
                </c:pt>
                <c:pt idx="3">
                  <c:v>0.33140535968277074</c:v>
                </c:pt>
                <c:pt idx="4">
                  <c:v>0.33084572975747079</c:v>
                </c:pt>
                <c:pt idx="5">
                  <c:v>0.33033008778027317</c:v>
                </c:pt>
                <c:pt idx="6">
                  <c:v>0.32986604523662028</c:v>
                </c:pt>
                <c:pt idx="7">
                  <c:v>0.32945688724368843</c:v>
                </c:pt>
                <c:pt idx="8">
                  <c:v>0.32910391932738475</c:v>
                </c:pt>
                <c:pt idx="9">
                  <c:v>0.32880696590757919</c:v>
                </c:pt>
                <c:pt idx="10">
                  <c:v>0.32856473665130326</c:v>
                </c:pt>
                <c:pt idx="11">
                  <c:v>0.32837356425189623</c:v>
                </c:pt>
                <c:pt idx="12">
                  <c:v>0.32823237173947012</c:v>
                </c:pt>
                <c:pt idx="13">
                  <c:v>0.32813647593232137</c:v>
                </c:pt>
                <c:pt idx="14">
                  <c:v>0.3280856539533375</c:v>
                </c:pt>
                <c:pt idx="15">
                  <c:v>0.32807323166283087</c:v>
                </c:pt>
                <c:pt idx="16">
                  <c:v>0.3280957938720262</c:v>
                </c:pt>
                <c:pt idx="17">
                  <c:v>0.32815003424178618</c:v>
                </c:pt>
                <c:pt idx="18">
                  <c:v>0.32823284828884863</c:v>
                </c:pt>
                <c:pt idx="19">
                  <c:v>0.32834141522310584</c:v>
                </c:pt>
                <c:pt idx="20">
                  <c:v>0.32847326767847346</c:v>
                </c:pt>
              </c:numCache>
            </c:numRef>
          </c:val>
          <c:smooth val="0"/>
          <c:extLst xmlns:c16r2="http://schemas.microsoft.com/office/drawing/2015/06/chart">
            <c:ext xmlns:c16="http://schemas.microsoft.com/office/drawing/2014/chart" uri="{C3380CC4-5D6E-409C-BE32-E72D297353CC}">
              <c16:uniqueId val="{00000001-A63B-4347-9264-8A46FFED990B}"/>
            </c:ext>
          </c:extLst>
        </c:ser>
        <c:ser>
          <c:idx val="1"/>
          <c:order val="1"/>
          <c:tx>
            <c:strRef>
              <c:f>'가계 소득'!$S$111</c:f>
              <c:strCache>
                <c:ptCount val="1"/>
                <c:pt idx="0">
                  <c:v>SCN1</c:v>
                </c:pt>
              </c:strCache>
            </c:strRef>
          </c:tx>
          <c:spPr>
            <a:ln w="9525" cap="rnd">
              <a:solidFill>
                <a:schemeClr val="accent1">
                  <a:lumMod val="75000"/>
                </a:schemeClr>
              </a:solidFill>
              <a:round/>
            </a:ln>
            <a:effectLst/>
          </c:spPr>
          <c:marker>
            <c:symbol val="circle"/>
            <c:size val="5"/>
            <c:spPr>
              <a:solidFill>
                <a:schemeClr val="accent1">
                  <a:lumMod val="75000"/>
                </a:schemeClr>
              </a:solidFill>
              <a:ln w="9525">
                <a:solidFill>
                  <a:schemeClr val="accent1">
                    <a:lumMod val="75000"/>
                  </a:schemeClr>
                </a:solidFill>
              </a:ln>
              <a:effectLst/>
            </c:spPr>
          </c:marker>
          <c:dLbls>
            <c:dLbl>
              <c:idx val="20"/>
              <c:layout>
                <c:manualLayout>
                  <c:x val="-2.269652930677661E-16"/>
                  <c:y val="-6.404657933042214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ko-KR"/>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63B-4347-9264-8A46FFED990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ko-K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'가계 소득'!$Q$112:$Q$132</c:f>
              <c:numCache>
                <c:formatCode>General</c:formatCod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numCache>
            </c:numRef>
          </c:cat>
          <c:val>
            <c:numRef>
              <c:f>'가계 소득'!$S$112:$S$132</c:f>
              <c:numCache>
                <c:formatCode>0.000</c:formatCode>
                <c:ptCount val="21"/>
                <c:pt idx="0">
                  <c:v>0.33375289674903885</c:v>
                </c:pt>
                <c:pt idx="1">
                  <c:v>0.33302159879326382</c:v>
                </c:pt>
                <c:pt idx="2">
                  <c:v>0.33232330520663583</c:v>
                </c:pt>
                <c:pt idx="3">
                  <c:v>0.33169969546035655</c:v>
                </c:pt>
                <c:pt idx="4">
                  <c:v>0.33114526210703565</c:v>
                </c:pt>
                <c:pt idx="5">
                  <c:v>0.33065393551367989</c:v>
                </c:pt>
                <c:pt idx="6">
                  <c:v>0.33022358485597153</c:v>
                </c:pt>
                <c:pt idx="7">
                  <c:v>0.32985080548665469</c:v>
                </c:pt>
                <c:pt idx="8">
                  <c:v>0.32953247117165246</c:v>
                </c:pt>
                <c:pt idx="9">
                  <c:v>0.32926562509897561</c:v>
                </c:pt>
                <c:pt idx="10">
                  <c:v>0.32904740416294376</c:v>
                </c:pt>
                <c:pt idx="11">
                  <c:v>0.32887344402026464</c:v>
                </c:pt>
                <c:pt idx="12">
                  <c:v>0.32874258670523959</c:v>
                </c:pt>
                <c:pt idx="13">
                  <c:v>0.32865048742070962</c:v>
                </c:pt>
                <c:pt idx="14">
                  <c:v>0.32859751723447983</c:v>
                </c:pt>
                <c:pt idx="15">
                  <c:v>0.32857772621105502</c:v>
                </c:pt>
                <c:pt idx="16">
                  <c:v>0.32858845354637223</c:v>
                </c:pt>
                <c:pt idx="17">
                  <c:v>0.32862709764909842</c:v>
                </c:pt>
                <c:pt idx="18">
                  <c:v>0.32869114587643977</c:v>
                </c:pt>
                <c:pt idx="19">
                  <c:v>0.32877820767612592</c:v>
                </c:pt>
                <c:pt idx="20">
                  <c:v>0.32888604986948089</c:v>
                </c:pt>
              </c:numCache>
            </c:numRef>
          </c:val>
          <c:smooth val="0"/>
          <c:extLst xmlns:c16r2="http://schemas.microsoft.com/office/drawing/2015/06/chart">
            <c:ext xmlns:c16="http://schemas.microsoft.com/office/drawing/2014/chart" uri="{C3380CC4-5D6E-409C-BE32-E72D297353CC}">
              <c16:uniqueId val="{00000003-A63B-4347-9264-8A46FFED990B}"/>
            </c:ext>
          </c:extLst>
        </c:ser>
        <c:ser>
          <c:idx val="2"/>
          <c:order val="2"/>
          <c:tx>
            <c:strRef>
              <c:f>'가계 소득'!$T$111</c:f>
              <c:strCache>
                <c:ptCount val="1"/>
                <c:pt idx="0">
                  <c:v>SCN2</c:v>
                </c:pt>
              </c:strCache>
            </c:strRef>
          </c:tx>
          <c:spPr>
            <a:ln w="9525" cap="rnd">
              <a:solidFill>
                <a:schemeClr val="accent2">
                  <a:lumMod val="75000"/>
                </a:schemeClr>
              </a:solidFill>
              <a:round/>
            </a:ln>
            <a:effectLst/>
          </c:spPr>
          <c:marker>
            <c:symbol val="square"/>
            <c:size val="5"/>
            <c:spPr>
              <a:noFill/>
              <a:ln w="9525">
                <a:solidFill>
                  <a:schemeClr val="accent2">
                    <a:lumMod val="75000"/>
                  </a:schemeClr>
                </a:solidFill>
              </a:ln>
              <a:effectLst/>
            </c:spPr>
          </c:marker>
          <c:dLbls>
            <c:dLbl>
              <c:idx val="20"/>
              <c:layout>
                <c:manualLayout>
                  <c:x val="-2.269652930677661E-16"/>
                  <c:y val="4.6579330422125066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ko-KR"/>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A63B-4347-9264-8A46FFED990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ko-K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'가계 소득'!$Q$112:$Q$132</c:f>
              <c:numCache>
                <c:formatCode>General</c:formatCod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numCache>
            </c:numRef>
          </c:cat>
          <c:val>
            <c:numRef>
              <c:f>'가계 소득'!$T$112:$T$132</c:f>
              <c:numCache>
                <c:formatCode>0.000</c:formatCode>
                <c:ptCount val="21"/>
                <c:pt idx="0">
                  <c:v>0.33375290086865805</c:v>
                </c:pt>
                <c:pt idx="1">
                  <c:v>0.33273116462811075</c:v>
                </c:pt>
                <c:pt idx="2">
                  <c:v>0.33197137557026873</c:v>
                </c:pt>
                <c:pt idx="3">
                  <c:v>0.33125578451751331</c:v>
                </c:pt>
                <c:pt idx="4">
                  <c:v>0.33058908518544938</c:v>
                </c:pt>
                <c:pt idx="5">
                  <c:v>0.32995969307742373</c:v>
                </c:pt>
                <c:pt idx="6">
                  <c:v>0.32937330122389619</c:v>
                </c:pt>
                <c:pt idx="7">
                  <c:v>0.32883240471785979</c:v>
                </c:pt>
                <c:pt idx="8">
                  <c:v>0.32833923230654083</c:v>
                </c:pt>
                <c:pt idx="9">
                  <c:v>0.3278831743475078</c:v>
                </c:pt>
                <c:pt idx="10">
                  <c:v>0.32746736780912039</c:v>
                </c:pt>
                <c:pt idx="11">
                  <c:v>0.32713397752560541</c:v>
                </c:pt>
                <c:pt idx="12">
                  <c:v>0.32683550217177121</c:v>
                </c:pt>
                <c:pt idx="13">
                  <c:v>0.32657373654247751</c:v>
                </c:pt>
                <c:pt idx="14">
                  <c:v>0.32635273736638365</c:v>
                </c:pt>
                <c:pt idx="15">
                  <c:v>0.32616877339000688</c:v>
                </c:pt>
                <c:pt idx="16">
                  <c:v>0.32602042733393582</c:v>
                </c:pt>
                <c:pt idx="17">
                  <c:v>0.32590567438526191</c:v>
                </c:pt>
                <c:pt idx="18">
                  <c:v>0.32582210372821602</c:v>
                </c:pt>
                <c:pt idx="19">
                  <c:v>0.32576708040691044</c:v>
                </c:pt>
                <c:pt idx="20">
                  <c:v>0.32573786997453924</c:v>
                </c:pt>
              </c:numCache>
            </c:numRef>
          </c:val>
          <c:smooth val="0"/>
          <c:extLst xmlns:c16r2="http://schemas.microsoft.com/office/drawing/2015/06/chart">
            <c:ext xmlns:c16="http://schemas.microsoft.com/office/drawing/2014/chart" uri="{C3380CC4-5D6E-409C-BE32-E72D297353CC}">
              <c16:uniqueId val="{00000005-A63B-4347-9264-8A46FFED990B}"/>
            </c:ext>
          </c:extLst>
        </c:ser>
        <c:dLbls>
          <c:showLegendKey val="0"/>
          <c:showVal val="0"/>
          <c:showCatName val="0"/>
          <c:showSerName val="0"/>
          <c:showPercent val="0"/>
          <c:showBubbleSize val="0"/>
        </c:dLbls>
        <c:marker val="1"/>
        <c:smooth val="0"/>
        <c:axId val="610100256"/>
        <c:axId val="610100816"/>
      </c:lineChart>
      <c:catAx>
        <c:axId val="61010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ko-KR"/>
          </a:p>
        </c:txPr>
        <c:crossAx val="610100816"/>
        <c:crosses val="autoZero"/>
        <c:auto val="1"/>
        <c:lblAlgn val="ctr"/>
        <c:lblOffset val="100"/>
        <c:noMultiLvlLbl val="0"/>
      </c:catAx>
      <c:valAx>
        <c:axId val="610100816"/>
        <c:scaling>
          <c:orientation val="minMax"/>
          <c:min val="0.32400000000000012"/>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ko-KR"/>
          </a:p>
        </c:txPr>
        <c:crossAx val="610100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ko-K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'노동수요_전체 (2)'!$M$27</c:f>
              <c:strCache>
                <c:ptCount val="1"/>
                <c:pt idx="0">
                  <c:v>SCN1</c:v>
                </c:pt>
              </c:strCache>
            </c:strRef>
          </c:tx>
          <c:spPr>
            <a:ln w="9525" cap="rnd">
              <a:solidFill>
                <a:schemeClr val="accent1"/>
              </a:solidFill>
              <a:prstDash val="sysDash"/>
              <a:round/>
            </a:ln>
            <a:effectLst/>
          </c:spPr>
          <c:marker>
            <c:symbol val="circle"/>
            <c:size val="5"/>
            <c:spPr>
              <a:solidFill>
                <a:schemeClr val="accent1"/>
              </a:solidFill>
              <a:ln w="9525">
                <a:solidFill>
                  <a:schemeClr val="accent1"/>
                </a:solidFill>
                <a:prstDash val="sysDash"/>
              </a:ln>
              <a:effectLst/>
            </c:spPr>
          </c:marker>
          <c:dLbls>
            <c:dLbl>
              <c:idx val="20"/>
              <c:layout>
                <c:manualLayout>
                  <c:x val="-2.4943310657596546E-2"/>
                  <c:y val="4.1514426081355214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ko-KR"/>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AC8-4D19-B78E-90E0184B0FF1}"/>
                </c:ext>
                <c:ext xmlns:c15="http://schemas.microsoft.com/office/drawing/2012/chart" uri="{CE6537A1-D6FC-4f65-9D91-7224C49458BB}">
                  <c15:layout>
                    <c:manualLayout>
                      <c:w val="0.12049886621315192"/>
                      <c:h val="0.11506715506715506"/>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ko-K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'노동수요_전체 (2)'!$L$28:$L$48</c:f>
              <c:numCache>
                <c:formatCode>General</c:formatCod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numCache>
            </c:numRef>
          </c:cat>
          <c:val>
            <c:numRef>
              <c:f>'노동수요_전체 (2)'!$M$28:$M$48</c:f>
              <c:numCache>
                <c:formatCode>0.0</c:formatCode>
                <c:ptCount val="21"/>
                <c:pt idx="0">
                  <c:v>-5.8177921591351395E-6</c:v>
                </c:pt>
                <c:pt idx="1">
                  <c:v>-1.3859176593977731E-2</c:v>
                </c:pt>
                <c:pt idx="2">
                  <c:v>0.20680044019041338</c:v>
                </c:pt>
                <c:pt idx="3">
                  <c:v>-0.13451377581346072</c:v>
                </c:pt>
                <c:pt idx="4">
                  <c:v>-1.1126256162433346</c:v>
                </c:pt>
                <c:pt idx="5">
                  <c:v>-1.9173615010260938</c:v>
                </c:pt>
                <c:pt idx="6">
                  <c:v>-2.5819290456079345</c:v>
                </c:pt>
                <c:pt idx="7">
                  <c:v>-3.1289769358112007</c:v>
                </c:pt>
                <c:pt idx="8">
                  <c:v>-3.5759608077918226</c:v>
                </c:pt>
                <c:pt idx="9">
                  <c:v>-3.9371507311135479</c:v>
                </c:pt>
                <c:pt idx="10">
                  <c:v>-4.2245646836808204</c:v>
                </c:pt>
                <c:pt idx="11">
                  <c:v>-4.4484767453758627</c:v>
                </c:pt>
                <c:pt idx="12">
                  <c:v>-4.6177374365327308</c:v>
                </c:pt>
                <c:pt idx="13">
                  <c:v>-4.7400049925900865</c:v>
                </c:pt>
                <c:pt idx="14">
                  <c:v>-4.821885070532538</c:v>
                </c:pt>
                <c:pt idx="15">
                  <c:v>-4.8690783810557692</c:v>
                </c:pt>
                <c:pt idx="16">
                  <c:v>-4.8864620151821923</c:v>
                </c:pt>
                <c:pt idx="17">
                  <c:v>-4.8782025282878339</c:v>
                </c:pt>
                <c:pt idx="18">
                  <c:v>-4.8478356660347046</c:v>
                </c:pt>
                <c:pt idx="19">
                  <c:v>-4.7983347743424947</c:v>
                </c:pt>
                <c:pt idx="20">
                  <c:v>-4.7321695076143273</c:v>
                </c:pt>
              </c:numCache>
            </c:numRef>
          </c:val>
          <c:smooth val="0"/>
          <c:extLst xmlns:c16r2="http://schemas.microsoft.com/office/drawing/2015/06/chart">
            <c:ext xmlns:c16="http://schemas.microsoft.com/office/drawing/2014/chart" uri="{C3380CC4-5D6E-409C-BE32-E72D297353CC}">
              <c16:uniqueId val="{00000001-BAC8-4D19-B78E-90E0184B0FF1}"/>
            </c:ext>
          </c:extLst>
        </c:ser>
        <c:ser>
          <c:idx val="1"/>
          <c:order val="1"/>
          <c:tx>
            <c:strRef>
              <c:f>'노동수요_전체 (2)'!$N$27</c:f>
              <c:strCache>
                <c:ptCount val="1"/>
                <c:pt idx="0">
                  <c:v>SCN2</c:v>
                </c:pt>
              </c:strCache>
            </c:strRef>
          </c:tx>
          <c:spPr>
            <a:ln w="9525" cap="rnd">
              <a:solidFill>
                <a:schemeClr val="accent2"/>
              </a:solidFill>
              <a:round/>
            </a:ln>
            <a:effectLst/>
          </c:spPr>
          <c:marker>
            <c:symbol val="square"/>
            <c:size val="5"/>
            <c:spPr>
              <a:noFill/>
              <a:ln w="9525">
                <a:solidFill>
                  <a:schemeClr val="accent2"/>
                </a:solidFill>
              </a:ln>
              <a:effectLst/>
            </c:spPr>
          </c:marker>
          <c:dLbls>
            <c:dLbl>
              <c:idx val="20"/>
              <c:layout>
                <c:manualLayout>
                  <c:x val="-2.2675736961451254E-2"/>
                  <c:y val="-3.418803418803419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ko-KR"/>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AC8-4D19-B78E-90E0184B0FF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ko-K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'노동수요_전체 (2)'!$L$28:$L$48</c:f>
              <c:numCache>
                <c:formatCode>General</c:formatCod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numCache>
            </c:numRef>
          </c:cat>
          <c:val>
            <c:numRef>
              <c:f>'노동수요_전체 (2)'!$N$28:$N$48</c:f>
              <c:numCache>
                <c:formatCode>0.0</c:formatCode>
                <c:ptCount val="21"/>
                <c:pt idx="0">
                  <c:v>0</c:v>
                </c:pt>
                <c:pt idx="1">
                  <c:v>-0.37946422772892074</c:v>
                </c:pt>
                <c:pt idx="2">
                  <c:v>0.73785930164764768</c:v>
                </c:pt>
                <c:pt idx="3">
                  <c:v>1.3462644092414155</c:v>
                </c:pt>
                <c:pt idx="4">
                  <c:v>1.3525768616456715</c:v>
                </c:pt>
                <c:pt idx="5">
                  <c:v>1.5382253299493609</c:v>
                </c:pt>
                <c:pt idx="6">
                  <c:v>1.8839820110378991</c:v>
                </c:pt>
                <c:pt idx="7">
                  <c:v>2.370370639098351</c:v>
                </c:pt>
                <c:pt idx="8">
                  <c:v>2.9922782078536598</c:v>
                </c:pt>
                <c:pt idx="9">
                  <c:v>3.7159947693558015</c:v>
                </c:pt>
                <c:pt idx="10">
                  <c:v>4.5497548372568799</c:v>
                </c:pt>
                <c:pt idx="11">
                  <c:v>5.5290998454706095</c:v>
                </c:pt>
                <c:pt idx="12">
                  <c:v>6.4623120157073943</c:v>
                </c:pt>
                <c:pt idx="13">
                  <c:v>7.3513129995659288</c:v>
                </c:pt>
                <c:pt idx="14">
                  <c:v>8.2007111600337552</c:v>
                </c:pt>
                <c:pt idx="15">
                  <c:v>9.0159662631869271</c:v>
                </c:pt>
                <c:pt idx="16">
                  <c:v>9.8017798181874412</c:v>
                </c:pt>
                <c:pt idx="17">
                  <c:v>10.56232497145122</c:v>
                </c:pt>
                <c:pt idx="18">
                  <c:v>11.301318089106239</c:v>
                </c:pt>
                <c:pt idx="19">
                  <c:v>12.022120667438594</c:v>
                </c:pt>
                <c:pt idx="20">
                  <c:v>12.727835351748817</c:v>
                </c:pt>
              </c:numCache>
            </c:numRef>
          </c:val>
          <c:smooth val="0"/>
          <c:extLst xmlns:c16r2="http://schemas.microsoft.com/office/drawing/2015/06/chart">
            <c:ext xmlns:c16="http://schemas.microsoft.com/office/drawing/2014/chart" uri="{C3380CC4-5D6E-409C-BE32-E72D297353CC}">
              <c16:uniqueId val="{00000003-BAC8-4D19-B78E-90E0184B0FF1}"/>
            </c:ext>
          </c:extLst>
        </c:ser>
        <c:dLbls>
          <c:showLegendKey val="0"/>
          <c:showVal val="0"/>
          <c:showCatName val="0"/>
          <c:showSerName val="0"/>
          <c:showPercent val="0"/>
          <c:showBubbleSize val="0"/>
        </c:dLbls>
        <c:marker val="1"/>
        <c:smooth val="0"/>
        <c:axId val="301769296"/>
        <c:axId val="621461504"/>
      </c:lineChart>
      <c:catAx>
        <c:axId val="301769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ko-KR"/>
          </a:p>
        </c:txPr>
        <c:crossAx val="621461504"/>
        <c:crosses val="autoZero"/>
        <c:auto val="1"/>
        <c:lblAlgn val="ctr"/>
        <c:lblOffset val="100"/>
        <c:noMultiLvlLbl val="0"/>
      </c:catAx>
      <c:valAx>
        <c:axId val="621461504"/>
        <c:scaling>
          <c:orientation val="minMax"/>
          <c:min val="-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ko-KR"/>
          </a:p>
        </c:txPr>
        <c:crossAx val="301769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ko-K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'노동수요_전체 (2)'!$R$27</c:f>
              <c:strCache>
                <c:ptCount val="1"/>
                <c:pt idx="0">
                  <c:v>SCN1</c:v>
                </c:pt>
              </c:strCache>
            </c:strRef>
          </c:tx>
          <c:spPr>
            <a:ln w="9525" cap="rnd">
              <a:solidFill>
                <a:schemeClr val="accent1"/>
              </a:solidFill>
              <a:prstDash val="sysDash"/>
              <a:round/>
            </a:ln>
            <a:effectLst/>
          </c:spPr>
          <c:marker>
            <c:symbol val="circle"/>
            <c:size val="5"/>
            <c:spPr>
              <a:solidFill>
                <a:schemeClr val="accent1"/>
              </a:solidFill>
              <a:ln w="9525">
                <a:solidFill>
                  <a:schemeClr val="accent1"/>
                </a:solidFill>
                <a:prstDash val="sysDash"/>
              </a:ln>
              <a:effectLst/>
            </c:spPr>
          </c:marker>
          <c:dLbls>
            <c:dLbl>
              <c:idx val="20"/>
              <c:layout>
                <c:manualLayout>
                  <c:x val="-1.8091361374943465E-2"/>
                  <c:y val="4.886391399951138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ko-KR"/>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EBF-4CBB-AB04-C74F861AFEA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ko-K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'노동수요_전체 (2)'!$Q$28:$Q$48</c:f>
              <c:numCache>
                <c:formatCode>General</c:formatCod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numCache>
            </c:numRef>
          </c:cat>
          <c:val>
            <c:numRef>
              <c:f>'노동수요_전체 (2)'!$R$28:$R$48</c:f>
              <c:numCache>
                <c:formatCode>0.0</c:formatCode>
                <c:ptCount val="21"/>
                <c:pt idx="0">
                  <c:v>2.0316767601613612E-5</c:v>
                </c:pt>
                <c:pt idx="1">
                  <c:v>3.6623405556723838E-2</c:v>
                </c:pt>
                <c:pt idx="2">
                  <c:v>-0.22288120623404903</c:v>
                </c:pt>
                <c:pt idx="3">
                  <c:v>-1.1211875660376518</c:v>
                </c:pt>
                <c:pt idx="4">
                  <c:v>-2.2720304447849116</c:v>
                </c:pt>
                <c:pt idx="5">
                  <c:v>-3.3019345999337535</c:v>
                </c:pt>
                <c:pt idx="6">
                  <c:v>-4.2107302800134079</c:v>
                </c:pt>
                <c:pt idx="7">
                  <c:v>-4.99994517820046</c:v>
                </c:pt>
                <c:pt idx="8">
                  <c:v>-5.6738452774079287</c:v>
                </c:pt>
                <c:pt idx="9">
                  <c:v>-6.2388021308140384</c:v>
                </c:pt>
                <c:pt idx="10">
                  <c:v>-6.7025286249467797</c:v>
                </c:pt>
                <c:pt idx="11">
                  <c:v>-7.0733899483697114</c:v>
                </c:pt>
                <c:pt idx="12">
                  <c:v>-7.3600763696167615</c:v>
                </c:pt>
                <c:pt idx="13">
                  <c:v>-7.5710960019071409</c:v>
                </c:pt>
                <c:pt idx="14">
                  <c:v>-7.7147618173520787</c:v>
                </c:pt>
                <c:pt idx="15">
                  <c:v>-7.7987077212936642</c:v>
                </c:pt>
                <c:pt idx="16">
                  <c:v>-7.8300640206690701</c:v>
                </c:pt>
                <c:pt idx="17">
                  <c:v>-7.8153186908018766</c:v>
                </c:pt>
                <c:pt idx="18">
                  <c:v>-7.7602727155400073</c:v>
                </c:pt>
                <c:pt idx="19">
                  <c:v>-7.6700033605642819</c:v>
                </c:pt>
                <c:pt idx="20">
                  <c:v>-7.5488315017865348</c:v>
                </c:pt>
              </c:numCache>
            </c:numRef>
          </c:val>
          <c:smooth val="0"/>
          <c:extLst xmlns:c16r2="http://schemas.microsoft.com/office/drawing/2015/06/chart">
            <c:ext xmlns:c16="http://schemas.microsoft.com/office/drawing/2014/chart" uri="{C3380CC4-5D6E-409C-BE32-E72D297353CC}">
              <c16:uniqueId val="{00000001-3EBF-4CBB-AB04-C74F861AFEA6}"/>
            </c:ext>
          </c:extLst>
        </c:ser>
        <c:ser>
          <c:idx val="1"/>
          <c:order val="1"/>
          <c:tx>
            <c:strRef>
              <c:f>'노동수요_전체 (2)'!$S$27</c:f>
              <c:strCache>
                <c:ptCount val="1"/>
                <c:pt idx="0">
                  <c:v>SCN2</c:v>
                </c:pt>
              </c:strCache>
            </c:strRef>
          </c:tx>
          <c:spPr>
            <a:ln w="9525" cap="rnd">
              <a:solidFill>
                <a:schemeClr val="accent2"/>
              </a:solidFill>
              <a:round/>
            </a:ln>
            <a:effectLst/>
          </c:spPr>
          <c:marker>
            <c:symbol val="square"/>
            <c:size val="5"/>
            <c:spPr>
              <a:noFill/>
              <a:ln w="9525">
                <a:solidFill>
                  <a:schemeClr val="accent2"/>
                </a:solidFill>
              </a:ln>
              <a:effectLst/>
            </c:spPr>
          </c:marker>
          <c:dLbls>
            <c:dLbl>
              <c:idx val="20"/>
              <c:layout>
                <c:manualLayout>
                  <c:x val="-4.5228403437358664E-3"/>
                  <c:y val="-4.886391399951138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ko-KR"/>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EBF-4CBB-AB04-C74F861AFEA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ko-K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'노동수요_전체 (2)'!$Q$28:$Q$48</c:f>
              <c:numCache>
                <c:formatCode>General</c:formatCod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numCache>
            </c:numRef>
          </c:cat>
          <c:val>
            <c:numRef>
              <c:f>'노동수요_전체 (2)'!$S$28:$S$48</c:f>
              <c:numCache>
                <c:formatCode>0.0</c:formatCode>
                <c:ptCount val="21"/>
                <c:pt idx="0">
                  <c:v>0</c:v>
                </c:pt>
                <c:pt idx="1">
                  <c:v>0.91787980148247972</c:v>
                </c:pt>
                <c:pt idx="2">
                  <c:v>2.0568122630670644</c:v>
                </c:pt>
                <c:pt idx="3">
                  <c:v>2.677366642377633</c:v>
                </c:pt>
                <c:pt idx="4">
                  <c:v>3.1204536153009999</c:v>
                </c:pt>
                <c:pt idx="5">
                  <c:v>3.8014793403800207</c:v>
                </c:pt>
                <c:pt idx="6">
                  <c:v>4.8125740721721266</c:v>
                </c:pt>
                <c:pt idx="7">
                  <c:v>6.0084660583840543</c:v>
                </c:pt>
                <c:pt idx="8">
                  <c:v>7.3651024190124472</c:v>
                </c:pt>
                <c:pt idx="9">
                  <c:v>8.9314639519251671</c:v>
                </c:pt>
                <c:pt idx="10">
                  <c:v>10.687340039422446</c:v>
                </c:pt>
                <c:pt idx="11">
                  <c:v>12.251020063435968</c:v>
                </c:pt>
                <c:pt idx="12">
                  <c:v>13.841063621189507</c:v>
                </c:pt>
                <c:pt idx="13">
                  <c:v>15.439738636524238</c:v>
                </c:pt>
                <c:pt idx="14">
                  <c:v>17.03936161842017</c:v>
                </c:pt>
                <c:pt idx="15">
                  <c:v>18.635029945317491</c:v>
                </c:pt>
                <c:pt idx="16">
                  <c:v>20.224362023997202</c:v>
                </c:pt>
                <c:pt idx="17">
                  <c:v>21.806236808395525</c:v>
                </c:pt>
                <c:pt idx="18">
                  <c:v>23.380481618603241</c:v>
                </c:pt>
                <c:pt idx="19">
                  <c:v>24.947752534678155</c:v>
                </c:pt>
                <c:pt idx="20">
                  <c:v>26.509514194462415</c:v>
                </c:pt>
              </c:numCache>
            </c:numRef>
          </c:val>
          <c:smooth val="0"/>
          <c:extLst xmlns:c16r2="http://schemas.microsoft.com/office/drawing/2015/06/chart">
            <c:ext xmlns:c16="http://schemas.microsoft.com/office/drawing/2014/chart" uri="{C3380CC4-5D6E-409C-BE32-E72D297353CC}">
              <c16:uniqueId val="{00000003-3EBF-4CBB-AB04-C74F861AFEA6}"/>
            </c:ext>
          </c:extLst>
        </c:ser>
        <c:dLbls>
          <c:showLegendKey val="0"/>
          <c:showVal val="0"/>
          <c:showCatName val="0"/>
          <c:showSerName val="0"/>
          <c:showPercent val="0"/>
          <c:showBubbleSize val="0"/>
        </c:dLbls>
        <c:marker val="1"/>
        <c:smooth val="0"/>
        <c:axId val="621464304"/>
        <c:axId val="621464864"/>
      </c:lineChart>
      <c:catAx>
        <c:axId val="621464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ko-KR"/>
          </a:p>
        </c:txPr>
        <c:crossAx val="621464864"/>
        <c:crosses val="autoZero"/>
        <c:auto val="1"/>
        <c:lblAlgn val="ctr"/>
        <c:lblOffset val="100"/>
        <c:noMultiLvlLbl val="0"/>
      </c:catAx>
      <c:valAx>
        <c:axId val="62146486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ko-KR"/>
          </a:p>
        </c:txPr>
        <c:crossAx val="621464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ko-K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숙련프리미엄!$U$2</c:f>
              <c:strCache>
                <c:ptCount val="1"/>
                <c:pt idx="0">
                  <c:v>SCN1</c:v>
                </c:pt>
              </c:strCache>
            </c:strRef>
          </c:tx>
          <c:spPr>
            <a:ln w="9525" cap="rnd">
              <a:solidFill>
                <a:schemeClr val="accent1"/>
              </a:solidFill>
              <a:prstDash val="sysDash"/>
              <a:round/>
            </a:ln>
            <a:effectLst/>
          </c:spPr>
          <c:marker>
            <c:symbol val="circle"/>
            <c:size val="5"/>
            <c:spPr>
              <a:solidFill>
                <a:schemeClr val="accent1"/>
              </a:solidFill>
              <a:ln w="9525">
                <a:solidFill>
                  <a:schemeClr val="accent1"/>
                </a:solidFill>
                <a:prstDash val="sysDash"/>
              </a:ln>
              <a:effectLst/>
            </c:spPr>
          </c:marker>
          <c:dLbls>
            <c:dLbl>
              <c:idx val="20"/>
              <c:layout>
                <c:manualLayout>
                  <c:x val="-1.1272368606453536E-2"/>
                  <c:y val="-6.74448767833981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ko-KR"/>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173-452A-80A4-05E5D95CEC4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ko-K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숙련프리미엄!$T$3:$T$23</c:f>
              <c:numCache>
                <c:formatCode>General</c:formatCod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numCache>
            </c:numRef>
          </c:cat>
          <c:val>
            <c:numRef>
              <c:f>숙련프리미엄!$U$3:$U$23</c:f>
              <c:numCache>
                <c:formatCode>0.00</c:formatCode>
                <c:ptCount val="21"/>
                <c:pt idx="0">
                  <c:v>0</c:v>
                </c:pt>
                <c:pt idx="1">
                  <c:v>3.0806037404795821E-3</c:v>
                </c:pt>
                <c:pt idx="2">
                  <c:v>3.5126837032284371E-2</c:v>
                </c:pt>
                <c:pt idx="3">
                  <c:v>6.14199618965472E-2</c:v>
                </c:pt>
                <c:pt idx="4">
                  <c:v>4.9229986749610433E-2</c:v>
                </c:pt>
                <c:pt idx="5">
                  <c:v>3.7655427489413654E-2</c:v>
                </c:pt>
                <c:pt idx="6">
                  <c:v>2.6936958842149753E-2</c:v>
                </c:pt>
                <c:pt idx="7">
                  <c:v>1.7259460759033729E-2</c:v>
                </c:pt>
                <c:pt idx="8">
                  <c:v>8.748343748532502E-3</c:v>
                </c:pt>
                <c:pt idx="9">
                  <c:v>1.4746023426548405E-3</c:v>
                </c:pt>
                <c:pt idx="10">
                  <c:v>-4.5374353875970996E-3</c:v>
                </c:pt>
                <c:pt idx="11">
                  <c:v>-9.2989213699490314E-3</c:v>
                </c:pt>
                <c:pt idx="12">
                  <c:v>-1.2857261484089388E-2</c:v>
                </c:pt>
                <c:pt idx="13">
                  <c:v>-1.5277001503632981E-2</c:v>
                </c:pt>
                <c:pt idx="14">
                  <c:v>-1.6649977018046162E-2</c:v>
                </c:pt>
                <c:pt idx="15">
                  <c:v>-1.7063674000705745E-2</c:v>
                </c:pt>
                <c:pt idx="16">
                  <c:v>-1.6618391262057667E-2</c:v>
                </c:pt>
                <c:pt idx="17">
                  <c:v>-1.5415141568841939E-2</c:v>
                </c:pt>
                <c:pt idx="18">
                  <c:v>-1.3551577061088343E-2</c:v>
                </c:pt>
                <c:pt idx="19">
                  <c:v>-1.111856801502276E-2</c:v>
                </c:pt>
                <c:pt idx="20">
                  <c:v>-8.1974586856881099E-3</c:v>
                </c:pt>
              </c:numCache>
            </c:numRef>
          </c:val>
          <c:smooth val="0"/>
          <c:extLst xmlns:c16r2="http://schemas.microsoft.com/office/drawing/2015/06/chart">
            <c:ext xmlns:c16="http://schemas.microsoft.com/office/drawing/2014/chart" uri="{C3380CC4-5D6E-409C-BE32-E72D297353CC}">
              <c16:uniqueId val="{00000001-8173-452A-80A4-05E5D95CEC46}"/>
            </c:ext>
          </c:extLst>
        </c:ser>
        <c:ser>
          <c:idx val="1"/>
          <c:order val="1"/>
          <c:tx>
            <c:strRef>
              <c:f>숙련프리미엄!$V$2</c:f>
              <c:strCache>
                <c:ptCount val="1"/>
                <c:pt idx="0">
                  <c:v>SCN2</c:v>
                </c:pt>
              </c:strCache>
            </c:strRef>
          </c:tx>
          <c:spPr>
            <a:ln w="9525" cap="rnd">
              <a:solidFill>
                <a:schemeClr val="accent2"/>
              </a:solidFill>
              <a:round/>
            </a:ln>
            <a:effectLst/>
          </c:spPr>
          <c:marker>
            <c:symbol val="square"/>
            <c:size val="5"/>
            <c:spPr>
              <a:noFill/>
              <a:ln w="9525">
                <a:solidFill>
                  <a:schemeClr val="accent2"/>
                </a:solidFill>
              </a:ln>
              <a:effectLst/>
            </c:spPr>
          </c:marker>
          <c:dLbls>
            <c:dLbl>
              <c:idx val="20"/>
              <c:layout>
                <c:manualLayout>
                  <c:x val="-2.8180921516133581E-2"/>
                  <c:y val="-5.188067444876784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ko-KR"/>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173-452A-80A4-05E5D95CEC4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ko-K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숙련프리미엄!$T$3:$T$23</c:f>
              <c:numCache>
                <c:formatCode>General</c:formatCod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numCache>
            </c:numRef>
          </c:cat>
          <c:val>
            <c:numRef>
              <c:f>숙련프리미엄!$V$3:$V$23</c:f>
              <c:numCache>
                <c:formatCode>0.00</c:formatCode>
                <c:ptCount val="21"/>
                <c:pt idx="0">
                  <c:v>0</c:v>
                </c:pt>
                <c:pt idx="1">
                  <c:v>4.4261267165945924E-2</c:v>
                </c:pt>
                <c:pt idx="2">
                  <c:v>0.10300095382895781</c:v>
                </c:pt>
                <c:pt idx="3">
                  <c:v>0.15965157153761123</c:v>
                </c:pt>
                <c:pt idx="4">
                  <c:v>0.21248504454440825</c:v>
                </c:pt>
                <c:pt idx="5">
                  <c:v>0.27575320286254978</c:v>
                </c:pt>
                <c:pt idx="6">
                  <c:v>0.38864700118266271</c:v>
                </c:pt>
                <c:pt idx="7">
                  <c:v>0.50771345668292334</c:v>
                </c:pt>
                <c:pt idx="8">
                  <c:v>0.62511816359365202</c:v>
                </c:pt>
                <c:pt idx="9">
                  <c:v>0.75500968062853802</c:v>
                </c:pt>
                <c:pt idx="10">
                  <c:v>0.88989984750693651</c:v>
                </c:pt>
                <c:pt idx="11">
                  <c:v>0.93289330709767082</c:v>
                </c:pt>
                <c:pt idx="12">
                  <c:v>0.97401460950485863</c:v>
                </c:pt>
                <c:pt idx="13">
                  <c:v>1.0129230675256726</c:v>
                </c:pt>
                <c:pt idx="14">
                  <c:v>1.0495710686352577</c:v>
                </c:pt>
                <c:pt idx="15">
                  <c:v>1.0837570429479637</c:v>
                </c:pt>
                <c:pt idx="16">
                  <c:v>1.1154450244859062</c:v>
                </c:pt>
                <c:pt idx="17">
                  <c:v>1.1446431315182974</c:v>
                </c:pt>
                <c:pt idx="18">
                  <c:v>1.1713947057341076</c:v>
                </c:pt>
                <c:pt idx="19">
                  <c:v>1.195771221067421</c:v>
                </c:pt>
                <c:pt idx="20">
                  <c:v>1.2178663318381353</c:v>
                </c:pt>
              </c:numCache>
            </c:numRef>
          </c:val>
          <c:smooth val="0"/>
          <c:extLst xmlns:c16r2="http://schemas.microsoft.com/office/drawing/2015/06/chart">
            <c:ext xmlns:c16="http://schemas.microsoft.com/office/drawing/2014/chart" uri="{C3380CC4-5D6E-409C-BE32-E72D297353CC}">
              <c16:uniqueId val="{00000003-8173-452A-80A4-05E5D95CEC46}"/>
            </c:ext>
          </c:extLst>
        </c:ser>
        <c:dLbls>
          <c:showLegendKey val="0"/>
          <c:showVal val="0"/>
          <c:showCatName val="0"/>
          <c:showSerName val="0"/>
          <c:showPercent val="0"/>
          <c:showBubbleSize val="0"/>
        </c:dLbls>
        <c:marker val="1"/>
        <c:smooth val="0"/>
        <c:axId val="621457600"/>
        <c:axId val="621458160"/>
      </c:lineChart>
      <c:catAx>
        <c:axId val="621457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ko-KR"/>
          </a:p>
        </c:txPr>
        <c:crossAx val="621458160"/>
        <c:crosses val="autoZero"/>
        <c:auto val="1"/>
        <c:lblAlgn val="ctr"/>
        <c:lblOffset val="100"/>
        <c:noMultiLvlLbl val="0"/>
      </c:catAx>
      <c:valAx>
        <c:axId val="6214581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ko-KR"/>
          </a:p>
        </c:txPr>
        <c:crossAx val="621457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ko-K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숙련프리미엄!$U$25</c:f>
              <c:strCache>
                <c:ptCount val="1"/>
                <c:pt idx="0">
                  <c:v>SCN1</c:v>
                </c:pt>
              </c:strCache>
            </c:strRef>
          </c:tx>
          <c:spPr>
            <a:ln w="9525" cap="rnd">
              <a:solidFill>
                <a:schemeClr val="accent1"/>
              </a:solidFill>
              <a:prstDash val="sysDash"/>
              <a:round/>
            </a:ln>
            <a:effectLst/>
          </c:spPr>
          <c:marker>
            <c:symbol val="circle"/>
            <c:size val="5"/>
            <c:spPr>
              <a:solidFill>
                <a:schemeClr val="accent1"/>
              </a:solidFill>
              <a:ln w="9525">
                <a:solidFill>
                  <a:schemeClr val="accent1"/>
                </a:solidFill>
                <a:prstDash val="sysDash"/>
              </a:ln>
              <a:effectLst/>
            </c:spPr>
          </c:marker>
          <c:dLbls>
            <c:dLbl>
              <c:idx val="20"/>
              <c:layout>
                <c:manualLayout>
                  <c:x val="-8.4566596194504233E-3"/>
                  <c:y val="7.26329442282748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ko-KR"/>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407-4B88-8DD8-5EEBC5D2E11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ko-K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숙련프리미엄!$T$26:$T$46</c:f>
              <c:numCache>
                <c:formatCode>General</c:formatCod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numCache>
            </c:numRef>
          </c:cat>
          <c:val>
            <c:numRef>
              <c:f>숙련프리미엄!$U$26:$U$46</c:f>
              <c:numCache>
                <c:formatCode>0.00</c:formatCode>
                <c:ptCount val="21"/>
                <c:pt idx="0">
                  <c:v>0</c:v>
                </c:pt>
                <c:pt idx="1">
                  <c:v>5.4741606474251192E-2</c:v>
                </c:pt>
                <c:pt idx="2">
                  <c:v>-0.4012539096640233</c:v>
                </c:pt>
                <c:pt idx="3">
                  <c:v>-0.95877719764116964</c:v>
                </c:pt>
                <c:pt idx="4">
                  <c:v>-1.1825759749103497</c:v>
                </c:pt>
                <c:pt idx="5">
                  <c:v>-1.4561012856392106</c:v>
                </c:pt>
                <c:pt idx="6">
                  <c:v>-1.7460324750333214</c:v>
                </c:pt>
                <c:pt idx="7">
                  <c:v>-2.0305987214962133</c:v>
                </c:pt>
                <c:pt idx="8">
                  <c:v>-2.2958970493157316</c:v>
                </c:pt>
                <c:pt idx="9">
                  <c:v>-2.5334643281157421</c:v>
                </c:pt>
                <c:pt idx="10">
                  <c:v>-2.738649228121115</c:v>
                </c:pt>
                <c:pt idx="11">
                  <c:v>-2.9093053679980492</c:v>
                </c:pt>
                <c:pt idx="12">
                  <c:v>-3.0454501605853945</c:v>
                </c:pt>
                <c:pt idx="13">
                  <c:v>-3.1480398648901624</c:v>
                </c:pt>
                <c:pt idx="14">
                  <c:v>-3.2193208567815605</c:v>
                </c:pt>
                <c:pt idx="15">
                  <c:v>-3.2614002603464374</c:v>
                </c:pt>
                <c:pt idx="16">
                  <c:v>-3.2769586505816961</c:v>
                </c:pt>
                <c:pt idx="17">
                  <c:v>-3.2687523536202079</c:v>
                </c:pt>
                <c:pt idx="18">
                  <c:v>-3.2394672505280386</c:v>
                </c:pt>
                <c:pt idx="19">
                  <c:v>-3.1915966361941601</c:v>
                </c:pt>
                <c:pt idx="20">
                  <c:v>-3.1273370923284869</c:v>
                </c:pt>
              </c:numCache>
            </c:numRef>
          </c:val>
          <c:smooth val="0"/>
          <c:extLst xmlns:c16r2="http://schemas.microsoft.com/office/drawing/2015/06/chart">
            <c:ext xmlns:c16="http://schemas.microsoft.com/office/drawing/2014/chart" uri="{C3380CC4-5D6E-409C-BE32-E72D297353CC}">
              <c16:uniqueId val="{00000001-9407-4B88-8DD8-5EEBC5D2E115}"/>
            </c:ext>
          </c:extLst>
        </c:ser>
        <c:ser>
          <c:idx val="1"/>
          <c:order val="1"/>
          <c:tx>
            <c:strRef>
              <c:f>숙련프리미엄!$V$25</c:f>
              <c:strCache>
                <c:ptCount val="1"/>
                <c:pt idx="0">
                  <c:v>SCN2</c:v>
                </c:pt>
              </c:strCache>
            </c:strRef>
          </c:tx>
          <c:spPr>
            <a:ln w="9525" cap="rnd">
              <a:solidFill>
                <a:schemeClr val="accent2"/>
              </a:solidFill>
              <a:round/>
            </a:ln>
            <a:effectLst/>
          </c:spPr>
          <c:marker>
            <c:symbol val="square"/>
            <c:size val="5"/>
            <c:spPr>
              <a:noFill/>
              <a:ln w="9525">
                <a:solidFill>
                  <a:schemeClr val="accent2"/>
                </a:solidFill>
              </a:ln>
              <a:effectLst/>
            </c:spPr>
          </c:marker>
          <c:dLbls>
            <c:dLbl>
              <c:idx val="20"/>
              <c:layout>
                <c:manualLayout>
                  <c:x val="-1.4094432699083862E-2"/>
                  <c:y val="-4.669260700389107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ko-KR"/>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407-4B88-8DD8-5EEBC5D2E11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ko-K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숙련프리미엄!$T$26:$T$46</c:f>
              <c:numCache>
                <c:formatCode>General</c:formatCod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numCache>
            </c:numRef>
          </c:cat>
          <c:val>
            <c:numRef>
              <c:f>숙련프리미엄!$V$26:$V$46</c:f>
              <c:numCache>
                <c:formatCode>0.00</c:formatCode>
                <c:ptCount val="21"/>
                <c:pt idx="0">
                  <c:v>0</c:v>
                </c:pt>
                <c:pt idx="1">
                  <c:v>1.3250856509092743</c:v>
                </c:pt>
                <c:pt idx="2">
                  <c:v>1.9181675537039757</c:v>
                </c:pt>
                <c:pt idx="3">
                  <c:v>2.5953757294991937</c:v>
                </c:pt>
                <c:pt idx="4">
                  <c:v>3.3175982090027922</c:v>
                </c:pt>
                <c:pt idx="5">
                  <c:v>4.166872664612109</c:v>
                </c:pt>
                <c:pt idx="6">
                  <c:v>5.2625669095435654</c:v>
                </c:pt>
                <c:pt idx="7">
                  <c:v>6.4055132891334576</c:v>
                </c:pt>
                <c:pt idx="8">
                  <c:v>7.5497346836465704</c:v>
                </c:pt>
                <c:pt idx="9">
                  <c:v>8.7825099662065966</c:v>
                </c:pt>
                <c:pt idx="10">
                  <c:v>10.057019290971382</c:v>
                </c:pt>
                <c:pt idx="11">
                  <c:v>10.83742111368997</c:v>
                </c:pt>
                <c:pt idx="12">
                  <c:v>11.64449073437568</c:v>
                </c:pt>
                <c:pt idx="13">
                  <c:v>12.457632228056182</c:v>
                </c:pt>
                <c:pt idx="14">
                  <c:v>13.266613916690817</c:v>
                </c:pt>
                <c:pt idx="15">
                  <c:v>14.061928769032381</c:v>
                </c:pt>
                <c:pt idx="16">
                  <c:v>14.838995465445423</c:v>
                </c:pt>
                <c:pt idx="17">
                  <c:v>15.595329368667946</c:v>
                </c:pt>
                <c:pt idx="18">
                  <c:v>16.329932518006892</c:v>
                </c:pt>
                <c:pt idx="19">
                  <c:v>17.042875691615514</c:v>
                </c:pt>
                <c:pt idx="20">
                  <c:v>17.735006597097964</c:v>
                </c:pt>
              </c:numCache>
            </c:numRef>
          </c:val>
          <c:smooth val="0"/>
          <c:extLst xmlns:c16r2="http://schemas.microsoft.com/office/drawing/2015/06/chart">
            <c:ext xmlns:c16="http://schemas.microsoft.com/office/drawing/2014/chart" uri="{C3380CC4-5D6E-409C-BE32-E72D297353CC}">
              <c16:uniqueId val="{00000003-9407-4B88-8DD8-5EEBC5D2E115}"/>
            </c:ext>
          </c:extLst>
        </c:ser>
        <c:dLbls>
          <c:showLegendKey val="0"/>
          <c:showVal val="0"/>
          <c:showCatName val="0"/>
          <c:showSerName val="0"/>
          <c:showPercent val="0"/>
          <c:showBubbleSize val="0"/>
        </c:dLbls>
        <c:marker val="1"/>
        <c:smooth val="0"/>
        <c:axId val="622391296"/>
        <c:axId val="622391856"/>
      </c:lineChart>
      <c:catAx>
        <c:axId val="622391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ko-KR"/>
          </a:p>
        </c:txPr>
        <c:crossAx val="622391856"/>
        <c:crosses val="autoZero"/>
        <c:auto val="1"/>
        <c:lblAlgn val="ctr"/>
        <c:lblOffset val="100"/>
        <c:noMultiLvlLbl val="0"/>
      </c:catAx>
      <c:valAx>
        <c:axId val="6223918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ko-KR"/>
          </a:p>
        </c:txPr>
        <c:crossAx val="622391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ko-K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GDP!$J$2</c:f>
              <c:strCache>
                <c:ptCount val="1"/>
                <c:pt idx="0">
                  <c:v>SCN1</c:v>
                </c:pt>
              </c:strCache>
            </c:strRef>
          </c:tx>
          <c:spPr>
            <a:ln w="9525" cap="rnd">
              <a:solidFill>
                <a:schemeClr val="accent1"/>
              </a:solidFill>
              <a:prstDash val="sysDash"/>
              <a:round/>
            </a:ln>
            <a:effectLst/>
          </c:spPr>
          <c:marker>
            <c:symbol val="circle"/>
            <c:size val="5"/>
            <c:spPr>
              <a:solidFill>
                <a:schemeClr val="accent1"/>
              </a:solidFill>
              <a:ln w="9525">
                <a:solidFill>
                  <a:schemeClr val="accent1"/>
                </a:solidFill>
                <a:prstDash val="sysDash"/>
              </a:ln>
              <a:effectLst/>
            </c:spPr>
          </c:marker>
          <c:dLbls>
            <c:dLbl>
              <c:idx val="20"/>
              <c:layout>
                <c:manualLayout>
                  <c:x val="-2.777777777777788E-2"/>
                  <c:y val="5.5555555555555552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ko-KR"/>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ko-K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GDP!$I$3:$I$23</c:f>
              <c:numCache>
                <c:formatCode>General</c:formatCod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numCache>
            </c:numRef>
          </c:cat>
          <c:val>
            <c:numRef>
              <c:f>GDP!$J$3:$J$23</c:f>
              <c:numCache>
                <c:formatCode>_-* #,##0.0_-;\-* #,##0.0_-;_-* "-"_-;_-@_-</c:formatCode>
                <c:ptCount val="21"/>
                <c:pt idx="0">
                  <c:v>1.8368431220494585E-7</c:v>
                </c:pt>
                <c:pt idx="1">
                  <c:v>-5.4767288715229512E-5</c:v>
                </c:pt>
                <c:pt idx="2">
                  <c:v>4.8617653907179204E-2</c:v>
                </c:pt>
                <c:pt idx="3">
                  <c:v>-0.44491572813220026</c:v>
                </c:pt>
                <c:pt idx="4">
                  <c:v>-1.4002178637072982</c:v>
                </c:pt>
                <c:pt idx="5">
                  <c:v>-2.2165058973086849</c:v>
                </c:pt>
                <c:pt idx="6">
                  <c:v>-2.9132674403134051</c:v>
                </c:pt>
                <c:pt idx="7">
                  <c:v>-3.5035364627484356</c:v>
                </c:pt>
                <c:pt idx="8">
                  <c:v>-3.9979753601971368</c:v>
                </c:pt>
                <c:pt idx="9">
                  <c:v>-4.4061106305529059</c:v>
                </c:pt>
                <c:pt idx="10">
                  <c:v>-4.7367442291811663</c:v>
                </c:pt>
                <c:pt idx="11">
                  <c:v>-4.9980964255514131</c:v>
                </c:pt>
                <c:pt idx="12">
                  <c:v>-5.1978122119049397</c:v>
                </c:pt>
                <c:pt idx="13">
                  <c:v>-5.3430271525921613</c:v>
                </c:pt>
                <c:pt idx="14">
                  <c:v>-5.4402820119267119</c:v>
                </c:pt>
                <c:pt idx="15">
                  <c:v>-5.4955976306893533</c:v>
                </c:pt>
                <c:pt idx="16">
                  <c:v>-5.5143723344622035</c:v>
                </c:pt>
                <c:pt idx="17">
                  <c:v>-5.5014237021738577</c:v>
                </c:pt>
                <c:pt idx="18">
                  <c:v>-5.4609867310841835</c:v>
                </c:pt>
                <c:pt idx="19">
                  <c:v>-5.3967174843105976</c:v>
                </c:pt>
                <c:pt idx="20">
                  <c:v>-5.3117030021341822</c:v>
                </c:pt>
              </c:numCache>
            </c:numRef>
          </c:val>
          <c:smooth val="0"/>
        </c:ser>
        <c:ser>
          <c:idx val="1"/>
          <c:order val="1"/>
          <c:tx>
            <c:strRef>
              <c:f>GDP!$K$2</c:f>
              <c:strCache>
                <c:ptCount val="1"/>
                <c:pt idx="0">
                  <c:v>SCN2</c:v>
                </c:pt>
              </c:strCache>
            </c:strRef>
          </c:tx>
          <c:spPr>
            <a:ln w="9525" cap="rnd">
              <a:solidFill>
                <a:schemeClr val="accent2"/>
              </a:solidFill>
              <a:round/>
            </a:ln>
            <a:effectLst/>
          </c:spPr>
          <c:marker>
            <c:symbol val="square"/>
            <c:size val="5"/>
            <c:spPr>
              <a:noFill/>
              <a:ln w="9525">
                <a:solidFill>
                  <a:schemeClr val="accent2"/>
                </a:solidFill>
              </a:ln>
              <a:effectLst/>
            </c:spPr>
          </c:marker>
          <c:dLbls>
            <c:dLbl>
              <c:idx val="20"/>
              <c:layout>
                <c:manualLayout>
                  <c:x val="-2.2222222222222223E-2"/>
                  <c:y val="-4.1666666666666678E-2"/>
                </c:manualLayout>
              </c:layout>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ko-KR"/>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ko-K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GDP!$I$3:$I$23</c:f>
              <c:numCache>
                <c:formatCode>General</c:formatCod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numCache>
            </c:numRef>
          </c:cat>
          <c:val>
            <c:numRef>
              <c:f>GDP!$K$3:$K$23</c:f>
              <c:numCache>
                <c:formatCode>_-* #,##0.0_-;\-* #,##0.0_-;_-* "-"_-;_-@_-</c:formatCode>
                <c:ptCount val="21"/>
                <c:pt idx="0">
                  <c:v>0</c:v>
                </c:pt>
                <c:pt idx="1">
                  <c:v>-6.8529963712093966E-3</c:v>
                </c:pt>
                <c:pt idx="2">
                  <c:v>0.9977365858581555</c:v>
                </c:pt>
                <c:pt idx="3">
                  <c:v>1.5411360474981928</c:v>
                </c:pt>
                <c:pt idx="4">
                  <c:v>1.678790530187535</c:v>
                </c:pt>
                <c:pt idx="5">
                  <c:v>1.9990697988010009</c:v>
                </c:pt>
                <c:pt idx="6">
                  <c:v>2.5037142173439442</c:v>
                </c:pt>
                <c:pt idx="7">
                  <c:v>3.1577749802670807</c:v>
                </c:pt>
                <c:pt idx="8">
                  <c:v>3.952558485191715</c:v>
                </c:pt>
                <c:pt idx="9">
                  <c:v>4.8760124087499745</c:v>
                </c:pt>
                <c:pt idx="10">
                  <c:v>5.9294109259885541</c:v>
                </c:pt>
                <c:pt idx="11">
                  <c:v>7.0493796054403202</c:v>
                </c:pt>
                <c:pt idx="12">
                  <c:v>8.1507615490130636</c:v>
                </c:pt>
                <c:pt idx="13">
                  <c:v>9.229270101126307</c:v>
                </c:pt>
                <c:pt idx="14">
                  <c:v>10.284036498093041</c:v>
                </c:pt>
                <c:pt idx="15">
                  <c:v>11.315924305471947</c:v>
                </c:pt>
                <c:pt idx="16">
                  <c:v>12.325823014258486</c:v>
                </c:pt>
                <c:pt idx="17">
                  <c:v>13.314818358401359</c:v>
                </c:pt>
                <c:pt idx="18">
                  <c:v>14.284205740939605</c:v>
                </c:pt>
                <c:pt idx="19">
                  <c:v>15.235542695360028</c:v>
                </c:pt>
                <c:pt idx="20">
                  <c:v>16.170700777504866</c:v>
                </c:pt>
              </c:numCache>
            </c:numRef>
          </c:val>
          <c:smooth val="0"/>
        </c:ser>
        <c:dLbls>
          <c:showLegendKey val="0"/>
          <c:showVal val="0"/>
          <c:showCatName val="0"/>
          <c:showSerName val="0"/>
          <c:showPercent val="0"/>
          <c:showBubbleSize val="0"/>
        </c:dLbls>
        <c:marker val="1"/>
        <c:smooth val="0"/>
        <c:axId val="461242336"/>
        <c:axId val="461242896"/>
      </c:lineChart>
      <c:catAx>
        <c:axId val="461242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ko-KR"/>
          </a:p>
        </c:txPr>
        <c:crossAx val="461242896"/>
        <c:crosses val="autoZero"/>
        <c:auto val="1"/>
        <c:lblAlgn val="ctr"/>
        <c:lblOffset val="100"/>
        <c:noMultiLvlLbl val="0"/>
      </c:catAx>
      <c:valAx>
        <c:axId val="461242896"/>
        <c:scaling>
          <c:orientation val="minMax"/>
        </c:scaling>
        <c:delete val="0"/>
        <c:axPos val="l"/>
        <c:majorGridlines>
          <c:spPr>
            <a:ln w="9525" cap="flat" cmpd="sng" algn="ctr">
              <a:solidFill>
                <a:schemeClr val="tx1">
                  <a:lumMod val="15000"/>
                  <a:lumOff val="85000"/>
                </a:schemeClr>
              </a:solidFill>
              <a:round/>
            </a:ln>
            <a:effectLst/>
          </c:spPr>
        </c:majorGridlines>
        <c:numFmt formatCode="_-* #,##0.0_-;\-* #,##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ko-KR"/>
          </a:p>
        </c:txPr>
        <c:crossAx val="461242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ko-K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부가가치!$C$76</c:f>
              <c:strCache>
                <c:ptCount val="1"/>
                <c:pt idx="0">
                  <c:v>Capital</c:v>
                </c:pt>
              </c:strCache>
            </c:strRef>
          </c:tx>
          <c:spPr>
            <a:pattFill prst="pct5">
              <a:fgClr>
                <a:schemeClr val="accent1">
                  <a:lumMod val="50000"/>
                  <a:lumOff val="0"/>
                </a:schemeClr>
              </a:fgClr>
              <a:bgClr>
                <a:schemeClr val="bg1"/>
              </a:bgClr>
            </a:pattFill>
            <a:ln>
              <a:solidFill>
                <a:schemeClr val="tx1"/>
              </a:solid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ko-K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부가가치!$B$77:$B$79</c:f>
              <c:strCache>
                <c:ptCount val="3"/>
                <c:pt idx="0">
                  <c:v>BAU (2030)</c:v>
                </c:pt>
                <c:pt idx="1">
                  <c:v>SCN1 (2030)</c:v>
                </c:pt>
                <c:pt idx="2">
                  <c:v>SCN2 (2030)</c:v>
                </c:pt>
              </c:strCache>
            </c:strRef>
          </c:cat>
          <c:val>
            <c:numRef>
              <c:f>부가가치!$C$77:$C$79</c:f>
              <c:numCache>
                <c:formatCode>0.0</c:formatCode>
                <c:ptCount val="3"/>
                <c:pt idx="0">
                  <c:v>664.98821700942801</c:v>
                </c:pt>
                <c:pt idx="1">
                  <c:v>630.31713318563095</c:v>
                </c:pt>
                <c:pt idx="2">
                  <c:v>776.71611165676302</c:v>
                </c:pt>
              </c:numCache>
            </c:numRef>
          </c:val>
        </c:ser>
        <c:ser>
          <c:idx val="1"/>
          <c:order val="1"/>
          <c:tx>
            <c:strRef>
              <c:f>부가가치!$D$76</c:f>
              <c:strCache>
                <c:ptCount val="1"/>
                <c:pt idx="0">
                  <c:v>Unskilled</c:v>
                </c:pt>
              </c:strCache>
            </c:strRef>
          </c:tx>
          <c:spPr>
            <a:pattFill prst="openDmnd">
              <a:fgClr>
                <a:schemeClr val="accent1">
                  <a:lumMod val="50000"/>
                  <a:lumOff val="0"/>
                </a:schemeClr>
              </a:fgClr>
              <a:bgClr>
                <a:schemeClr val="bg1"/>
              </a:bgClr>
            </a:pattFill>
            <a:ln>
              <a:solidFill>
                <a:schemeClr val="tx1"/>
              </a:solid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ko-K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부가가치!$B$77:$B$79</c:f>
              <c:strCache>
                <c:ptCount val="3"/>
                <c:pt idx="0">
                  <c:v>BAU (2030)</c:v>
                </c:pt>
                <c:pt idx="1">
                  <c:v>SCN1 (2030)</c:v>
                </c:pt>
                <c:pt idx="2">
                  <c:v>SCN2 (2030)</c:v>
                </c:pt>
              </c:strCache>
            </c:strRef>
          </c:cat>
          <c:val>
            <c:numRef>
              <c:f>부가가치!$D$77:$D$79</c:f>
              <c:numCache>
                <c:formatCode>0.0</c:formatCode>
                <c:ptCount val="3"/>
                <c:pt idx="0">
                  <c:v>243.99953154126601</c:v>
                </c:pt>
                <c:pt idx="1">
                  <c:v>232.43978198376499</c:v>
                </c:pt>
                <c:pt idx="2">
                  <c:v>271.97187722663801</c:v>
                </c:pt>
              </c:numCache>
            </c:numRef>
          </c:val>
        </c:ser>
        <c:ser>
          <c:idx val="2"/>
          <c:order val="2"/>
          <c:tx>
            <c:strRef>
              <c:f>부가가치!$E$76</c:f>
              <c:strCache>
                <c:ptCount val="1"/>
                <c:pt idx="0">
                  <c:v>Skilled</c:v>
                </c:pt>
              </c:strCache>
            </c:strRef>
          </c:tx>
          <c:spPr>
            <a:solidFill>
              <a:schemeClr val="bg1">
                <a:lumMod val="95000"/>
              </a:schemeClr>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ko-K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부가가치!$B$77:$B$79</c:f>
              <c:strCache>
                <c:ptCount val="3"/>
                <c:pt idx="0">
                  <c:v>BAU (2030)</c:v>
                </c:pt>
                <c:pt idx="1">
                  <c:v>SCN1 (2030)</c:v>
                </c:pt>
                <c:pt idx="2">
                  <c:v>SCN2 (2030)</c:v>
                </c:pt>
              </c:strCache>
            </c:strRef>
          </c:cat>
          <c:val>
            <c:numRef>
              <c:f>부가가치!$E$77:$E$79</c:f>
              <c:numCache>
                <c:formatCode>0.0</c:formatCode>
                <c:ptCount val="3"/>
                <c:pt idx="0">
                  <c:v>316.73693647935897</c:v>
                </c:pt>
                <c:pt idx="1">
                  <c:v>301.74840775193098</c:v>
                </c:pt>
                <c:pt idx="2">
                  <c:v>357.05069225262503</c:v>
                </c:pt>
              </c:numCache>
            </c:numRef>
          </c:val>
        </c:ser>
        <c:ser>
          <c:idx val="3"/>
          <c:order val="3"/>
          <c:tx>
            <c:strRef>
              <c:f>부가가치!$F$76</c:f>
              <c:strCache>
                <c:ptCount val="1"/>
                <c:pt idx="0">
                  <c:v>High-skilled</c:v>
                </c:pt>
              </c:strCache>
            </c:strRef>
          </c:tx>
          <c:spPr>
            <a:pattFill prst="ltUpDiag">
              <a:fgClr>
                <a:schemeClr val="accent1">
                  <a:lumMod val="50000"/>
                  <a:lumOff val="0"/>
                </a:schemeClr>
              </a:fgClr>
              <a:bgClr>
                <a:schemeClr val="bg1"/>
              </a:bgClr>
            </a:pattFill>
            <a:ln>
              <a:solidFill>
                <a:schemeClr val="tx1"/>
              </a:solid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ko-K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부가가치!$B$77:$B$79</c:f>
              <c:strCache>
                <c:ptCount val="3"/>
                <c:pt idx="0">
                  <c:v>BAU (2030)</c:v>
                </c:pt>
                <c:pt idx="1">
                  <c:v>SCN1 (2030)</c:v>
                </c:pt>
                <c:pt idx="2">
                  <c:v>SCN2 (2030)</c:v>
                </c:pt>
              </c:strCache>
            </c:strRef>
          </c:cat>
          <c:val>
            <c:numRef>
              <c:f>부가가치!$F$77:$F$79</c:f>
              <c:numCache>
                <c:formatCode>0.0</c:formatCode>
                <c:ptCount val="3"/>
                <c:pt idx="0">
                  <c:v>103.71559324121201</c:v>
                </c:pt>
                <c:pt idx="1">
                  <c:v>95.886277866354604</c:v>
                </c:pt>
                <c:pt idx="2">
                  <c:v>131.21009315336201</c:v>
                </c:pt>
              </c:numCache>
            </c:numRef>
          </c:val>
        </c:ser>
        <c:ser>
          <c:idx val="4"/>
          <c:order val="4"/>
          <c:tx>
            <c:strRef>
              <c:f>부가가치!$G$76</c:f>
              <c:strCache>
                <c:ptCount val="1"/>
                <c:pt idx="0">
                  <c:v>Knowledge</c:v>
                </c:pt>
              </c:strCache>
            </c:strRef>
          </c:tx>
          <c:spPr>
            <a:pattFill prst="zigZag">
              <a:fgClr>
                <a:schemeClr val="accent6">
                  <a:lumMod val="60000"/>
                  <a:lumOff val="40000"/>
                </a:schemeClr>
              </a:fgClr>
              <a:bgClr>
                <a:schemeClr val="bg1"/>
              </a:bgClr>
            </a:pattFill>
            <a:ln>
              <a:solidFill>
                <a:schemeClr val="tx1"/>
              </a:solidFill>
            </a:ln>
            <a:effectLst/>
          </c:spPr>
          <c:invertIfNegative val="0"/>
          <c:dLbls>
            <c:dLbl>
              <c:idx val="0"/>
              <c:layout>
                <c:manualLayout>
                  <c:x val="-8.6758331095924885E-17"/>
                  <c:y val="-3.636363636363640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3.636363636363636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4.040404040404040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ko-K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부가가치!$B$77:$B$79</c:f>
              <c:strCache>
                <c:ptCount val="3"/>
                <c:pt idx="0">
                  <c:v>BAU (2030)</c:v>
                </c:pt>
                <c:pt idx="1">
                  <c:v>SCN1 (2030)</c:v>
                </c:pt>
                <c:pt idx="2">
                  <c:v>SCN2 (2030)</c:v>
                </c:pt>
              </c:strCache>
            </c:strRef>
          </c:cat>
          <c:val>
            <c:numRef>
              <c:f>부가가치!$G$77:$G$79</c:f>
              <c:numCache>
                <c:formatCode>0.0</c:formatCode>
                <c:ptCount val="3"/>
                <c:pt idx="0">
                  <c:v>75.896266141650997</c:v>
                </c:pt>
                <c:pt idx="1">
                  <c:v>70.297640205570602</c:v>
                </c:pt>
                <c:pt idx="2">
                  <c:v>95.640537637476996</c:v>
                </c:pt>
              </c:numCache>
            </c:numRef>
          </c:val>
        </c:ser>
        <c:dLbls>
          <c:showLegendKey val="0"/>
          <c:showVal val="1"/>
          <c:showCatName val="0"/>
          <c:showSerName val="0"/>
          <c:showPercent val="0"/>
          <c:showBubbleSize val="0"/>
        </c:dLbls>
        <c:gapWidth val="75"/>
        <c:overlap val="100"/>
        <c:axId val="461975472"/>
        <c:axId val="461976032"/>
      </c:barChart>
      <c:catAx>
        <c:axId val="46197547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ko-KR"/>
          </a:p>
        </c:txPr>
        <c:crossAx val="461976032"/>
        <c:crosses val="autoZero"/>
        <c:auto val="1"/>
        <c:lblAlgn val="ctr"/>
        <c:lblOffset val="100"/>
        <c:noMultiLvlLbl val="0"/>
      </c:catAx>
      <c:valAx>
        <c:axId val="461976032"/>
        <c:scaling>
          <c:orientation val="minMax"/>
          <c:max val="1700"/>
          <c:min val="0"/>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ko-KR"/>
          </a:p>
        </c:txPr>
        <c:crossAx val="461975472"/>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ko-KR"/>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ko-K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ko-K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부가가치!$J$86</c:f>
              <c:strCache>
                <c:ptCount val="1"/>
                <c:pt idx="0">
                  <c:v>Capital</c:v>
                </c:pt>
              </c:strCache>
            </c:strRef>
          </c:tx>
          <c:spPr>
            <a:pattFill prst="pct5">
              <a:fgClr>
                <a:schemeClr val="accent1">
                  <a:lumMod val="50000"/>
                  <a:lumOff val="0"/>
                </a:schemeClr>
              </a:fgClr>
              <a:bgClr>
                <a:schemeClr val="bg1"/>
              </a:bgClr>
            </a:patt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ko-K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부가가치!$I$87:$I$89</c:f>
              <c:strCache>
                <c:ptCount val="3"/>
                <c:pt idx="0">
                  <c:v>BAU (2030)</c:v>
                </c:pt>
                <c:pt idx="1">
                  <c:v>SCN1 (2030)</c:v>
                </c:pt>
                <c:pt idx="2">
                  <c:v>SCN2 (2030)</c:v>
                </c:pt>
              </c:strCache>
            </c:strRef>
          </c:cat>
          <c:val>
            <c:numRef>
              <c:f>부가가치!$J$87:$J$89</c:f>
              <c:numCache>
                <c:formatCode>0.0%</c:formatCode>
                <c:ptCount val="3"/>
                <c:pt idx="0">
                  <c:v>0.47318787777430854</c:v>
                </c:pt>
                <c:pt idx="1">
                  <c:v>0.47367718455072955</c:v>
                </c:pt>
                <c:pt idx="2">
                  <c:v>0.4757571950168184</c:v>
                </c:pt>
              </c:numCache>
            </c:numRef>
          </c:val>
        </c:ser>
        <c:ser>
          <c:idx val="1"/>
          <c:order val="1"/>
          <c:tx>
            <c:strRef>
              <c:f>부가가치!$K$86</c:f>
              <c:strCache>
                <c:ptCount val="1"/>
                <c:pt idx="0">
                  <c:v>Unskilled labor</c:v>
                </c:pt>
              </c:strCache>
            </c:strRef>
          </c:tx>
          <c:spPr>
            <a:pattFill prst="openDmnd">
              <a:fgClr>
                <a:sysClr val="windowText" lastClr="000000"/>
              </a:fgClr>
              <a:bgClr>
                <a:schemeClr val="bg1"/>
              </a:bgClr>
            </a:patt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ko-K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부가가치!$I$87:$I$89</c:f>
              <c:strCache>
                <c:ptCount val="3"/>
                <c:pt idx="0">
                  <c:v>BAU (2030)</c:v>
                </c:pt>
                <c:pt idx="1">
                  <c:v>SCN1 (2030)</c:v>
                </c:pt>
                <c:pt idx="2">
                  <c:v>SCN2 (2030)</c:v>
                </c:pt>
              </c:strCache>
            </c:strRef>
          </c:cat>
          <c:val>
            <c:numRef>
              <c:f>부가가치!$K$87:$K$89</c:f>
              <c:numCache>
                <c:formatCode>0.0%</c:formatCode>
                <c:ptCount val="3"/>
                <c:pt idx="0">
                  <c:v>0.17362355836494497</c:v>
                </c:pt>
                <c:pt idx="1">
                  <c:v>0.1746762315522048</c:v>
                </c:pt>
                <c:pt idx="2">
                  <c:v>0.16658927952042202</c:v>
                </c:pt>
              </c:numCache>
            </c:numRef>
          </c:val>
        </c:ser>
        <c:ser>
          <c:idx val="2"/>
          <c:order val="2"/>
          <c:tx>
            <c:strRef>
              <c:f>부가가치!$L$86</c:f>
              <c:strCache>
                <c:ptCount val="1"/>
                <c:pt idx="0">
                  <c:v>Skilled labor</c:v>
                </c:pt>
              </c:strCache>
            </c:strRef>
          </c:tx>
          <c:spPr>
            <a:solidFill>
              <a:schemeClr val="bg1">
                <a:lumMod val="95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ko-K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부가가치!$I$87:$I$89</c:f>
              <c:strCache>
                <c:ptCount val="3"/>
                <c:pt idx="0">
                  <c:v>BAU (2030)</c:v>
                </c:pt>
                <c:pt idx="1">
                  <c:v>SCN1 (2030)</c:v>
                </c:pt>
                <c:pt idx="2">
                  <c:v>SCN2 (2030)</c:v>
                </c:pt>
              </c:strCache>
            </c:strRef>
          </c:cat>
          <c:val>
            <c:numRef>
              <c:f>부가가치!$L$87:$L$89</c:f>
              <c:numCache>
                <c:formatCode>0.0%</c:formatCode>
                <c:ptCount val="3"/>
                <c:pt idx="0">
                  <c:v>0.22538155557014769</c:v>
                </c:pt>
                <c:pt idx="1">
                  <c:v>0.22676098855860599</c:v>
                </c:pt>
                <c:pt idx="2">
                  <c:v>0.21870208854375969</c:v>
                </c:pt>
              </c:numCache>
            </c:numRef>
          </c:val>
        </c:ser>
        <c:ser>
          <c:idx val="3"/>
          <c:order val="3"/>
          <c:tx>
            <c:strRef>
              <c:f>부가가치!$M$86</c:f>
              <c:strCache>
                <c:ptCount val="1"/>
                <c:pt idx="0">
                  <c:v>High-skilled labor</c:v>
                </c:pt>
              </c:strCache>
            </c:strRef>
          </c:tx>
          <c:spPr>
            <a:pattFill prst="ltUpDiag">
              <a:fgClr>
                <a:schemeClr val="accent1">
                  <a:lumMod val="75000"/>
                </a:schemeClr>
              </a:fgClr>
              <a:bgClr>
                <a:schemeClr val="bg1"/>
              </a:bgClr>
            </a:pattFill>
            <a:ln>
              <a:solidFill>
                <a:schemeClr val="tx1"/>
              </a:solidFill>
            </a:ln>
            <a:effectLst/>
          </c:spPr>
          <c:invertIfNegative val="0"/>
          <c:dLbls>
            <c:dLbl>
              <c:idx val="0"/>
              <c:layout>
                <c:manualLayout>
                  <c:x val="7.1658903618774632E-3"/>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7.165890361877288E-3"/>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3886301206256459E-3"/>
                  <c:y val="3.8639876352395673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ko-K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부가가치!$I$87:$I$89</c:f>
              <c:strCache>
                <c:ptCount val="3"/>
                <c:pt idx="0">
                  <c:v>BAU (2030)</c:v>
                </c:pt>
                <c:pt idx="1">
                  <c:v>SCN1 (2030)</c:v>
                </c:pt>
                <c:pt idx="2">
                  <c:v>SCN2 (2030)</c:v>
                </c:pt>
              </c:strCache>
            </c:strRef>
          </c:cat>
          <c:val>
            <c:numRef>
              <c:f>부가가치!$M$87:$M$89</c:f>
              <c:numCache>
                <c:formatCode>0.0%</c:formatCode>
                <c:ptCount val="3"/>
                <c:pt idx="0">
                  <c:v>7.3801249710288813E-2</c:v>
                </c:pt>
                <c:pt idx="1">
                  <c:v>7.2057603618094351E-2</c:v>
                </c:pt>
                <c:pt idx="2">
                  <c:v>8.0369320192658342E-2</c:v>
                </c:pt>
              </c:numCache>
            </c:numRef>
          </c:val>
        </c:ser>
        <c:ser>
          <c:idx val="4"/>
          <c:order val="4"/>
          <c:tx>
            <c:strRef>
              <c:f>부가가치!$N$86</c:f>
              <c:strCache>
                <c:ptCount val="1"/>
                <c:pt idx="0">
                  <c:v>Knowledge</c:v>
                </c:pt>
              </c:strCache>
            </c:strRef>
          </c:tx>
          <c:spPr>
            <a:pattFill prst="zigZag">
              <a:fgClr>
                <a:schemeClr val="accent1">
                  <a:lumMod val="75000"/>
                </a:schemeClr>
              </a:fgClr>
              <a:bgClr>
                <a:schemeClr val="bg1"/>
              </a:bgClr>
            </a:pattFill>
            <a:ln>
              <a:solidFill>
                <a:schemeClr val="tx1"/>
              </a:solidFill>
            </a:ln>
            <a:effectLst/>
          </c:spPr>
          <c:invertIfNegative val="0"/>
          <c:dLbls>
            <c:dLbl>
              <c:idx val="0"/>
              <c:layout>
                <c:manualLayout>
                  <c:x val="1.9833529407892448E-2"/>
                  <c:y val="3.0984921320692011E-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ko-KR"/>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1.7444899287266627E-2"/>
                  <c:y val="3.8639876352395673E-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ko-KR"/>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1.6666666666666666E-2"/>
                  <c:y val="4.6296296296296294E-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ko-KR"/>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ko-K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부가가치!$I$87:$I$89</c:f>
              <c:strCache>
                <c:ptCount val="3"/>
                <c:pt idx="0">
                  <c:v>BAU (2030)</c:v>
                </c:pt>
                <c:pt idx="1">
                  <c:v>SCN1 (2030)</c:v>
                </c:pt>
                <c:pt idx="2">
                  <c:v>SCN2 (2030)</c:v>
                </c:pt>
              </c:strCache>
            </c:strRef>
          </c:cat>
          <c:val>
            <c:numRef>
              <c:f>부가가치!$N$87:$N$89</c:f>
              <c:numCache>
                <c:formatCode>0.0%</c:formatCode>
                <c:ptCount val="3"/>
                <c:pt idx="0">
                  <c:v>5.4005758580309968E-2</c:v>
                </c:pt>
                <c:pt idx="1">
                  <c:v>5.2827991720365217E-2</c:v>
                </c:pt>
                <c:pt idx="2">
                  <c:v>5.8582116726341386E-2</c:v>
                </c:pt>
              </c:numCache>
            </c:numRef>
          </c:val>
        </c:ser>
        <c:dLbls>
          <c:showLegendKey val="0"/>
          <c:showVal val="0"/>
          <c:showCatName val="0"/>
          <c:showSerName val="0"/>
          <c:showPercent val="0"/>
          <c:showBubbleSize val="0"/>
        </c:dLbls>
        <c:gapWidth val="150"/>
        <c:overlap val="100"/>
        <c:axId val="620598432"/>
        <c:axId val="620598992"/>
      </c:barChart>
      <c:catAx>
        <c:axId val="6205984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ko-KR"/>
          </a:p>
        </c:txPr>
        <c:crossAx val="620598992"/>
        <c:crosses val="autoZero"/>
        <c:auto val="1"/>
        <c:lblAlgn val="ctr"/>
        <c:lblOffset val="100"/>
        <c:noMultiLvlLbl val="0"/>
      </c:catAx>
      <c:valAx>
        <c:axId val="6205989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ko-KR"/>
          </a:p>
        </c:txPr>
        <c:crossAx val="6205984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ko-KR"/>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ko-K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Sheet2!$J$3</c:f>
              <c:strCache>
                <c:ptCount val="1"/>
                <c:pt idx="0">
                  <c:v>Capital</c:v>
                </c:pt>
              </c:strCache>
            </c:strRef>
          </c:tx>
          <c:spPr>
            <a:ln w="9525" cap="rnd">
              <a:solidFill>
                <a:schemeClr val="accent1"/>
              </a:solidFill>
              <a:round/>
            </a:ln>
            <a:effectLst/>
          </c:spPr>
          <c:marker>
            <c:symbol val="triangle"/>
            <c:size val="5"/>
            <c:spPr>
              <a:solidFill>
                <a:schemeClr val="accent1"/>
              </a:solidFill>
              <a:ln w="9525">
                <a:solidFill>
                  <a:schemeClr val="accent1"/>
                </a:solidFill>
              </a:ln>
              <a:effectLst/>
            </c:spPr>
          </c:marker>
          <c:cat>
            <c:numRef>
              <c:f>Sheet2!$I$4:$I$24</c:f>
              <c:numCache>
                <c:formatCode>General</c:formatCod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numCache>
            </c:numRef>
          </c:cat>
          <c:val>
            <c:numRef>
              <c:f>Sheet2!$J$4:$J$24</c:f>
              <c:numCache>
                <c:formatCode>General</c:formatCode>
                <c:ptCount val="21"/>
                <c:pt idx="0">
                  <c:v>-1.6343191577838929E-6</c:v>
                </c:pt>
                <c:pt idx="1">
                  <c:v>2.6546221439049948E-3</c:v>
                </c:pt>
                <c:pt idx="2">
                  <c:v>-9.9072939774880214E-2</c:v>
                </c:pt>
                <c:pt idx="3">
                  <c:v>-0.71609584602410092</c:v>
                </c:pt>
                <c:pt idx="4">
                  <c:v>-1.6303259726882071</c:v>
                </c:pt>
                <c:pt idx="5">
                  <c:v>-2.420020537497714</c:v>
                </c:pt>
                <c:pt idx="6">
                  <c:v>-3.0979853638669068</c:v>
                </c:pt>
                <c:pt idx="7">
                  <c:v>-3.6728027222740707</c:v>
                </c:pt>
                <c:pt idx="8">
                  <c:v>-4.1523639294766213</c:v>
                </c:pt>
                <c:pt idx="9">
                  <c:v>-4.5446149913930149</c:v>
                </c:pt>
                <c:pt idx="10">
                  <c:v>-4.8576111576676952</c:v>
                </c:pt>
                <c:pt idx="11">
                  <c:v>-5.0993987767220874</c:v>
                </c:pt>
                <c:pt idx="12">
                  <c:v>-5.2778277863324563</c:v>
                </c:pt>
                <c:pt idx="13">
                  <c:v>-5.4004643621629924</c:v>
                </c:pt>
                <c:pt idx="14">
                  <c:v>-5.4743950878085474</c:v>
                </c:pt>
                <c:pt idx="15">
                  <c:v>-5.5061892455926404</c:v>
                </c:pt>
                <c:pt idx="16">
                  <c:v>-5.5017405243331439</c:v>
                </c:pt>
                <c:pt idx="17">
                  <c:v>-5.4662383811860176</c:v>
                </c:pt>
                <c:pt idx="18">
                  <c:v>-5.4041165432817335</c:v>
                </c:pt>
                <c:pt idx="19">
                  <c:v>-5.319019499566136</c:v>
                </c:pt>
                <c:pt idx="20">
                  <c:v>-5.2137891976070225</c:v>
                </c:pt>
              </c:numCache>
            </c:numRef>
          </c:val>
          <c:smooth val="0"/>
          <c:extLst xmlns:c16r2="http://schemas.microsoft.com/office/drawing/2015/06/chart">
            <c:ext xmlns:c16="http://schemas.microsoft.com/office/drawing/2014/chart" uri="{C3380CC4-5D6E-409C-BE32-E72D297353CC}">
              <c16:uniqueId val="{00000000-2523-4776-BEF8-D6AD19A8D9D9}"/>
            </c:ext>
          </c:extLst>
        </c:ser>
        <c:ser>
          <c:idx val="1"/>
          <c:order val="1"/>
          <c:tx>
            <c:strRef>
              <c:f>Sheet2!$K$3</c:f>
              <c:strCache>
                <c:ptCount val="1"/>
                <c:pt idx="0">
                  <c:v>Unskilled labor</c:v>
                </c:pt>
              </c:strCache>
            </c:strRef>
          </c:tx>
          <c:spPr>
            <a:ln w="9525" cap="rnd">
              <a:solidFill>
                <a:schemeClr val="accent2"/>
              </a:solidFill>
              <a:round/>
            </a:ln>
            <a:effectLst/>
          </c:spPr>
          <c:marker>
            <c:symbol val="circle"/>
            <c:size val="5"/>
            <c:spPr>
              <a:solidFill>
                <a:schemeClr val="accent2"/>
              </a:solidFill>
              <a:ln w="9525">
                <a:solidFill>
                  <a:schemeClr val="accent2"/>
                </a:solidFill>
              </a:ln>
              <a:effectLst/>
            </c:spPr>
          </c:marker>
          <c:cat>
            <c:numRef>
              <c:f>Sheet2!$I$4:$I$24</c:f>
              <c:numCache>
                <c:formatCode>General</c:formatCod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numCache>
            </c:numRef>
          </c:cat>
          <c:val>
            <c:numRef>
              <c:f>Sheet2!$K$4:$K$24</c:f>
              <c:numCache>
                <c:formatCode>General</c:formatCode>
                <c:ptCount val="21"/>
                <c:pt idx="0">
                  <c:v>-8.889939873135695E-6</c:v>
                </c:pt>
                <c:pt idx="1">
                  <c:v>-1.6987784041400115E-2</c:v>
                </c:pt>
                <c:pt idx="2">
                  <c:v>0.17248215794269942</c:v>
                </c:pt>
                <c:pt idx="3">
                  <c:v>-0.19591586797979013</c:v>
                </c:pt>
                <c:pt idx="4">
                  <c:v>-1.164485637698043</c:v>
                </c:pt>
                <c:pt idx="5">
                  <c:v>-1.9599096225593635</c:v>
                </c:pt>
                <c:pt idx="6">
                  <c:v>-2.6157104350759681</c:v>
                </c:pt>
                <c:pt idx="7">
                  <c:v>-3.1547640334302236</c:v>
                </c:pt>
                <c:pt idx="8">
                  <c:v>-3.5946757502778204</c:v>
                </c:pt>
                <c:pt idx="9">
                  <c:v>-3.9498031484650808</c:v>
                </c:pt>
                <c:pt idx="10">
                  <c:v>-4.2322022857994259</c:v>
                </c:pt>
                <c:pt idx="11">
                  <c:v>-4.4521501912998867</c:v>
                </c:pt>
                <c:pt idx="12">
                  <c:v>-4.6184629199469294</c:v>
                </c:pt>
                <c:pt idx="13">
                  <c:v>-4.7387490665043233</c:v>
                </c:pt>
                <c:pt idx="14">
                  <c:v>-4.8195397141902694</c:v>
                </c:pt>
                <c:pt idx="15">
                  <c:v>-4.8664631066526534</c:v>
                </c:pt>
                <c:pt idx="16">
                  <c:v>-4.8843126046663965</c:v>
                </c:pt>
                <c:pt idx="17">
                  <c:v>-4.8771702460907544</c:v>
                </c:pt>
                <c:pt idx="18">
                  <c:v>-4.8484901010369397</c:v>
                </c:pt>
                <c:pt idx="19">
                  <c:v>-4.8011697334629071</c:v>
                </c:pt>
                <c:pt idx="20">
                  <c:v>-4.7376113734652776</c:v>
                </c:pt>
              </c:numCache>
            </c:numRef>
          </c:val>
          <c:smooth val="0"/>
          <c:extLst xmlns:c16r2="http://schemas.microsoft.com/office/drawing/2015/06/chart">
            <c:ext xmlns:c16="http://schemas.microsoft.com/office/drawing/2014/chart" uri="{C3380CC4-5D6E-409C-BE32-E72D297353CC}">
              <c16:uniqueId val="{00000001-2523-4776-BEF8-D6AD19A8D9D9}"/>
            </c:ext>
          </c:extLst>
        </c:ser>
        <c:ser>
          <c:idx val="2"/>
          <c:order val="2"/>
          <c:tx>
            <c:strRef>
              <c:f>Sheet2!$L$3</c:f>
              <c:strCache>
                <c:ptCount val="1"/>
                <c:pt idx="0">
                  <c:v>Skilled labor</c:v>
                </c:pt>
              </c:strCache>
            </c:strRef>
          </c:tx>
          <c:spPr>
            <a:ln w="9525" cap="rnd">
              <a:solidFill>
                <a:schemeClr val="accent3"/>
              </a:solidFill>
              <a:round/>
            </a:ln>
            <a:effectLst/>
          </c:spPr>
          <c:marker>
            <c:symbol val="diamond"/>
            <c:size val="5"/>
            <c:spPr>
              <a:noFill/>
              <a:ln w="9525">
                <a:solidFill>
                  <a:schemeClr val="accent3"/>
                </a:solidFill>
              </a:ln>
              <a:effectLst/>
            </c:spPr>
          </c:marker>
          <c:cat>
            <c:numRef>
              <c:f>Sheet2!$I$4:$I$24</c:f>
              <c:numCache>
                <c:formatCode>General</c:formatCod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numCache>
            </c:numRef>
          </c:cat>
          <c:val>
            <c:numRef>
              <c:f>Sheet2!$L$4:$L$24</c:f>
              <c:numCache>
                <c:formatCode>General</c:formatCode>
                <c:ptCount val="21"/>
                <c:pt idx="0">
                  <c:v>-5.8177921591351395E-6</c:v>
                </c:pt>
                <c:pt idx="1">
                  <c:v>-1.3859176593977731E-2</c:v>
                </c:pt>
                <c:pt idx="2">
                  <c:v>0.20680044019041338</c:v>
                </c:pt>
                <c:pt idx="3">
                  <c:v>-0.13451377581346072</c:v>
                </c:pt>
                <c:pt idx="4">
                  <c:v>-1.1126256162433346</c:v>
                </c:pt>
                <c:pt idx="5">
                  <c:v>-1.9173615010260938</c:v>
                </c:pt>
                <c:pt idx="6">
                  <c:v>-2.5819290456079345</c:v>
                </c:pt>
                <c:pt idx="7">
                  <c:v>-3.1289769358112007</c:v>
                </c:pt>
                <c:pt idx="8">
                  <c:v>-3.5759608077918226</c:v>
                </c:pt>
                <c:pt idx="9">
                  <c:v>-3.9371507311135479</c:v>
                </c:pt>
                <c:pt idx="10">
                  <c:v>-4.2245646836808204</c:v>
                </c:pt>
                <c:pt idx="11">
                  <c:v>-4.4484767453758627</c:v>
                </c:pt>
                <c:pt idx="12">
                  <c:v>-4.6177374365327308</c:v>
                </c:pt>
                <c:pt idx="13">
                  <c:v>-4.7400049925900865</c:v>
                </c:pt>
                <c:pt idx="14">
                  <c:v>-4.821885070532538</c:v>
                </c:pt>
                <c:pt idx="15">
                  <c:v>-4.8690783810557692</c:v>
                </c:pt>
                <c:pt idx="16">
                  <c:v>-4.8864620151821923</c:v>
                </c:pt>
                <c:pt idx="17">
                  <c:v>-4.8782025282878339</c:v>
                </c:pt>
                <c:pt idx="18">
                  <c:v>-4.8478356660347046</c:v>
                </c:pt>
                <c:pt idx="19">
                  <c:v>-4.7983347743424947</c:v>
                </c:pt>
                <c:pt idx="20">
                  <c:v>-4.7321695076143273</c:v>
                </c:pt>
              </c:numCache>
            </c:numRef>
          </c:val>
          <c:smooth val="0"/>
          <c:extLst xmlns:c16r2="http://schemas.microsoft.com/office/drawing/2015/06/chart">
            <c:ext xmlns:c16="http://schemas.microsoft.com/office/drawing/2014/chart" uri="{C3380CC4-5D6E-409C-BE32-E72D297353CC}">
              <c16:uniqueId val="{00000002-2523-4776-BEF8-D6AD19A8D9D9}"/>
            </c:ext>
          </c:extLst>
        </c:ser>
        <c:ser>
          <c:idx val="3"/>
          <c:order val="3"/>
          <c:tx>
            <c:strRef>
              <c:f>Sheet2!$M$3</c:f>
              <c:strCache>
                <c:ptCount val="1"/>
                <c:pt idx="0">
                  <c:v>High-skilled labor</c:v>
                </c:pt>
              </c:strCache>
            </c:strRef>
          </c:tx>
          <c:spPr>
            <a:ln w="9525" cap="rnd">
              <a:solidFill>
                <a:schemeClr val="accent4"/>
              </a:solidFill>
              <a:round/>
            </a:ln>
            <a:effectLst/>
          </c:spPr>
          <c:marker>
            <c:symbol val="square"/>
            <c:size val="5"/>
            <c:spPr>
              <a:solidFill>
                <a:schemeClr val="accent4"/>
              </a:solidFill>
              <a:ln w="9525">
                <a:solidFill>
                  <a:schemeClr val="accent4"/>
                </a:solidFill>
              </a:ln>
              <a:effectLst/>
            </c:spPr>
          </c:marker>
          <c:cat>
            <c:numRef>
              <c:f>Sheet2!$I$4:$I$24</c:f>
              <c:numCache>
                <c:formatCode>General</c:formatCod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numCache>
            </c:numRef>
          </c:cat>
          <c:val>
            <c:numRef>
              <c:f>Sheet2!$M$4:$M$24</c:f>
              <c:numCache>
                <c:formatCode>General</c:formatCode>
                <c:ptCount val="21"/>
                <c:pt idx="0">
                  <c:v>2.0316767601613612E-5</c:v>
                </c:pt>
                <c:pt idx="1">
                  <c:v>3.6623405556723838E-2</c:v>
                </c:pt>
                <c:pt idx="2">
                  <c:v>-0.22288120623404903</c:v>
                </c:pt>
                <c:pt idx="3">
                  <c:v>-1.1211875660376518</c:v>
                </c:pt>
                <c:pt idx="4">
                  <c:v>-2.2720304447849116</c:v>
                </c:pt>
                <c:pt idx="5">
                  <c:v>-3.3019345999337535</c:v>
                </c:pt>
                <c:pt idx="6">
                  <c:v>-4.2107302800134079</c:v>
                </c:pt>
                <c:pt idx="7">
                  <c:v>-4.99994517820046</c:v>
                </c:pt>
                <c:pt idx="8">
                  <c:v>-5.6738452774079287</c:v>
                </c:pt>
                <c:pt idx="9">
                  <c:v>-6.2388021308140384</c:v>
                </c:pt>
                <c:pt idx="10">
                  <c:v>-6.7025286249467797</c:v>
                </c:pt>
                <c:pt idx="11">
                  <c:v>-7.0733899483697114</c:v>
                </c:pt>
                <c:pt idx="12">
                  <c:v>-7.3600763696167615</c:v>
                </c:pt>
                <c:pt idx="13">
                  <c:v>-7.5710960019071409</c:v>
                </c:pt>
                <c:pt idx="14">
                  <c:v>-7.7147618173520787</c:v>
                </c:pt>
                <c:pt idx="15">
                  <c:v>-7.7987077212936642</c:v>
                </c:pt>
                <c:pt idx="16">
                  <c:v>-7.8300640206690701</c:v>
                </c:pt>
                <c:pt idx="17">
                  <c:v>-7.8153186908018766</c:v>
                </c:pt>
                <c:pt idx="18">
                  <c:v>-7.7602727155400073</c:v>
                </c:pt>
                <c:pt idx="19">
                  <c:v>-7.6700033605642819</c:v>
                </c:pt>
                <c:pt idx="20">
                  <c:v>-7.5488315017865348</c:v>
                </c:pt>
              </c:numCache>
            </c:numRef>
          </c:val>
          <c:smooth val="0"/>
          <c:extLst xmlns:c16r2="http://schemas.microsoft.com/office/drawing/2015/06/chart">
            <c:ext xmlns:c16="http://schemas.microsoft.com/office/drawing/2014/chart" uri="{C3380CC4-5D6E-409C-BE32-E72D297353CC}">
              <c16:uniqueId val="{00000003-2523-4776-BEF8-D6AD19A8D9D9}"/>
            </c:ext>
          </c:extLst>
        </c:ser>
        <c:ser>
          <c:idx val="4"/>
          <c:order val="4"/>
          <c:tx>
            <c:strRef>
              <c:f>Sheet2!$N$3</c:f>
              <c:strCache>
                <c:ptCount val="1"/>
                <c:pt idx="0">
                  <c:v>Knowledge</c:v>
                </c:pt>
              </c:strCache>
            </c:strRef>
          </c:tx>
          <c:spPr>
            <a:ln w="9525" cap="rnd">
              <a:solidFill>
                <a:schemeClr val="accent5"/>
              </a:solidFill>
              <a:round/>
            </a:ln>
            <a:effectLst/>
          </c:spPr>
          <c:marker>
            <c:symbol val="circle"/>
            <c:size val="5"/>
            <c:spPr>
              <a:noFill/>
              <a:ln w="9525">
                <a:solidFill>
                  <a:schemeClr val="accent5"/>
                </a:solidFill>
              </a:ln>
              <a:effectLst/>
            </c:spPr>
          </c:marker>
          <c:cat>
            <c:numRef>
              <c:f>Sheet2!$I$4:$I$24</c:f>
              <c:numCache>
                <c:formatCode>General</c:formatCod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numCache>
            </c:numRef>
          </c:cat>
          <c:val>
            <c:numRef>
              <c:f>Sheet2!$N$4:$N$24</c:f>
              <c:numCache>
                <c:formatCode>General</c:formatCode>
                <c:ptCount val="21"/>
                <c:pt idx="0">
                  <c:v>7.8408062753609911E-5</c:v>
                </c:pt>
                <c:pt idx="1">
                  <c:v>8.1418037934022344E-2</c:v>
                </c:pt>
                <c:pt idx="2">
                  <c:v>0.73485919251772291</c:v>
                </c:pt>
                <c:pt idx="3">
                  <c:v>0.92316944921362332</c:v>
                </c:pt>
                <c:pt idx="4">
                  <c:v>1.0011201037896099E-2</c:v>
                </c:pt>
                <c:pt idx="5">
                  <c:v>-0.91678367026381002</c:v>
                </c:pt>
                <c:pt idx="6">
                  <c:v>-1.8284214556142706</c:v>
                </c:pt>
                <c:pt idx="7">
                  <c:v>-2.7020330829218735</c:v>
                </c:pt>
                <c:pt idx="8">
                  <c:v>-3.5196305722524195</c:v>
                </c:pt>
                <c:pt idx="9">
                  <c:v>-4.2679559071245965</c:v>
                </c:pt>
                <c:pt idx="10">
                  <c:v>-4.938033857653723</c:v>
                </c:pt>
                <c:pt idx="11">
                  <c:v>-5.5245450369787337</c:v>
                </c:pt>
                <c:pt idx="12">
                  <c:v>-6.0254022992862968</c:v>
                </c:pt>
                <c:pt idx="13">
                  <c:v>-6.4411134070454619</c:v>
                </c:pt>
                <c:pt idx="14">
                  <c:v>-6.7745736578358464</c:v>
                </c:pt>
                <c:pt idx="15">
                  <c:v>-7.0301778983731129</c:v>
                </c:pt>
                <c:pt idx="16">
                  <c:v>-7.2137146327950417</c:v>
                </c:pt>
                <c:pt idx="17">
                  <c:v>-7.3320599365858099</c:v>
                </c:pt>
                <c:pt idx="18">
                  <c:v>-7.3929474682207106</c:v>
                </c:pt>
                <c:pt idx="19">
                  <c:v>-7.4048123467937765</c:v>
                </c:pt>
                <c:pt idx="20">
                  <c:v>-7.3766816481212079</c:v>
                </c:pt>
              </c:numCache>
            </c:numRef>
          </c:val>
          <c:smooth val="0"/>
          <c:extLst xmlns:c16r2="http://schemas.microsoft.com/office/drawing/2015/06/chart">
            <c:ext xmlns:c16="http://schemas.microsoft.com/office/drawing/2014/chart" uri="{C3380CC4-5D6E-409C-BE32-E72D297353CC}">
              <c16:uniqueId val="{00000004-2523-4776-BEF8-D6AD19A8D9D9}"/>
            </c:ext>
          </c:extLst>
        </c:ser>
        <c:dLbls>
          <c:showLegendKey val="0"/>
          <c:showVal val="0"/>
          <c:showCatName val="0"/>
          <c:showSerName val="0"/>
          <c:showPercent val="0"/>
          <c:showBubbleSize val="0"/>
        </c:dLbls>
        <c:marker val="1"/>
        <c:smooth val="0"/>
        <c:axId val="622413824"/>
        <c:axId val="622414384"/>
      </c:lineChart>
      <c:catAx>
        <c:axId val="622413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ko-KR"/>
          </a:p>
        </c:txPr>
        <c:crossAx val="622414384"/>
        <c:crosses val="autoZero"/>
        <c:auto val="1"/>
        <c:lblAlgn val="ctr"/>
        <c:lblOffset val="100"/>
        <c:noMultiLvlLbl val="0"/>
      </c:catAx>
      <c:valAx>
        <c:axId val="622414384"/>
        <c:scaling>
          <c:orientation val="minMax"/>
          <c:min val="-8"/>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ko-KR"/>
          </a:p>
        </c:txPr>
        <c:crossAx val="62241382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ko-K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ko-K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97D30-AC36-40C4-93FB-89F7BBD62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13925</Words>
  <Characters>79378</Characters>
  <Application>Microsoft Office Word</Application>
  <DocSecurity>0</DocSecurity>
  <Lines>661</Lines>
  <Paragraphs>186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dc:creator>
  <cp:keywords/>
  <dc:description/>
  <cp:lastModifiedBy>YEO</cp:lastModifiedBy>
  <cp:revision>2</cp:revision>
  <dcterms:created xsi:type="dcterms:W3CDTF">2017-02-27T14:10:00Z</dcterms:created>
  <dcterms:modified xsi:type="dcterms:W3CDTF">2017-02-27T14:10:00Z</dcterms:modified>
</cp:coreProperties>
</file>