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2" w:rsidRPr="00B868CA" w:rsidRDefault="003C120F" w:rsidP="00B868CA">
      <w:pPr>
        <w:jc w:val="center"/>
        <w:rPr>
          <w:rFonts w:ascii="Arial" w:hAnsi="Arial" w:cs="Arial"/>
          <w:b/>
          <w:sz w:val="26"/>
          <w:szCs w:val="30"/>
        </w:rPr>
      </w:pPr>
      <w:r w:rsidRPr="00B868CA">
        <w:rPr>
          <w:rFonts w:ascii="Arial" w:hAnsi="Arial" w:cs="Arial"/>
          <w:b/>
          <w:sz w:val="26"/>
          <w:szCs w:val="30"/>
        </w:rPr>
        <w:t>Output growth, inflation and exchange volatility: Implication for economic stability</w:t>
      </w:r>
    </w:p>
    <w:p w:rsidR="003C120F" w:rsidRPr="00B868CA" w:rsidRDefault="007F53F1" w:rsidP="00B868CA">
      <w:pPr>
        <w:jc w:val="center"/>
        <w:rPr>
          <w:rFonts w:ascii="Arial" w:hAnsi="Arial" w:cs="Arial"/>
          <w:sz w:val="24"/>
          <w:szCs w:val="24"/>
        </w:rPr>
      </w:pPr>
      <w:proofErr w:type="spellStart"/>
      <w:r w:rsidRPr="00B868CA">
        <w:rPr>
          <w:rFonts w:ascii="Arial" w:hAnsi="Arial" w:cs="Arial"/>
          <w:sz w:val="24"/>
          <w:szCs w:val="24"/>
        </w:rPr>
        <w:t>Agbontaen</w:t>
      </w:r>
      <w:proofErr w:type="spellEnd"/>
      <w:r w:rsidR="003C120F" w:rsidRPr="00B868CA">
        <w:rPr>
          <w:rFonts w:ascii="Arial" w:hAnsi="Arial" w:cs="Arial"/>
          <w:sz w:val="24"/>
          <w:szCs w:val="24"/>
        </w:rPr>
        <w:t xml:space="preserve"> </w:t>
      </w:r>
      <w:proofErr w:type="spellStart"/>
      <w:r w:rsidR="003C120F" w:rsidRPr="00B868CA">
        <w:rPr>
          <w:rFonts w:ascii="Arial" w:hAnsi="Arial" w:cs="Arial"/>
          <w:sz w:val="24"/>
          <w:szCs w:val="24"/>
        </w:rPr>
        <w:t>Osaro</w:t>
      </w:r>
      <w:proofErr w:type="spellEnd"/>
      <w:r w:rsidR="00B868CA">
        <w:rPr>
          <w:rFonts w:ascii="Arial" w:hAnsi="Arial" w:cs="Arial"/>
          <w:sz w:val="24"/>
          <w:szCs w:val="24"/>
        </w:rPr>
        <w:t>,</w:t>
      </w:r>
      <w:r w:rsidR="003C120F" w:rsidRPr="00B868CA">
        <w:rPr>
          <w:rFonts w:ascii="Arial" w:hAnsi="Arial" w:cs="Arial"/>
          <w:sz w:val="24"/>
          <w:szCs w:val="24"/>
        </w:rPr>
        <w:t xml:space="preserve"> O.</w:t>
      </w:r>
      <w:r w:rsidR="009D788A">
        <w:rPr>
          <w:rFonts w:ascii="Arial" w:hAnsi="Arial" w:cs="Arial"/>
          <w:sz w:val="24"/>
          <w:szCs w:val="24"/>
        </w:rPr>
        <w:t xml:space="preserve"> and </w:t>
      </w:r>
      <w:proofErr w:type="spellStart"/>
      <w:r w:rsidR="009D788A" w:rsidRPr="00B868CA">
        <w:rPr>
          <w:rFonts w:ascii="Arial" w:hAnsi="Arial" w:cs="Arial"/>
          <w:sz w:val="24"/>
          <w:szCs w:val="24"/>
        </w:rPr>
        <w:t>Okonedo</w:t>
      </w:r>
      <w:proofErr w:type="spellEnd"/>
      <w:r w:rsidR="009D788A" w:rsidRPr="00B868CA">
        <w:rPr>
          <w:rFonts w:ascii="Arial" w:hAnsi="Arial" w:cs="Arial"/>
          <w:sz w:val="24"/>
          <w:szCs w:val="24"/>
        </w:rPr>
        <w:t xml:space="preserve"> </w:t>
      </w:r>
      <w:proofErr w:type="spellStart"/>
      <w:r w:rsidR="003C120F" w:rsidRPr="00B868CA">
        <w:rPr>
          <w:rFonts w:ascii="Arial" w:hAnsi="Arial" w:cs="Arial"/>
          <w:sz w:val="24"/>
          <w:szCs w:val="24"/>
        </w:rPr>
        <w:t>Enase</w:t>
      </w:r>
      <w:proofErr w:type="spellEnd"/>
      <w:r w:rsidR="003C120F" w:rsidRPr="00B868CA">
        <w:rPr>
          <w:rFonts w:ascii="Arial" w:hAnsi="Arial" w:cs="Arial"/>
          <w:sz w:val="24"/>
          <w:szCs w:val="24"/>
        </w:rPr>
        <w:t xml:space="preserve"> </w:t>
      </w:r>
    </w:p>
    <w:p w:rsidR="00B868CA" w:rsidRPr="00B868CA" w:rsidRDefault="00B868CA" w:rsidP="00B868CA">
      <w:pPr>
        <w:jc w:val="center"/>
        <w:rPr>
          <w:rFonts w:ascii="Arial" w:hAnsi="Arial" w:cs="Arial"/>
          <w:b/>
          <w:sz w:val="24"/>
          <w:szCs w:val="24"/>
        </w:rPr>
      </w:pPr>
      <w:r w:rsidRPr="00B868CA">
        <w:rPr>
          <w:rFonts w:ascii="Arial" w:hAnsi="Arial" w:cs="Arial"/>
          <w:b/>
          <w:sz w:val="24"/>
          <w:szCs w:val="24"/>
        </w:rPr>
        <w:t>Abstract</w:t>
      </w:r>
    </w:p>
    <w:p w:rsidR="00A71266" w:rsidRPr="00B868CA" w:rsidRDefault="003A7011" w:rsidP="00B868CA">
      <w:pPr>
        <w:jc w:val="both"/>
        <w:rPr>
          <w:rFonts w:ascii="Arial" w:eastAsia="Calibri" w:hAnsi="Arial" w:cs="Arial"/>
          <w:sz w:val="24"/>
          <w:szCs w:val="24"/>
        </w:rPr>
      </w:pPr>
      <w:r w:rsidRPr="00B868CA">
        <w:rPr>
          <w:rFonts w:ascii="Arial" w:hAnsi="Arial" w:cs="Arial"/>
          <w:sz w:val="24"/>
          <w:szCs w:val="24"/>
        </w:rPr>
        <w:t>Macroeconomic</w:t>
      </w:r>
      <w:r w:rsidR="00323AC3" w:rsidRPr="00B868CA">
        <w:rPr>
          <w:rFonts w:ascii="Arial" w:hAnsi="Arial" w:cs="Arial"/>
          <w:sz w:val="24"/>
          <w:szCs w:val="24"/>
        </w:rPr>
        <w:t xml:space="preserve"> </w:t>
      </w:r>
      <w:r w:rsidR="00572CA8" w:rsidRPr="00B868CA">
        <w:rPr>
          <w:rFonts w:ascii="Arial" w:hAnsi="Arial" w:cs="Arial"/>
          <w:sz w:val="24"/>
          <w:szCs w:val="24"/>
        </w:rPr>
        <w:t>stabilization inconsistencies</w:t>
      </w:r>
      <w:r w:rsidR="00323AC3" w:rsidRPr="00B868CA">
        <w:rPr>
          <w:rFonts w:ascii="Arial" w:hAnsi="Arial" w:cs="Arial"/>
          <w:sz w:val="24"/>
          <w:szCs w:val="24"/>
        </w:rPr>
        <w:t xml:space="preserve"> </w:t>
      </w:r>
      <w:r w:rsidR="00572CA8" w:rsidRPr="00B868CA">
        <w:rPr>
          <w:rFonts w:ascii="Arial" w:hAnsi="Arial" w:cs="Arial"/>
          <w:sz w:val="24"/>
          <w:szCs w:val="24"/>
        </w:rPr>
        <w:t>with</w:t>
      </w:r>
      <w:r w:rsidRPr="00B868CA">
        <w:rPr>
          <w:rFonts w:ascii="Arial" w:hAnsi="Arial" w:cs="Arial"/>
          <w:sz w:val="24"/>
          <w:szCs w:val="24"/>
        </w:rPr>
        <w:t xml:space="preserve"> output growth, inflation and exchange rate</w:t>
      </w:r>
      <w:r w:rsidR="00572CA8" w:rsidRPr="00B868CA">
        <w:rPr>
          <w:rFonts w:ascii="Arial" w:hAnsi="Arial" w:cs="Arial"/>
          <w:sz w:val="24"/>
          <w:szCs w:val="24"/>
        </w:rPr>
        <w:t xml:space="preserve"> volatility has made the Nigeria economy susceptible to external shocks.  Scholars with this opinion agree that it distorts optimal productivity capacity, </w:t>
      </w:r>
      <w:r w:rsidR="00C9074F" w:rsidRPr="00B868CA">
        <w:rPr>
          <w:rFonts w:ascii="Arial" w:hAnsi="Arial" w:cs="Arial"/>
          <w:sz w:val="24"/>
          <w:szCs w:val="24"/>
        </w:rPr>
        <w:t xml:space="preserve">induce volatility in domestic output, </w:t>
      </w:r>
      <w:r w:rsidR="00572CA8" w:rsidRPr="00B868CA">
        <w:rPr>
          <w:rFonts w:ascii="Arial" w:hAnsi="Arial" w:cs="Arial"/>
          <w:sz w:val="24"/>
          <w:szCs w:val="24"/>
        </w:rPr>
        <w:t>generate fluctuations in commodity prices</w:t>
      </w:r>
      <w:r w:rsidR="00C9074F" w:rsidRPr="00B868CA">
        <w:rPr>
          <w:rFonts w:ascii="Arial" w:hAnsi="Arial" w:cs="Arial"/>
          <w:sz w:val="24"/>
          <w:szCs w:val="24"/>
        </w:rPr>
        <w:t>, and increase the levels of debt</w:t>
      </w:r>
      <w:r w:rsidR="00572CA8" w:rsidRPr="00B868CA">
        <w:rPr>
          <w:rFonts w:ascii="Arial" w:hAnsi="Arial" w:cs="Arial"/>
          <w:sz w:val="24"/>
          <w:szCs w:val="24"/>
        </w:rPr>
        <w:t xml:space="preserve"> with implication for the balance of payments.</w:t>
      </w:r>
      <w:r w:rsidR="00282738">
        <w:rPr>
          <w:rFonts w:ascii="Arial" w:hAnsi="Arial" w:cs="Arial"/>
          <w:sz w:val="24"/>
          <w:szCs w:val="24"/>
        </w:rPr>
        <w:t xml:space="preserve">  </w:t>
      </w:r>
      <w:r w:rsidR="00282738" w:rsidRPr="00282738">
        <w:rPr>
          <w:rFonts w:ascii="Arial" w:hAnsi="Arial" w:cs="Arial"/>
          <w:sz w:val="24"/>
          <w:szCs w:val="24"/>
        </w:rPr>
        <w:t>This study seeks to unveil the intricacies of these challenges and understand how they have made it unmanageable for policy makers to achieve output stabilization in the short-run and diversified self sustaining growth in the long-run.</w:t>
      </w:r>
      <w:r w:rsidR="000C7BBD">
        <w:rPr>
          <w:rFonts w:ascii="Arial" w:hAnsi="Arial" w:cs="Arial"/>
          <w:sz w:val="24"/>
          <w:szCs w:val="24"/>
        </w:rPr>
        <w:t xml:space="preserve"> </w:t>
      </w:r>
      <w:r w:rsidR="00282738">
        <w:rPr>
          <w:rFonts w:ascii="Arial" w:hAnsi="Arial" w:cs="Arial"/>
          <w:sz w:val="24"/>
          <w:szCs w:val="24"/>
        </w:rPr>
        <w:t xml:space="preserve"> </w:t>
      </w:r>
      <w:r w:rsidR="007F53F1" w:rsidRPr="00B868CA">
        <w:rPr>
          <w:rFonts w:ascii="Arial" w:hAnsi="Arial" w:cs="Arial"/>
          <w:sz w:val="24"/>
          <w:szCs w:val="24"/>
        </w:rPr>
        <w:t xml:space="preserve">Consequently, this study seeks to investigate if </w:t>
      </w:r>
      <w:r w:rsidR="002065B9" w:rsidRPr="00B868CA">
        <w:rPr>
          <w:rFonts w:ascii="Arial" w:hAnsi="Arial" w:cs="Arial"/>
          <w:sz w:val="24"/>
          <w:szCs w:val="24"/>
        </w:rPr>
        <w:t>there are causal effects emanating from the observed levels of output growth that influence</w:t>
      </w:r>
      <w:r w:rsidR="00A71266" w:rsidRPr="00B868CA">
        <w:rPr>
          <w:rFonts w:ascii="Arial" w:hAnsi="Arial" w:cs="Arial"/>
          <w:sz w:val="24"/>
          <w:szCs w:val="24"/>
        </w:rPr>
        <w:t xml:space="preserve"> the persisting rates of </w:t>
      </w:r>
      <w:r w:rsidR="002065B9" w:rsidRPr="00B868CA">
        <w:rPr>
          <w:rFonts w:ascii="Arial" w:hAnsi="Arial" w:cs="Arial"/>
          <w:sz w:val="24"/>
          <w:szCs w:val="24"/>
        </w:rPr>
        <w:t>inflation and volatility in the rates of exchange.</w:t>
      </w:r>
      <w:r w:rsidR="00A71266" w:rsidRPr="00B868CA">
        <w:rPr>
          <w:rFonts w:ascii="Arial" w:hAnsi="Arial" w:cs="Arial"/>
          <w:sz w:val="24"/>
          <w:szCs w:val="24"/>
        </w:rPr>
        <w:t xml:space="preserve">  </w:t>
      </w:r>
      <w:r w:rsidR="00A71266" w:rsidRPr="00B868CA">
        <w:rPr>
          <w:rFonts w:ascii="Arial" w:eastAsia="Calibri" w:hAnsi="Arial" w:cs="Arial"/>
          <w:sz w:val="24"/>
          <w:szCs w:val="24"/>
        </w:rPr>
        <w:t xml:space="preserve">We adopted the vector </w:t>
      </w:r>
      <w:proofErr w:type="spellStart"/>
      <w:r w:rsidR="00A71266" w:rsidRPr="00B868CA">
        <w:rPr>
          <w:rFonts w:ascii="Arial" w:eastAsia="Calibri" w:hAnsi="Arial" w:cs="Arial"/>
          <w:sz w:val="24"/>
          <w:szCs w:val="24"/>
        </w:rPr>
        <w:t>autoregression</w:t>
      </w:r>
      <w:proofErr w:type="spellEnd"/>
      <w:r w:rsidR="00A71266" w:rsidRPr="00B868CA">
        <w:rPr>
          <w:rFonts w:ascii="Arial" w:eastAsia="Calibri" w:hAnsi="Arial" w:cs="Arial"/>
          <w:sz w:val="24"/>
          <w:szCs w:val="24"/>
        </w:rPr>
        <w:t xml:space="preserve"> (VAR) approach, </w:t>
      </w:r>
      <w:r w:rsidR="00A71266" w:rsidRPr="00B868CA">
        <w:rPr>
          <w:rFonts w:ascii="Arial" w:hAnsi="Arial" w:cs="Arial"/>
          <w:sz w:val="24"/>
          <w:szCs w:val="24"/>
        </w:rPr>
        <w:t>t</w:t>
      </w:r>
      <w:r w:rsidR="00A71266" w:rsidRPr="00B868CA">
        <w:rPr>
          <w:rFonts w:ascii="Arial" w:eastAsia="Calibri" w:hAnsi="Arial" w:cs="Arial"/>
          <w:sz w:val="24"/>
          <w:szCs w:val="24"/>
        </w:rPr>
        <w:t xml:space="preserve">o assess </w:t>
      </w:r>
      <w:r w:rsidR="00A71266" w:rsidRPr="00B868CA">
        <w:rPr>
          <w:rFonts w:ascii="Arial" w:hAnsi="Arial" w:cs="Arial"/>
          <w:sz w:val="24"/>
          <w:szCs w:val="24"/>
        </w:rPr>
        <w:t xml:space="preserve">permanent </w:t>
      </w:r>
      <w:r w:rsidR="00A71266" w:rsidRPr="00B868CA">
        <w:rPr>
          <w:rFonts w:ascii="Arial" w:eastAsia="Calibri" w:hAnsi="Arial" w:cs="Arial"/>
          <w:sz w:val="24"/>
          <w:szCs w:val="24"/>
        </w:rPr>
        <w:t xml:space="preserve">shocks from macroeconomic </w:t>
      </w:r>
      <w:r w:rsidR="00A71266" w:rsidRPr="00B868CA">
        <w:rPr>
          <w:rFonts w:ascii="Arial" w:hAnsi="Arial" w:cs="Arial"/>
          <w:sz w:val="24"/>
          <w:szCs w:val="24"/>
        </w:rPr>
        <w:t>stability;</w:t>
      </w:r>
      <w:r w:rsidR="00A71266" w:rsidRPr="00B868CA">
        <w:rPr>
          <w:rFonts w:ascii="Arial" w:eastAsia="Calibri" w:hAnsi="Arial" w:cs="Arial"/>
          <w:sz w:val="24"/>
          <w:szCs w:val="24"/>
        </w:rPr>
        <w:t xml:space="preserve"> </w:t>
      </w:r>
      <w:r w:rsidR="00A71266" w:rsidRPr="00B868CA">
        <w:rPr>
          <w:rFonts w:ascii="Arial" w:hAnsi="Arial" w:cs="Arial"/>
          <w:sz w:val="24"/>
          <w:szCs w:val="24"/>
        </w:rPr>
        <w:t>which</w:t>
      </w:r>
      <w:r w:rsidR="00A71266" w:rsidRPr="00B868CA">
        <w:rPr>
          <w:rFonts w:ascii="Arial" w:eastAsia="Calibri" w:hAnsi="Arial" w:cs="Arial"/>
          <w:sz w:val="24"/>
          <w:szCs w:val="24"/>
        </w:rPr>
        <w:t xml:space="preserve"> was encapsulated in two forms</w:t>
      </w:r>
      <w:r w:rsidR="00A71266" w:rsidRPr="00B868CA">
        <w:rPr>
          <w:rFonts w:ascii="Arial" w:hAnsi="Arial" w:cs="Arial"/>
          <w:sz w:val="24"/>
          <w:szCs w:val="24"/>
        </w:rPr>
        <w:t>.</w:t>
      </w:r>
      <w:r w:rsidR="00A71266" w:rsidRPr="00B868CA">
        <w:rPr>
          <w:rFonts w:ascii="Arial" w:eastAsia="Calibri" w:hAnsi="Arial" w:cs="Arial"/>
          <w:sz w:val="24"/>
          <w:szCs w:val="24"/>
        </w:rPr>
        <w:t xml:space="preserve"> </w:t>
      </w:r>
      <w:r w:rsidR="00A71266" w:rsidRPr="00B868CA">
        <w:rPr>
          <w:rFonts w:ascii="Arial" w:hAnsi="Arial" w:cs="Arial"/>
          <w:sz w:val="24"/>
          <w:szCs w:val="24"/>
        </w:rPr>
        <w:t xml:space="preserve"> First, it was represented by</w:t>
      </w:r>
      <w:r w:rsidR="00A71266" w:rsidRPr="00B868CA">
        <w:rPr>
          <w:rFonts w:ascii="Arial" w:eastAsia="Calibri" w:hAnsi="Arial" w:cs="Arial"/>
          <w:sz w:val="24"/>
          <w:szCs w:val="24"/>
        </w:rPr>
        <w:t xml:space="preserve"> budget deficits in order to deduce the impact of macroeconomic management in </w:t>
      </w:r>
      <w:r w:rsidR="00A71266" w:rsidRPr="00B868CA">
        <w:rPr>
          <w:rFonts w:ascii="Arial" w:hAnsi="Arial" w:cs="Arial"/>
          <w:sz w:val="24"/>
          <w:szCs w:val="24"/>
        </w:rPr>
        <w:t>accordance</w:t>
      </w:r>
      <w:r w:rsidR="00A71266" w:rsidRPr="00B868CA">
        <w:rPr>
          <w:rFonts w:ascii="Arial" w:eastAsia="Calibri" w:hAnsi="Arial" w:cs="Arial"/>
          <w:sz w:val="24"/>
          <w:szCs w:val="24"/>
        </w:rPr>
        <w:t xml:space="preserve"> with domestic policies and examine its influences on </w:t>
      </w:r>
      <w:r w:rsidR="00A71266" w:rsidRPr="00B868CA">
        <w:rPr>
          <w:rFonts w:ascii="Arial" w:hAnsi="Arial" w:cs="Arial"/>
          <w:sz w:val="24"/>
          <w:szCs w:val="24"/>
        </w:rPr>
        <w:t>output growth</w:t>
      </w:r>
      <w:r w:rsidR="00A71266" w:rsidRPr="00B868CA">
        <w:rPr>
          <w:rFonts w:ascii="Arial" w:eastAsia="Calibri" w:hAnsi="Arial" w:cs="Arial"/>
          <w:sz w:val="24"/>
          <w:szCs w:val="24"/>
        </w:rPr>
        <w:t xml:space="preserve">.  Secondly, </w:t>
      </w:r>
      <w:r w:rsidR="003F691B" w:rsidRPr="00B868CA">
        <w:rPr>
          <w:rFonts w:ascii="Arial" w:hAnsi="Arial" w:cs="Arial"/>
          <w:sz w:val="24"/>
          <w:szCs w:val="24"/>
        </w:rPr>
        <w:t xml:space="preserve">it was captured by </w:t>
      </w:r>
      <w:r w:rsidR="00A71266" w:rsidRPr="00B868CA">
        <w:rPr>
          <w:rFonts w:ascii="Arial" w:eastAsia="Calibri" w:hAnsi="Arial" w:cs="Arial"/>
          <w:sz w:val="24"/>
          <w:szCs w:val="24"/>
        </w:rPr>
        <w:t xml:space="preserve">current account balance to measure how macroeconomic stability relates with international policies in order to </w:t>
      </w:r>
      <w:r w:rsidR="003F691B" w:rsidRPr="00B868CA">
        <w:rPr>
          <w:rFonts w:ascii="Arial" w:hAnsi="Arial" w:cs="Arial"/>
          <w:sz w:val="24"/>
          <w:szCs w:val="24"/>
        </w:rPr>
        <w:t>cushion external shocks</w:t>
      </w:r>
      <w:r w:rsidR="00A71266" w:rsidRPr="00B868CA">
        <w:rPr>
          <w:rFonts w:ascii="Arial" w:eastAsia="Calibri" w:hAnsi="Arial" w:cs="Arial"/>
          <w:sz w:val="24"/>
          <w:szCs w:val="24"/>
        </w:rPr>
        <w:t xml:space="preserve">.  Further, we test for the hypothesis of diagonal covariance and the symmetric covariance processes.  Also, we examine the degree of own variance asymmetry exhibited by the variables in the model.  This econometric technique was selected in order to ease the analysis of the related concepts of </w:t>
      </w:r>
      <w:proofErr w:type="spellStart"/>
      <w:r w:rsidR="00A71266" w:rsidRPr="00B868CA">
        <w:rPr>
          <w:rFonts w:ascii="Arial" w:eastAsia="Calibri" w:hAnsi="Arial" w:cs="Arial"/>
          <w:sz w:val="24"/>
          <w:szCs w:val="24"/>
        </w:rPr>
        <w:t>exogeneity</w:t>
      </w:r>
      <w:proofErr w:type="spellEnd"/>
      <w:r w:rsidR="00A71266" w:rsidRPr="00B868CA">
        <w:rPr>
          <w:rFonts w:ascii="Arial" w:eastAsia="Calibri" w:hAnsi="Arial" w:cs="Arial"/>
          <w:sz w:val="24"/>
          <w:szCs w:val="24"/>
        </w:rPr>
        <w:t xml:space="preserve"> and temporal precedence in association with the Granger causality.  The variables in the model indicated various levels of statistical significance.  The impulse response estimates were obtained and interpreted.</w:t>
      </w:r>
      <w:r w:rsidR="00B868CA">
        <w:rPr>
          <w:rFonts w:ascii="Arial" w:hAnsi="Arial" w:cs="Arial"/>
          <w:sz w:val="24"/>
          <w:szCs w:val="24"/>
        </w:rPr>
        <w:t xml:space="preserve">  </w:t>
      </w:r>
      <w:r w:rsidR="003F691B" w:rsidRPr="00B868CA">
        <w:rPr>
          <w:rFonts w:ascii="Arial" w:hAnsi="Arial" w:cs="Arial"/>
          <w:sz w:val="24"/>
          <w:szCs w:val="24"/>
        </w:rPr>
        <w:t xml:space="preserve">The results </w:t>
      </w:r>
      <w:r w:rsidR="00A71266" w:rsidRPr="00B868CA">
        <w:rPr>
          <w:rFonts w:ascii="Arial" w:eastAsia="Calibri" w:hAnsi="Arial" w:cs="Arial"/>
          <w:sz w:val="24"/>
          <w:szCs w:val="24"/>
        </w:rPr>
        <w:t>disc</w:t>
      </w:r>
      <w:r w:rsidR="003F691B" w:rsidRPr="00B868CA">
        <w:rPr>
          <w:rFonts w:ascii="Arial" w:hAnsi="Arial" w:cs="Arial"/>
          <w:sz w:val="24"/>
          <w:szCs w:val="24"/>
        </w:rPr>
        <w:t>l</w:t>
      </w:r>
      <w:r w:rsidR="00A71266" w:rsidRPr="00B868CA">
        <w:rPr>
          <w:rFonts w:ascii="Arial" w:eastAsia="Calibri" w:hAnsi="Arial" w:cs="Arial"/>
          <w:sz w:val="24"/>
          <w:szCs w:val="24"/>
        </w:rPr>
        <w:t>o</w:t>
      </w:r>
      <w:r w:rsidR="003F691B" w:rsidRPr="00B868CA">
        <w:rPr>
          <w:rFonts w:ascii="Arial" w:hAnsi="Arial" w:cs="Arial"/>
          <w:sz w:val="24"/>
          <w:szCs w:val="24"/>
        </w:rPr>
        <w:t>s</w:t>
      </w:r>
      <w:r w:rsidR="00A71266" w:rsidRPr="00B868CA">
        <w:rPr>
          <w:rFonts w:ascii="Arial" w:eastAsia="Calibri" w:hAnsi="Arial" w:cs="Arial"/>
          <w:sz w:val="24"/>
          <w:szCs w:val="24"/>
        </w:rPr>
        <w:t>ed that efforts by policy makers to strengthen the capacity f</w:t>
      </w:r>
      <w:r w:rsidR="003F691B" w:rsidRPr="00B868CA">
        <w:rPr>
          <w:rFonts w:ascii="Arial" w:hAnsi="Arial" w:cs="Arial"/>
          <w:sz w:val="24"/>
          <w:szCs w:val="24"/>
        </w:rPr>
        <w:t>or</w:t>
      </w:r>
      <w:r w:rsidR="00A71266" w:rsidRPr="00B868CA">
        <w:rPr>
          <w:rFonts w:ascii="Arial" w:eastAsia="Calibri" w:hAnsi="Arial" w:cs="Arial"/>
          <w:sz w:val="24"/>
          <w:szCs w:val="24"/>
        </w:rPr>
        <w:t xml:space="preserve"> macroeconomic stability lack spontaneity and </w:t>
      </w:r>
      <w:r w:rsidR="009D788A">
        <w:rPr>
          <w:rFonts w:ascii="Arial" w:hAnsi="Arial" w:cs="Arial"/>
          <w:sz w:val="24"/>
          <w:szCs w:val="24"/>
        </w:rPr>
        <w:t>it does not foster</w:t>
      </w:r>
      <w:r w:rsidR="003F691B" w:rsidRPr="00B868CA">
        <w:rPr>
          <w:rFonts w:ascii="Arial" w:hAnsi="Arial" w:cs="Arial"/>
          <w:sz w:val="24"/>
          <w:szCs w:val="24"/>
        </w:rPr>
        <w:t xml:space="preserve"> internal and external shocks</w:t>
      </w:r>
      <w:r w:rsidR="00A71266" w:rsidRPr="00B868CA">
        <w:rPr>
          <w:rFonts w:ascii="Arial" w:eastAsia="Calibri" w:hAnsi="Arial" w:cs="Arial"/>
          <w:sz w:val="24"/>
          <w:szCs w:val="24"/>
        </w:rPr>
        <w:t xml:space="preserve"> management in the economy.  We establish that issues on macroeconomic stability are multidimensional and needs intensive policy monitoring to mitigate </w:t>
      </w:r>
      <w:r w:rsidR="003F691B" w:rsidRPr="00B868CA">
        <w:rPr>
          <w:rFonts w:ascii="Arial" w:hAnsi="Arial" w:cs="Arial"/>
          <w:sz w:val="24"/>
          <w:szCs w:val="24"/>
        </w:rPr>
        <w:t xml:space="preserve">internal </w:t>
      </w:r>
      <w:r w:rsidR="00A71266" w:rsidRPr="00B868CA">
        <w:rPr>
          <w:rFonts w:ascii="Arial" w:eastAsia="Calibri" w:hAnsi="Arial" w:cs="Arial"/>
          <w:sz w:val="24"/>
          <w:szCs w:val="24"/>
        </w:rPr>
        <w:t xml:space="preserve">shocks, in order to put in place policies that are resilience to </w:t>
      </w:r>
      <w:r w:rsidR="003F691B" w:rsidRPr="00B868CA">
        <w:rPr>
          <w:rFonts w:ascii="Arial" w:hAnsi="Arial" w:cs="Arial"/>
          <w:sz w:val="24"/>
          <w:szCs w:val="24"/>
        </w:rPr>
        <w:t>external</w:t>
      </w:r>
      <w:r w:rsidR="00A71266" w:rsidRPr="00B868CA">
        <w:rPr>
          <w:rFonts w:ascii="Arial" w:eastAsia="Calibri" w:hAnsi="Arial" w:cs="Arial"/>
          <w:sz w:val="24"/>
          <w:szCs w:val="24"/>
        </w:rPr>
        <w:t xml:space="preserve"> shocks which will in turn propel the perceived </w:t>
      </w:r>
      <w:r w:rsidR="003F691B" w:rsidRPr="00B868CA">
        <w:rPr>
          <w:rFonts w:ascii="Arial" w:hAnsi="Arial" w:cs="Arial"/>
          <w:sz w:val="24"/>
          <w:szCs w:val="24"/>
        </w:rPr>
        <w:t>sustainable growth</w:t>
      </w:r>
      <w:r w:rsidR="00A71266" w:rsidRPr="00B868CA">
        <w:rPr>
          <w:rFonts w:ascii="Arial" w:eastAsia="Calibri" w:hAnsi="Arial" w:cs="Arial"/>
          <w:sz w:val="24"/>
          <w:szCs w:val="24"/>
        </w:rPr>
        <w:t xml:space="preserve"> strategies.  </w:t>
      </w:r>
      <w:r w:rsidR="00311164" w:rsidRPr="00B868CA">
        <w:rPr>
          <w:rFonts w:ascii="Arial" w:hAnsi="Arial" w:cs="Arial"/>
          <w:sz w:val="24"/>
          <w:szCs w:val="24"/>
        </w:rPr>
        <w:t>Subsequently,</w:t>
      </w:r>
      <w:r w:rsidR="00A71266" w:rsidRPr="00B868CA">
        <w:rPr>
          <w:rFonts w:ascii="Arial" w:eastAsia="Calibri" w:hAnsi="Arial" w:cs="Arial"/>
          <w:sz w:val="24"/>
          <w:szCs w:val="24"/>
        </w:rPr>
        <w:t xml:space="preserve"> </w:t>
      </w:r>
      <w:r w:rsidR="00311164" w:rsidRPr="00B868CA">
        <w:rPr>
          <w:rFonts w:ascii="Arial" w:hAnsi="Arial" w:cs="Arial"/>
          <w:sz w:val="24"/>
          <w:szCs w:val="24"/>
        </w:rPr>
        <w:t xml:space="preserve">we disclosed that inflationary </w:t>
      </w:r>
      <w:r w:rsidR="00A71266" w:rsidRPr="00B868CA">
        <w:rPr>
          <w:rFonts w:ascii="Arial" w:eastAsia="Calibri" w:hAnsi="Arial" w:cs="Arial"/>
          <w:sz w:val="24"/>
          <w:szCs w:val="24"/>
        </w:rPr>
        <w:t xml:space="preserve">shocks have implication for institutions of macroeconomic management, </w:t>
      </w:r>
      <w:r w:rsidR="00311164" w:rsidRPr="00B868CA">
        <w:rPr>
          <w:rFonts w:ascii="Arial" w:hAnsi="Arial" w:cs="Arial"/>
          <w:sz w:val="24"/>
          <w:szCs w:val="24"/>
        </w:rPr>
        <w:t xml:space="preserve">domestic organizations and foreign investors </w:t>
      </w:r>
      <w:r w:rsidR="00A71266" w:rsidRPr="00B868CA">
        <w:rPr>
          <w:rFonts w:ascii="Arial" w:eastAsia="Calibri" w:hAnsi="Arial" w:cs="Arial"/>
          <w:sz w:val="24"/>
          <w:szCs w:val="24"/>
        </w:rPr>
        <w:t xml:space="preserve">interested in </w:t>
      </w:r>
      <w:r w:rsidR="00311164" w:rsidRPr="00B868CA">
        <w:rPr>
          <w:rFonts w:ascii="Arial" w:hAnsi="Arial" w:cs="Arial"/>
          <w:sz w:val="24"/>
          <w:szCs w:val="24"/>
        </w:rPr>
        <w:t>the growth potentials of</w:t>
      </w:r>
      <w:r w:rsidR="00A71266" w:rsidRPr="00B868CA">
        <w:rPr>
          <w:rFonts w:ascii="Arial" w:eastAsia="Calibri" w:hAnsi="Arial" w:cs="Arial"/>
          <w:sz w:val="24"/>
          <w:szCs w:val="24"/>
        </w:rPr>
        <w:t xml:space="preserve"> developing countries.</w:t>
      </w:r>
    </w:p>
    <w:p w:rsidR="00A71266" w:rsidRPr="00B868CA" w:rsidRDefault="00A71266" w:rsidP="00B868CA">
      <w:pPr>
        <w:spacing w:after="0" w:line="240" w:lineRule="auto"/>
        <w:jc w:val="both"/>
        <w:rPr>
          <w:rFonts w:ascii="Arial" w:eastAsia="Calibri" w:hAnsi="Arial" w:cs="Arial"/>
          <w:sz w:val="24"/>
          <w:szCs w:val="24"/>
        </w:rPr>
      </w:pPr>
      <w:r w:rsidRPr="00B868CA">
        <w:rPr>
          <w:rFonts w:ascii="Arial" w:eastAsia="Calibri" w:hAnsi="Arial" w:cs="Arial"/>
          <w:sz w:val="24"/>
          <w:szCs w:val="24"/>
        </w:rPr>
        <w:t xml:space="preserve">Key Words: Budget deficit, Current account, Macroeconomic policy, </w:t>
      </w:r>
      <w:r w:rsidR="00CA5D92" w:rsidRPr="00B868CA">
        <w:rPr>
          <w:rFonts w:ascii="Arial" w:hAnsi="Arial" w:cs="Arial"/>
          <w:sz w:val="24"/>
          <w:szCs w:val="24"/>
        </w:rPr>
        <w:t xml:space="preserve">Inflation, Volatility, </w:t>
      </w:r>
      <w:r w:rsidR="007D07B0">
        <w:rPr>
          <w:rFonts w:ascii="Arial" w:hAnsi="Arial" w:cs="Arial"/>
          <w:sz w:val="24"/>
          <w:szCs w:val="24"/>
        </w:rPr>
        <w:t>Vector</w:t>
      </w:r>
      <w:r w:rsidR="00CA5D92" w:rsidRPr="00B868CA">
        <w:rPr>
          <w:rFonts w:ascii="Arial" w:hAnsi="Arial" w:cs="Arial"/>
          <w:sz w:val="24"/>
          <w:szCs w:val="24"/>
        </w:rPr>
        <w:t xml:space="preserve"> </w:t>
      </w:r>
      <w:proofErr w:type="spellStart"/>
      <w:r w:rsidR="00CA5D92" w:rsidRPr="00B868CA">
        <w:rPr>
          <w:rFonts w:ascii="Arial" w:hAnsi="Arial" w:cs="Arial"/>
          <w:sz w:val="24"/>
          <w:szCs w:val="24"/>
        </w:rPr>
        <w:t>autoregression</w:t>
      </w:r>
      <w:proofErr w:type="spellEnd"/>
      <w:r w:rsidRPr="00B868CA">
        <w:rPr>
          <w:rFonts w:ascii="Arial" w:eastAsia="Calibri" w:hAnsi="Arial" w:cs="Arial"/>
          <w:sz w:val="24"/>
          <w:szCs w:val="24"/>
        </w:rPr>
        <w:t xml:space="preserve"> models.</w:t>
      </w:r>
    </w:p>
    <w:p w:rsidR="00A71266" w:rsidRPr="00B868CA" w:rsidRDefault="00A71266" w:rsidP="00B868CA">
      <w:pPr>
        <w:spacing w:after="0" w:line="240" w:lineRule="auto"/>
        <w:jc w:val="both"/>
        <w:rPr>
          <w:rFonts w:ascii="Arial" w:eastAsia="Calibri" w:hAnsi="Arial" w:cs="Arial"/>
          <w:sz w:val="24"/>
          <w:szCs w:val="24"/>
        </w:rPr>
      </w:pPr>
      <w:r w:rsidRPr="00B868CA">
        <w:rPr>
          <w:rFonts w:ascii="Arial" w:eastAsia="Calibri" w:hAnsi="Arial" w:cs="Arial"/>
          <w:sz w:val="24"/>
          <w:szCs w:val="24"/>
        </w:rPr>
        <w:t>JEL Classification Code: C49, C51, E6, F52, F56, H60</w:t>
      </w:r>
    </w:p>
    <w:p w:rsidR="00A71266" w:rsidRPr="00B868CA" w:rsidRDefault="00A71266" w:rsidP="00B868CA">
      <w:pPr>
        <w:spacing w:after="0" w:line="240" w:lineRule="auto"/>
        <w:jc w:val="both"/>
        <w:rPr>
          <w:rFonts w:ascii="Arial" w:eastAsia="Calibri" w:hAnsi="Arial" w:cs="Arial"/>
          <w:sz w:val="20"/>
        </w:rPr>
      </w:pPr>
      <w:r w:rsidRPr="00B868CA">
        <w:rPr>
          <w:rFonts w:ascii="Arial" w:eastAsia="Calibri" w:hAnsi="Arial" w:cs="Arial"/>
          <w:sz w:val="20"/>
        </w:rPr>
        <w:t>____________________</w:t>
      </w:r>
    </w:p>
    <w:p w:rsidR="00CA5D92" w:rsidRPr="00B868CA" w:rsidRDefault="00CA5D92" w:rsidP="00B868CA">
      <w:pPr>
        <w:spacing w:after="0" w:line="240" w:lineRule="auto"/>
        <w:jc w:val="both"/>
        <w:rPr>
          <w:rFonts w:ascii="Arial" w:eastAsia="Calibri" w:hAnsi="Arial" w:cs="Arial"/>
        </w:rPr>
      </w:pPr>
      <w:r w:rsidRPr="00B868CA">
        <w:rPr>
          <w:rFonts w:ascii="Arial" w:hAnsi="Arial" w:cs="Arial"/>
          <w:sz w:val="20"/>
        </w:rPr>
        <w:t>*</w:t>
      </w:r>
      <w:r w:rsidRPr="00B868CA">
        <w:rPr>
          <w:rFonts w:ascii="Arial" w:eastAsia="Calibri" w:hAnsi="Arial" w:cs="Arial"/>
          <w:sz w:val="20"/>
        </w:rPr>
        <w:t xml:space="preserve">Research Associate, Lagos Business School, </w:t>
      </w:r>
      <w:proofErr w:type="spellStart"/>
      <w:r w:rsidRPr="00B868CA">
        <w:rPr>
          <w:rFonts w:ascii="Arial" w:eastAsia="Calibri" w:hAnsi="Arial" w:cs="Arial"/>
          <w:sz w:val="20"/>
        </w:rPr>
        <w:t>Lekki</w:t>
      </w:r>
      <w:proofErr w:type="spellEnd"/>
      <w:r w:rsidRPr="00B868CA">
        <w:rPr>
          <w:rFonts w:ascii="Arial" w:eastAsia="Calibri" w:hAnsi="Arial" w:cs="Arial"/>
          <w:sz w:val="20"/>
        </w:rPr>
        <w:t xml:space="preserve"> Campus, Lagos State, Nigeria. Email:princeosaro@gmail.com</w:t>
      </w:r>
    </w:p>
    <w:p w:rsidR="00A71266" w:rsidRPr="00B868CA" w:rsidRDefault="00A71266" w:rsidP="00B868CA">
      <w:pPr>
        <w:spacing w:after="0" w:line="240" w:lineRule="auto"/>
        <w:jc w:val="both"/>
        <w:rPr>
          <w:rFonts w:ascii="Arial" w:hAnsi="Arial" w:cs="Arial"/>
          <w:sz w:val="20"/>
        </w:rPr>
      </w:pPr>
      <w:r w:rsidRPr="00B868CA">
        <w:rPr>
          <w:rFonts w:ascii="Arial" w:eastAsia="Calibri" w:hAnsi="Arial" w:cs="Arial"/>
          <w:sz w:val="20"/>
        </w:rPr>
        <w:t>*</w:t>
      </w:r>
      <w:r w:rsidR="00CA5D92" w:rsidRPr="00B868CA">
        <w:rPr>
          <w:rFonts w:ascii="Arial" w:hAnsi="Arial" w:cs="Arial"/>
          <w:sz w:val="20"/>
        </w:rPr>
        <w:t>*Ph.D.</w:t>
      </w:r>
      <w:r w:rsidRPr="00B868CA">
        <w:rPr>
          <w:rFonts w:ascii="Arial" w:eastAsia="Calibri" w:hAnsi="Arial" w:cs="Arial"/>
          <w:sz w:val="20"/>
        </w:rPr>
        <w:t xml:space="preserve">, </w:t>
      </w:r>
      <w:r w:rsidR="00CA5D92" w:rsidRPr="00B868CA">
        <w:rPr>
          <w:rFonts w:ascii="Arial" w:hAnsi="Arial" w:cs="Arial"/>
          <w:sz w:val="20"/>
        </w:rPr>
        <w:t>Senior Fellow</w:t>
      </w:r>
      <w:r w:rsidRPr="00B868CA">
        <w:rPr>
          <w:rFonts w:ascii="Arial" w:eastAsia="Calibri" w:hAnsi="Arial" w:cs="Arial"/>
          <w:sz w:val="20"/>
        </w:rPr>
        <w:t xml:space="preserve">, </w:t>
      </w:r>
      <w:r w:rsidR="00CA5D92" w:rsidRPr="00B868CA">
        <w:rPr>
          <w:rFonts w:ascii="Arial" w:hAnsi="Arial" w:cs="Arial"/>
          <w:sz w:val="20"/>
        </w:rPr>
        <w:t xml:space="preserve">Department of Finance, Lagos Business School, </w:t>
      </w:r>
      <w:proofErr w:type="spellStart"/>
      <w:r w:rsidR="00CA5D92" w:rsidRPr="00B868CA">
        <w:rPr>
          <w:rFonts w:ascii="Arial" w:hAnsi="Arial" w:cs="Arial"/>
          <w:sz w:val="20"/>
        </w:rPr>
        <w:t>Lekki</w:t>
      </w:r>
      <w:proofErr w:type="spellEnd"/>
      <w:r w:rsidR="00CA5D92" w:rsidRPr="00B868CA">
        <w:rPr>
          <w:rFonts w:ascii="Arial" w:hAnsi="Arial" w:cs="Arial"/>
          <w:sz w:val="20"/>
        </w:rPr>
        <w:t xml:space="preserve"> Campus, Lagos State, Nigeria. </w:t>
      </w:r>
      <w:proofErr w:type="spellStart"/>
      <w:r w:rsidR="00CA5D92" w:rsidRPr="00B868CA">
        <w:rPr>
          <w:rFonts w:ascii="Arial" w:hAnsi="Arial" w:cs="Arial"/>
          <w:sz w:val="20"/>
        </w:rPr>
        <w:t>Email:eokonedo@lbs.edu.ng</w:t>
      </w:r>
      <w:proofErr w:type="spellEnd"/>
    </w:p>
    <w:sectPr w:rsidR="00A71266" w:rsidRPr="00B868CA" w:rsidSect="0094443A">
      <w:pgSz w:w="11906" w:h="16838" w:code="9"/>
      <w:pgMar w:top="1134" w:right="113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C120F"/>
    <w:rsid w:val="000C7BBD"/>
    <w:rsid w:val="002065B9"/>
    <w:rsid w:val="002360BC"/>
    <w:rsid w:val="00282738"/>
    <w:rsid w:val="00311164"/>
    <w:rsid w:val="00323AC3"/>
    <w:rsid w:val="003A7011"/>
    <w:rsid w:val="003C120F"/>
    <w:rsid w:val="003F691B"/>
    <w:rsid w:val="00572CA8"/>
    <w:rsid w:val="005E57ED"/>
    <w:rsid w:val="007D07B0"/>
    <w:rsid w:val="007F53F1"/>
    <w:rsid w:val="00813A3D"/>
    <w:rsid w:val="0094443A"/>
    <w:rsid w:val="00977E2E"/>
    <w:rsid w:val="009D788A"/>
    <w:rsid w:val="00A12217"/>
    <w:rsid w:val="00A71266"/>
    <w:rsid w:val="00AE5339"/>
    <w:rsid w:val="00B868CA"/>
    <w:rsid w:val="00C9074F"/>
    <w:rsid w:val="00CA038E"/>
    <w:rsid w:val="00CA5D92"/>
    <w:rsid w:val="00F958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OsaroA</dc:creator>
  <cp:lastModifiedBy>OsaroA</cp:lastModifiedBy>
  <cp:revision>6</cp:revision>
  <dcterms:created xsi:type="dcterms:W3CDTF">2014-01-30T13:30:00Z</dcterms:created>
  <dcterms:modified xsi:type="dcterms:W3CDTF">2014-01-30T17:01:00Z</dcterms:modified>
</cp:coreProperties>
</file>