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64983" w14:textId="77777777" w:rsidR="00611DAF" w:rsidRPr="00C33EE0" w:rsidRDefault="00571C67" w:rsidP="00C33EE0">
      <w:pPr>
        <w:pStyle w:val="Papertitle"/>
        <w:rPr>
          <w:lang w:val="de-DE"/>
        </w:rPr>
      </w:pPr>
      <w:r>
        <w:rPr>
          <w:sz w:val="32"/>
          <w:szCs w:val="32"/>
        </w:rPr>
        <w:t xml:space="preserve">Who benefits from climate investments? </w:t>
      </w:r>
      <w:r w:rsidR="00C33EE0" w:rsidRPr="00C33EE0">
        <w:rPr>
          <w:sz w:val="32"/>
          <w:szCs w:val="32"/>
          <w:lang w:val="de-DE"/>
        </w:rPr>
        <w:t>It depends.</w:t>
      </w:r>
    </w:p>
    <w:p w14:paraId="445F0B85" w14:textId="77777777" w:rsidR="00D63D25" w:rsidRPr="00C33EE0" w:rsidRDefault="00D63D25" w:rsidP="00B320F9">
      <w:pPr>
        <w:pStyle w:val="Papertitle"/>
        <w:rPr>
          <w:lang w:val="de-DE"/>
        </w:rPr>
      </w:pPr>
    </w:p>
    <w:p w14:paraId="0D49BA7F" w14:textId="38489CF2" w:rsidR="004476B0" w:rsidRPr="00C33EE0" w:rsidRDefault="004476B0" w:rsidP="00C33EE0">
      <w:pPr>
        <w:pStyle w:val="Authnames"/>
        <w:rPr>
          <w:lang w:val="de-DE"/>
        </w:rPr>
      </w:pPr>
      <w:r w:rsidRPr="00A80230">
        <w:rPr>
          <w:lang w:val="de-DE"/>
        </w:rPr>
        <w:t>Ulrike Lehr</w:t>
      </w:r>
      <w:r w:rsidRPr="00A80230">
        <w:rPr>
          <w:vertAlign w:val="superscript"/>
          <w:lang w:val="de-DE"/>
        </w:rPr>
        <w:t>1,*</w:t>
      </w:r>
      <w:r w:rsidR="00BE01B8">
        <w:rPr>
          <w:lang w:val="de-DE"/>
        </w:rPr>
        <w:t xml:space="preserve">, </w:t>
      </w:r>
      <w:r w:rsidR="00C33EE0">
        <w:rPr>
          <w:lang w:val="de-DE"/>
        </w:rPr>
        <w:t>Markus Flaute</w:t>
      </w:r>
      <w:r w:rsidR="00BE01B8">
        <w:rPr>
          <w:vertAlign w:val="superscript"/>
          <w:lang w:val="de-DE"/>
        </w:rPr>
        <w:t>1</w:t>
      </w:r>
      <w:r w:rsidR="00C33EE0">
        <w:rPr>
          <w:vertAlign w:val="superscript"/>
          <w:lang w:val="de-DE"/>
        </w:rPr>
        <w:t xml:space="preserve"> </w:t>
      </w:r>
      <w:r w:rsidR="00C33EE0">
        <w:rPr>
          <w:lang w:val="de-DE"/>
        </w:rPr>
        <w:t>, Malte Oehlmann</w:t>
      </w:r>
      <w:r w:rsidR="004B3E43" w:rsidRPr="004B3E43">
        <w:rPr>
          <w:vertAlign w:val="superscript"/>
          <w:lang w:val="de-DE"/>
        </w:rPr>
        <w:t>2</w:t>
      </w:r>
      <w:r w:rsidR="00C33EE0">
        <w:rPr>
          <w:lang w:val="de-DE"/>
        </w:rPr>
        <w:t>, Ralph Büchele</w:t>
      </w:r>
      <w:r w:rsidR="004B3E43" w:rsidRPr="004B3E43">
        <w:rPr>
          <w:vertAlign w:val="superscript"/>
          <w:lang w:val="de-DE"/>
        </w:rPr>
        <w:t>3</w:t>
      </w:r>
      <w:r w:rsidR="004B3E43">
        <w:rPr>
          <w:lang w:val="de-DE"/>
        </w:rPr>
        <w:t>, Patrick Andrae</w:t>
      </w:r>
      <w:r w:rsidR="004B3E43" w:rsidRPr="004B3E43">
        <w:rPr>
          <w:vertAlign w:val="superscript"/>
          <w:lang w:val="de-DE"/>
        </w:rPr>
        <w:t>3</w:t>
      </w:r>
    </w:p>
    <w:p w14:paraId="6084510F" w14:textId="2E0498CA" w:rsidR="004476B0" w:rsidRPr="00A80230" w:rsidRDefault="004476B0" w:rsidP="004B3E43">
      <w:pPr>
        <w:pStyle w:val="Affiliation"/>
        <w:rPr>
          <w:lang w:val="de-DE"/>
        </w:rPr>
      </w:pPr>
      <w:r w:rsidRPr="00A80230">
        <w:rPr>
          <w:vertAlign w:val="superscript"/>
          <w:lang w:val="de-DE"/>
        </w:rPr>
        <w:t>1</w:t>
      </w:r>
      <w:r w:rsidRPr="00A80230">
        <w:rPr>
          <w:lang w:val="de-DE"/>
        </w:rPr>
        <w:t xml:space="preserve"> Gesellschaft für Wirtschaftliche Strukturforschung mbH, Osnabrück, Germany</w:t>
      </w:r>
      <w:r w:rsidR="004B3E43">
        <w:rPr>
          <w:lang w:val="de-DE"/>
        </w:rPr>
        <w:t xml:space="preserve">, </w:t>
      </w:r>
      <w:r w:rsidR="004B3E43" w:rsidRPr="004B3E43">
        <w:rPr>
          <w:vertAlign w:val="superscript"/>
          <w:lang w:val="de-DE"/>
        </w:rPr>
        <w:t>2</w:t>
      </w:r>
      <w:r w:rsidR="004B3E43">
        <w:rPr>
          <w:lang w:val="de-DE"/>
        </w:rPr>
        <w:t xml:space="preserve">adelphi, Berlin, Germany, </w:t>
      </w:r>
      <w:r w:rsidR="004B3E43" w:rsidRPr="004B3E43">
        <w:rPr>
          <w:vertAlign w:val="superscript"/>
          <w:lang w:val="de-DE"/>
        </w:rPr>
        <w:t>3</w:t>
      </w:r>
      <w:r w:rsidR="004B3E43">
        <w:rPr>
          <w:lang w:val="de-DE"/>
        </w:rPr>
        <w:t>Roland Berger, Berlin, Munich, Germany</w:t>
      </w:r>
    </w:p>
    <w:p w14:paraId="4F268BC2" w14:textId="5707C5E9" w:rsidR="004476B0" w:rsidRDefault="004476B0" w:rsidP="004476B0">
      <w:pPr>
        <w:pStyle w:val="Corrauthor"/>
      </w:pPr>
      <w:r w:rsidRPr="00A80230">
        <w:t xml:space="preserve">* Corresponding author. Tel: +4954140933280, Fax: +4954140933110, E-mail: </w:t>
      </w:r>
      <w:hyperlink r:id="rId8" w:history="1">
        <w:r w:rsidR="004B3E43" w:rsidRPr="00B032B9">
          <w:rPr>
            <w:rStyle w:val="Hyperlink"/>
          </w:rPr>
          <w:t>lehr@gws-os.com</w:t>
        </w:r>
      </w:hyperlink>
    </w:p>
    <w:p w14:paraId="54B9BC31" w14:textId="77777777" w:rsidR="004B3E43" w:rsidRPr="004B3E43" w:rsidRDefault="004B3E43" w:rsidP="004B3E43">
      <w:pPr>
        <w:pStyle w:val="Abstrbody"/>
        <w:rPr>
          <w:lang w:val="en-GB"/>
        </w:rPr>
      </w:pPr>
    </w:p>
    <w:p w14:paraId="14CC6D1E" w14:textId="77777777" w:rsidR="00EF7C7D" w:rsidRDefault="00657BF9" w:rsidP="009C3D41">
      <w:pPr>
        <w:pStyle w:val="Abstrbody"/>
        <w:rPr>
          <w:b/>
          <w:sz w:val="32"/>
          <w:szCs w:val="32"/>
        </w:rPr>
      </w:pPr>
      <w:r w:rsidRPr="009C3D41">
        <w:rPr>
          <w:b/>
          <w:sz w:val="32"/>
          <w:szCs w:val="32"/>
        </w:rPr>
        <w:t>Abstract</w:t>
      </w:r>
    </w:p>
    <w:p w14:paraId="0182D0FF" w14:textId="77777777" w:rsidR="00C82D87" w:rsidRDefault="00C82D87" w:rsidP="00CE7454">
      <w:pPr>
        <w:pStyle w:val="Abstrbody"/>
      </w:pPr>
      <w:r>
        <w:t xml:space="preserve">Climate change mitigation, if taken seriously as agreed on COP 21 in Paris, will necessitate large sums to be spent on efficiency, renewables, and </w:t>
      </w:r>
      <w:r w:rsidR="00CE7454">
        <w:t>transformation of our infrastructure. Apart from the obvious benefits of less global warming, the question raised in this contribution extends to the economic benefits from this investment in an economy with large industrial production, shrinking population and increasing tightness on the labor market. The question is not so much “who pays?” but “who benefits?”</w:t>
      </w:r>
    </w:p>
    <w:p w14:paraId="129889DA" w14:textId="77777777" w:rsidR="00CE7454" w:rsidRPr="00CA291D" w:rsidRDefault="00CE7454" w:rsidP="00CE7454">
      <w:pPr>
        <w:pStyle w:val="Abstrbody"/>
      </w:pPr>
      <w:r>
        <w:t xml:space="preserve">The answer depends on the climate change mitigation investment studied and on the economic sector under scrutiny. Overall effects on the economy are positive and GDP growth will be higher in the climate investment scenario. The results are obtained using a model-based approach, which entails a combination of technical bottom-up models, a macro-econometric model of the German economy and other projection tools. </w:t>
      </w:r>
    </w:p>
    <w:p w14:paraId="413AE095" w14:textId="77777777" w:rsidR="00B164AE" w:rsidRPr="00A80230" w:rsidRDefault="0012526D" w:rsidP="00E23545">
      <w:pPr>
        <w:pStyle w:val="Keywords"/>
      </w:pPr>
      <w:r w:rsidRPr="00A80230">
        <w:rPr>
          <w:b/>
        </w:rPr>
        <w:t>Keywords:</w:t>
      </w:r>
      <w:r w:rsidR="00E23545">
        <w:t xml:space="preserve"> Climate Investment, Economic Modeling, </w:t>
      </w:r>
      <w:r w:rsidR="000353BC">
        <w:t>Input-Output-Analysis</w:t>
      </w:r>
      <w:r w:rsidR="00E23545">
        <w:t>, Germany</w:t>
      </w:r>
    </w:p>
    <w:p w14:paraId="0AC6837B" w14:textId="77777777" w:rsidR="005439E1" w:rsidRDefault="00D63D25" w:rsidP="002E4BC1">
      <w:pPr>
        <w:pStyle w:val="berschrift1"/>
      </w:pPr>
      <w:r>
        <w:t>Background</w:t>
      </w:r>
    </w:p>
    <w:p w14:paraId="7CAEC6DE" w14:textId="4D279D95" w:rsidR="002331E9" w:rsidRPr="00CA291D" w:rsidRDefault="002A0BE3" w:rsidP="00027260">
      <w:pPr>
        <w:pStyle w:val="Default"/>
        <w:jc w:val="both"/>
        <w:rPr>
          <w:rFonts w:ascii="Calibri" w:hAnsi="Calibri" w:cs="Times New Roman"/>
          <w:color w:val="auto"/>
          <w:sz w:val="22"/>
          <w:szCs w:val="22"/>
          <w:lang w:val="en-US" w:eastAsia="en-US"/>
        </w:rPr>
      </w:pPr>
      <w:r w:rsidRPr="002331E9">
        <w:rPr>
          <w:rFonts w:ascii="Calibri" w:hAnsi="Calibri" w:cs="Times New Roman"/>
          <w:color w:val="auto"/>
          <w:sz w:val="22"/>
          <w:szCs w:val="22"/>
          <w:lang w:val="en-US" w:eastAsia="en-US"/>
        </w:rPr>
        <w:t xml:space="preserve">Latest after the Paris COP 21 </w:t>
      </w:r>
      <w:r w:rsidR="00AC56D1" w:rsidRPr="002331E9">
        <w:rPr>
          <w:rFonts w:ascii="Calibri" w:hAnsi="Calibri" w:cs="Times New Roman"/>
          <w:color w:val="auto"/>
          <w:sz w:val="22"/>
          <w:szCs w:val="22"/>
          <w:lang w:val="en-US" w:eastAsia="en-US"/>
        </w:rPr>
        <w:t>agreement,</w:t>
      </w:r>
      <w:r w:rsidRPr="002331E9">
        <w:rPr>
          <w:rFonts w:ascii="Calibri" w:hAnsi="Calibri" w:cs="Times New Roman"/>
          <w:color w:val="auto"/>
          <w:sz w:val="22"/>
          <w:szCs w:val="22"/>
          <w:lang w:val="en-US" w:eastAsia="en-US"/>
        </w:rPr>
        <w:t xml:space="preserve"> it became clear that the world has to </w:t>
      </w:r>
      <w:r w:rsidR="003202C2" w:rsidRPr="002331E9">
        <w:rPr>
          <w:rFonts w:ascii="Calibri" w:hAnsi="Calibri" w:cs="Times New Roman"/>
          <w:color w:val="auto"/>
          <w:sz w:val="22"/>
          <w:szCs w:val="22"/>
          <w:lang w:val="en-US" w:eastAsia="en-US"/>
        </w:rPr>
        <w:t xml:space="preserve">turn serious in its efforts </w:t>
      </w:r>
      <w:r w:rsidRPr="002331E9">
        <w:rPr>
          <w:rFonts w:ascii="Calibri" w:hAnsi="Calibri" w:cs="Times New Roman"/>
          <w:color w:val="auto"/>
          <w:sz w:val="22"/>
          <w:szCs w:val="22"/>
          <w:lang w:val="en-US" w:eastAsia="en-US"/>
        </w:rPr>
        <w:t xml:space="preserve">in climate change mitigation. </w:t>
      </w:r>
      <w:r w:rsidR="00FE1080" w:rsidRPr="002331E9">
        <w:rPr>
          <w:rFonts w:ascii="Calibri" w:hAnsi="Calibri" w:cs="Times New Roman"/>
          <w:color w:val="auto"/>
          <w:sz w:val="22"/>
          <w:szCs w:val="22"/>
          <w:lang w:val="en-US" w:eastAsia="en-US"/>
        </w:rPr>
        <w:t xml:space="preserve">Meanwhile, </w:t>
      </w:r>
      <w:hyperlink r:id="rId9" w:tgtFrame="_blank" w:history="1">
        <w:r w:rsidR="00FE1080" w:rsidRPr="002331E9">
          <w:rPr>
            <w:rFonts w:ascii="Calibri" w:hAnsi="Calibri" w:cs="Times New Roman"/>
            <w:color w:val="auto"/>
            <w:sz w:val="22"/>
            <w:szCs w:val="22"/>
            <w:lang w:val="en-US" w:eastAsia="en-US"/>
          </w:rPr>
          <w:t>187 nations</w:t>
        </w:r>
      </w:hyperlink>
      <w:r w:rsidR="005F02DC" w:rsidRPr="00CA291D">
        <w:rPr>
          <w:rFonts w:asciiTheme="minorHAnsi" w:hAnsiTheme="minorHAnsi"/>
        </w:rPr>
        <w:footnoteReference w:id="2"/>
      </w:r>
      <w:r w:rsidR="00FE1080" w:rsidRPr="002331E9">
        <w:rPr>
          <w:rFonts w:ascii="Calibri" w:hAnsi="Calibri" w:cs="Times New Roman"/>
          <w:color w:val="auto"/>
          <w:sz w:val="22"/>
          <w:szCs w:val="22"/>
          <w:lang w:val="en-US" w:eastAsia="en-US"/>
        </w:rPr>
        <w:t xml:space="preserve">, representing 98 percent of the world’s greenhouse gas emissions, submitted their Intended Nationally Determined Contributions (INDC). Fulfilling these commitments of limiting warming </w:t>
      </w:r>
      <w:r w:rsidR="00027260">
        <w:rPr>
          <w:rFonts w:ascii="Calibri" w:hAnsi="Calibri" w:cs="Times New Roman"/>
          <w:color w:val="auto"/>
          <w:sz w:val="22"/>
          <w:szCs w:val="22"/>
          <w:lang w:val="en-US" w:eastAsia="en-US"/>
        </w:rPr>
        <w:t xml:space="preserve">at </w:t>
      </w:r>
      <w:r w:rsidR="00FE1080" w:rsidRPr="002331E9">
        <w:rPr>
          <w:rFonts w:ascii="Calibri" w:hAnsi="Calibri" w:cs="Times New Roman"/>
          <w:color w:val="auto"/>
          <w:sz w:val="22"/>
          <w:szCs w:val="22"/>
          <w:lang w:val="en-US" w:eastAsia="en-US"/>
        </w:rPr>
        <w:t xml:space="preserve">below 2 degrees Celsius will spur a huge dollar clean energy investment </w:t>
      </w:r>
      <w:r w:rsidR="003202C2" w:rsidRPr="002331E9">
        <w:rPr>
          <w:rFonts w:ascii="Calibri" w:hAnsi="Calibri" w:cs="Times New Roman"/>
          <w:color w:val="auto"/>
          <w:sz w:val="22"/>
          <w:szCs w:val="22"/>
          <w:lang w:val="en-US" w:eastAsia="en-US"/>
        </w:rPr>
        <w:t>opportunity,</w:t>
      </w:r>
      <w:r w:rsidR="00FE1080" w:rsidRPr="002331E9">
        <w:rPr>
          <w:rFonts w:ascii="Calibri" w:hAnsi="Calibri" w:cs="Times New Roman"/>
          <w:color w:val="auto"/>
          <w:sz w:val="22"/>
          <w:szCs w:val="22"/>
          <w:lang w:val="en-US" w:eastAsia="en-US"/>
        </w:rPr>
        <w:t xml:space="preserve"> </w:t>
      </w:r>
      <w:r w:rsidR="005F02DC" w:rsidRPr="002331E9">
        <w:rPr>
          <w:rFonts w:ascii="Calibri" w:hAnsi="Calibri" w:cs="Times New Roman"/>
          <w:color w:val="auto"/>
          <w:sz w:val="22"/>
          <w:szCs w:val="22"/>
          <w:lang w:val="en-US" w:eastAsia="en-US"/>
        </w:rPr>
        <w:t xml:space="preserve">which the </w:t>
      </w:r>
      <w:r w:rsidR="00FE1080" w:rsidRPr="002331E9">
        <w:rPr>
          <w:rFonts w:ascii="Calibri" w:hAnsi="Calibri" w:cs="Times New Roman"/>
          <w:color w:val="auto"/>
          <w:sz w:val="22"/>
          <w:szCs w:val="22"/>
          <w:lang w:val="en-US" w:eastAsia="en-US"/>
        </w:rPr>
        <w:t xml:space="preserve">IEA estimated </w:t>
      </w:r>
      <w:r w:rsidR="005F02DC" w:rsidRPr="002331E9">
        <w:rPr>
          <w:rFonts w:ascii="Calibri" w:hAnsi="Calibri" w:cs="Times New Roman"/>
          <w:color w:val="auto"/>
          <w:sz w:val="22"/>
          <w:szCs w:val="22"/>
          <w:lang w:val="en-US" w:eastAsia="en-US"/>
        </w:rPr>
        <w:t xml:space="preserve">for the year 2016 as </w:t>
      </w:r>
      <w:r w:rsidR="00FE1080" w:rsidRPr="002331E9">
        <w:rPr>
          <w:rFonts w:ascii="Calibri" w:hAnsi="Calibri" w:cs="Times New Roman"/>
          <w:color w:val="auto"/>
          <w:sz w:val="22"/>
          <w:szCs w:val="22"/>
          <w:lang w:val="en-US" w:eastAsia="en-US"/>
        </w:rPr>
        <w:t xml:space="preserve">$16.5 trillion. </w:t>
      </w:r>
      <w:r w:rsidR="005F02DC" w:rsidRPr="002331E9">
        <w:rPr>
          <w:rFonts w:ascii="Calibri" w:hAnsi="Calibri" w:cs="Times New Roman"/>
          <w:color w:val="auto"/>
          <w:sz w:val="22"/>
          <w:szCs w:val="22"/>
          <w:lang w:val="en-US" w:eastAsia="en-US"/>
        </w:rPr>
        <w:t>Even today</w:t>
      </w:r>
      <w:r w:rsidR="00FE1080" w:rsidRPr="002331E9">
        <w:rPr>
          <w:rFonts w:ascii="Calibri" w:hAnsi="Calibri" w:cs="Times New Roman"/>
          <w:color w:val="auto"/>
          <w:sz w:val="22"/>
          <w:szCs w:val="22"/>
          <w:lang w:val="en-US" w:eastAsia="en-US"/>
        </w:rPr>
        <w:t xml:space="preserve">, investment in clean energy surpassed investment in fossil fuels </w:t>
      </w:r>
      <w:r w:rsidR="001A51D2" w:rsidRPr="002331E9">
        <w:rPr>
          <w:rFonts w:ascii="Calibri" w:hAnsi="Calibri" w:cs="Times New Roman"/>
          <w:color w:val="auto"/>
          <w:sz w:val="22"/>
          <w:szCs w:val="22"/>
          <w:lang w:val="en-US" w:eastAsia="en-US"/>
        </w:rPr>
        <w:t>already in 2015 and 2016</w:t>
      </w:r>
      <w:r w:rsidR="005F02DC" w:rsidRPr="002331E9">
        <w:rPr>
          <w:rFonts w:ascii="Calibri" w:hAnsi="Calibri" w:cs="Times New Roman"/>
          <w:color w:val="auto"/>
          <w:sz w:val="22"/>
          <w:szCs w:val="22"/>
          <w:lang w:val="en-US" w:eastAsia="en-US"/>
        </w:rPr>
        <w:t>.</w:t>
      </w:r>
      <w:r w:rsidR="002331E9" w:rsidRPr="002331E9">
        <w:rPr>
          <w:rFonts w:ascii="Calibri" w:hAnsi="Calibri" w:cs="Times New Roman"/>
          <w:color w:val="auto"/>
          <w:sz w:val="22"/>
          <w:szCs w:val="22"/>
          <w:lang w:val="en-US" w:eastAsia="en-US"/>
        </w:rPr>
        <w:t xml:space="preserve"> The latest data </w:t>
      </w:r>
      <w:r w:rsidR="002331E9">
        <w:rPr>
          <w:rFonts w:ascii="Calibri" w:hAnsi="Calibri" w:cs="Times New Roman"/>
          <w:color w:val="auto"/>
          <w:sz w:val="22"/>
          <w:szCs w:val="22"/>
          <w:lang w:val="en-US" w:eastAsia="en-US"/>
        </w:rPr>
        <w:t>(</w:t>
      </w:r>
      <w:r w:rsidR="002331E9" w:rsidRPr="00C50973">
        <w:rPr>
          <w:rFonts w:ascii="Calibri" w:hAnsi="Calibri" w:cs="Times New Roman"/>
          <w:color w:val="auto"/>
          <w:sz w:val="22"/>
          <w:szCs w:val="22"/>
          <w:lang w:val="en-US" w:eastAsia="en-US"/>
        </w:rPr>
        <w:t xml:space="preserve">cf. </w:t>
      </w:r>
      <w:r w:rsidR="002331E9" w:rsidRPr="00CA291D">
        <w:rPr>
          <w:rFonts w:ascii="Calibri" w:hAnsi="Calibri" w:cs="Times New Roman"/>
          <w:color w:val="auto"/>
          <w:sz w:val="22"/>
          <w:szCs w:val="22"/>
          <w:lang w:val="en-US" w:eastAsia="en-US"/>
        </w:rPr>
        <w:t>Frankfurt School-UNEP Centre/BNEF. 2017)</w:t>
      </w:r>
      <w:r w:rsidR="002331E9" w:rsidRPr="00C50973">
        <w:rPr>
          <w:rFonts w:cs="Frutiger 45 Light"/>
          <w:sz w:val="18"/>
          <w:szCs w:val="18"/>
          <w:lang w:val="en-US"/>
        </w:rPr>
        <w:t xml:space="preserve"> </w:t>
      </w:r>
      <w:r w:rsidR="002331E9" w:rsidRPr="002331E9">
        <w:rPr>
          <w:rFonts w:ascii="Calibri" w:hAnsi="Calibri" w:cs="Times New Roman"/>
          <w:color w:val="auto"/>
          <w:sz w:val="22"/>
          <w:szCs w:val="22"/>
          <w:lang w:val="en-US" w:eastAsia="en-US"/>
        </w:rPr>
        <w:t>on capacities installed and money spent on renewable energy, fossil</w:t>
      </w:r>
      <w:r w:rsidR="002331E9" w:rsidRPr="00C16729">
        <w:rPr>
          <w:rFonts w:ascii="Calibri" w:hAnsi="Calibri" w:cs="Times New Roman"/>
          <w:color w:val="auto"/>
          <w:sz w:val="22"/>
          <w:szCs w:val="22"/>
          <w:lang w:val="en-US" w:eastAsia="en-US"/>
        </w:rPr>
        <w:t xml:space="preserve"> fuel or energy efficiency show</w:t>
      </w:r>
      <w:r w:rsidR="002331E9" w:rsidRPr="002331E9">
        <w:rPr>
          <w:rFonts w:ascii="Calibri" w:hAnsi="Calibri" w:cs="Times New Roman"/>
          <w:color w:val="auto"/>
          <w:sz w:val="22"/>
          <w:szCs w:val="22"/>
          <w:lang w:val="en-US" w:eastAsia="en-US"/>
        </w:rPr>
        <w:t xml:space="preserve"> that </w:t>
      </w:r>
      <w:r w:rsidR="002331E9">
        <w:rPr>
          <w:rFonts w:cs="Frutiger 45 Light"/>
          <w:b/>
          <w:bCs/>
          <w:sz w:val="18"/>
          <w:szCs w:val="18"/>
          <w:lang w:val="en-US"/>
        </w:rPr>
        <w:t>r</w:t>
      </w:r>
      <w:r w:rsidR="002331E9" w:rsidRPr="00CA291D">
        <w:rPr>
          <w:rFonts w:ascii="Calibri" w:hAnsi="Calibri" w:cs="Times New Roman"/>
          <w:color w:val="auto"/>
          <w:sz w:val="22"/>
          <w:szCs w:val="22"/>
          <w:lang w:val="en-US" w:eastAsia="en-US"/>
        </w:rPr>
        <w:t xml:space="preserve">enewable energy </w:t>
      </w:r>
      <w:r w:rsidR="002331E9">
        <w:rPr>
          <w:rFonts w:ascii="Calibri" w:hAnsi="Calibri" w:cs="Times New Roman"/>
          <w:color w:val="auto"/>
          <w:sz w:val="22"/>
          <w:szCs w:val="22"/>
          <w:lang w:val="en-US" w:eastAsia="en-US"/>
        </w:rPr>
        <w:t>(RE)</w:t>
      </w:r>
      <w:r w:rsidR="002331E9">
        <w:rPr>
          <w:rStyle w:val="Funotenzeichen"/>
          <w:rFonts w:ascii="Calibri" w:hAnsi="Calibri" w:cs="Times New Roman"/>
          <w:color w:val="auto"/>
          <w:lang w:val="en-US" w:eastAsia="en-US"/>
        </w:rPr>
        <w:footnoteReference w:id="3"/>
      </w:r>
      <w:r w:rsidR="002331E9">
        <w:rPr>
          <w:rFonts w:ascii="Calibri" w:hAnsi="Calibri" w:cs="Times New Roman"/>
          <w:color w:val="auto"/>
          <w:sz w:val="22"/>
          <w:szCs w:val="22"/>
          <w:lang w:val="en-US" w:eastAsia="en-US"/>
        </w:rPr>
        <w:t xml:space="preserve"> </w:t>
      </w:r>
      <w:r w:rsidR="002331E9" w:rsidRPr="00CA291D">
        <w:rPr>
          <w:rFonts w:ascii="Calibri" w:hAnsi="Calibri" w:cs="Times New Roman"/>
          <w:color w:val="auto"/>
          <w:sz w:val="22"/>
          <w:szCs w:val="22"/>
          <w:lang w:val="en-US" w:eastAsia="en-US"/>
        </w:rPr>
        <w:t>accounted for 55.3% of the new electricity generating capacity added worldwide in 2016</w:t>
      </w:r>
      <w:r w:rsidR="002331E9">
        <w:rPr>
          <w:rFonts w:ascii="Calibri" w:hAnsi="Calibri" w:cs="Times New Roman"/>
          <w:color w:val="auto"/>
          <w:sz w:val="22"/>
          <w:szCs w:val="22"/>
          <w:lang w:val="en-US" w:eastAsia="en-US"/>
        </w:rPr>
        <w:t xml:space="preserve"> and</w:t>
      </w:r>
      <w:r w:rsidR="002331E9" w:rsidRPr="00CA291D">
        <w:rPr>
          <w:rFonts w:ascii="Calibri" w:hAnsi="Calibri" w:cs="Times New Roman"/>
          <w:color w:val="auto"/>
          <w:sz w:val="22"/>
          <w:szCs w:val="22"/>
          <w:lang w:val="en-US" w:eastAsia="en-US"/>
        </w:rPr>
        <w:t xml:space="preserve"> solar power </w:t>
      </w:r>
      <w:r w:rsidR="002331E9">
        <w:rPr>
          <w:rFonts w:ascii="Calibri" w:hAnsi="Calibri" w:cs="Times New Roman"/>
          <w:color w:val="auto"/>
          <w:sz w:val="22"/>
          <w:szCs w:val="22"/>
          <w:lang w:val="en-US" w:eastAsia="en-US"/>
        </w:rPr>
        <w:t xml:space="preserve">dominated new installations. Moreover, even </w:t>
      </w:r>
      <w:r w:rsidR="002331E9" w:rsidRPr="00CA291D">
        <w:rPr>
          <w:rFonts w:ascii="Calibri" w:hAnsi="Calibri" w:cs="Times New Roman"/>
          <w:color w:val="auto"/>
          <w:sz w:val="22"/>
          <w:szCs w:val="22"/>
          <w:lang w:val="en-US" w:eastAsia="en-US"/>
        </w:rPr>
        <w:t>though investment in renewables capacity fell by 23% in 2016 in dollar terms</w:t>
      </w:r>
      <w:r w:rsidR="002331E9">
        <w:rPr>
          <w:rFonts w:ascii="Calibri" w:hAnsi="Calibri" w:cs="Times New Roman"/>
          <w:color w:val="auto"/>
          <w:sz w:val="22"/>
          <w:szCs w:val="22"/>
          <w:lang w:val="en-US" w:eastAsia="en-US"/>
        </w:rPr>
        <w:t xml:space="preserve">, </w:t>
      </w:r>
      <w:r w:rsidR="002331E9" w:rsidRPr="00CA291D">
        <w:rPr>
          <w:rFonts w:ascii="Calibri" w:hAnsi="Calibri" w:cs="Times New Roman"/>
          <w:color w:val="auto"/>
          <w:sz w:val="22"/>
          <w:szCs w:val="22"/>
          <w:lang w:val="en-US" w:eastAsia="en-US"/>
        </w:rPr>
        <w:t xml:space="preserve">Frankfurt School-UNEP Centre/BNEF. 2017 </w:t>
      </w:r>
      <w:r w:rsidR="00BF5020" w:rsidRPr="00CA291D">
        <w:rPr>
          <w:rFonts w:ascii="Calibri" w:hAnsi="Calibri" w:cs="Times New Roman"/>
          <w:color w:val="auto"/>
          <w:sz w:val="22"/>
          <w:szCs w:val="22"/>
          <w:lang w:val="en-US" w:eastAsia="en-US"/>
        </w:rPr>
        <w:t>concludes,</w:t>
      </w:r>
      <w:r w:rsidR="002331E9" w:rsidRPr="00CA291D">
        <w:rPr>
          <w:rFonts w:ascii="Calibri" w:hAnsi="Calibri" w:cs="Times New Roman"/>
          <w:color w:val="auto"/>
          <w:sz w:val="22"/>
          <w:szCs w:val="22"/>
          <w:lang w:val="en-US" w:eastAsia="en-US"/>
        </w:rPr>
        <w:t xml:space="preserve"> “it was still roughly double that in new fossil fuel power stations, and more than seven times the amount committed to new nuclear plants.</w:t>
      </w:r>
      <w:r w:rsidR="002331E9">
        <w:rPr>
          <w:rFonts w:ascii="Calibri" w:hAnsi="Calibri" w:cs="Times New Roman"/>
          <w:color w:val="auto"/>
          <w:sz w:val="22"/>
          <w:szCs w:val="22"/>
          <w:lang w:val="en-US" w:eastAsia="en-US"/>
        </w:rPr>
        <w:t>”</w:t>
      </w:r>
    </w:p>
    <w:p w14:paraId="581033E6" w14:textId="77777777" w:rsidR="002331E9" w:rsidRPr="00CA291D" w:rsidRDefault="00BC621A" w:rsidP="00CA291D">
      <w:pPr>
        <w:pStyle w:val="Mainbody"/>
      </w:pPr>
      <w:r>
        <w:t xml:space="preserve">Regarding the other pillar of climate change prevention, news for </w:t>
      </w:r>
      <w:r w:rsidR="002331E9" w:rsidRPr="00CA291D">
        <w:t xml:space="preserve">2016 </w:t>
      </w:r>
      <w:r>
        <w:t xml:space="preserve">are also good: it </w:t>
      </w:r>
      <w:r w:rsidR="002331E9" w:rsidRPr="00CA291D">
        <w:t xml:space="preserve">was a particularly strong year for investment in energy smart technologies. Asset finance for smart meters and energy storage, plus equity raised for specialist companies in energy efficiency, storage and electric vehicles, </w:t>
      </w:r>
      <w:r w:rsidRPr="00C16729">
        <w:t>totaled</w:t>
      </w:r>
      <w:r w:rsidR="002331E9" w:rsidRPr="00CA291D">
        <w:t xml:space="preserve"> a record </w:t>
      </w:r>
      <w:r w:rsidRPr="00C16729">
        <w:t>$41.6 billion last year, up 29%</w:t>
      </w:r>
      <w:r>
        <w:t xml:space="preserve"> (</w:t>
      </w:r>
      <w:r w:rsidRPr="00CA291D">
        <w:t>Frankfurt School-UNEP Centre/BNEF. 2017)</w:t>
      </w:r>
      <w:r w:rsidR="0092729A" w:rsidRPr="00CA291D">
        <w:t xml:space="preserve">. </w:t>
      </w:r>
    </w:p>
    <w:p w14:paraId="2A9A1661" w14:textId="78AF8629" w:rsidR="001A51D2" w:rsidRDefault="0092729A" w:rsidP="00C16729">
      <w:pPr>
        <w:pStyle w:val="Mainbody"/>
      </w:pPr>
      <w:r>
        <w:lastRenderedPageBreak/>
        <w:t xml:space="preserve">In both areas as well as in the green transport sector, investment will have to increase in the future to meet the targets set. </w:t>
      </w:r>
      <w:r w:rsidR="00B44E96">
        <w:t xml:space="preserve">So-called green investment could therefore fill a gap, which has been identified for some European countries and in particular for Germany. </w:t>
      </w:r>
      <w:r w:rsidR="00B44E96" w:rsidRPr="00C16729">
        <w:t xml:space="preserve">The Economist titled in 2015 </w:t>
      </w:r>
      <w:r w:rsidR="00B44E96">
        <w:t>“</w:t>
      </w:r>
      <w:r w:rsidR="00B44E96" w:rsidRPr="00C16729">
        <w:t xml:space="preserve">Germany is investing too little—hurting Europe, the world and itself </w:t>
      </w:r>
      <w:r w:rsidR="00B44E96">
        <w:t>“.</w:t>
      </w:r>
      <w:r w:rsidR="00D90716">
        <w:t xml:space="preserve"> </w:t>
      </w:r>
      <w:r w:rsidR="001A51D2" w:rsidRPr="00BA077E">
        <w:t>Though the empirical results are mixed (Alm, Meuers 2015) low investment activities can be detected in particular in the public sector</w:t>
      </w:r>
      <w:r w:rsidR="001A25CF">
        <w:t xml:space="preserve"> whe</w:t>
      </w:r>
      <w:r w:rsidR="00AC56D1">
        <w:t>n</w:t>
      </w:r>
      <w:r w:rsidR="001A25CF">
        <w:t xml:space="preserve"> compared to other OECD countries</w:t>
      </w:r>
      <w:r w:rsidR="001A51D2" w:rsidRPr="00BA077E">
        <w:t xml:space="preserve">. This translates into the concern that Germany will live off the depreciating </w:t>
      </w:r>
      <w:r w:rsidR="00E2034D" w:rsidRPr="00BA077E">
        <w:t xml:space="preserve">stock of infrastructure in the near future. </w:t>
      </w:r>
    </w:p>
    <w:p w14:paraId="74595696" w14:textId="0B197561" w:rsidR="00E2034D" w:rsidRDefault="00B44E96" w:rsidP="00380F6C">
      <w:pPr>
        <w:pStyle w:val="Mainbody"/>
      </w:pPr>
      <w:r>
        <w:t xml:space="preserve">In reaction to this discussion, the following contribution </w:t>
      </w:r>
      <w:r w:rsidR="00027260">
        <w:t xml:space="preserve">takes </w:t>
      </w:r>
      <w:r w:rsidR="00027260" w:rsidRPr="00BA077E">
        <w:t>these</w:t>
      </w:r>
      <w:r w:rsidR="00E2034D" w:rsidRPr="00BA077E">
        <w:t xml:space="preserve"> two strands together and analyses the effects</w:t>
      </w:r>
      <w:r>
        <w:t xml:space="preserve"> of a higher level of public and private investment</w:t>
      </w:r>
      <w:r w:rsidR="009C0955">
        <w:t>,</w:t>
      </w:r>
      <w:r>
        <w:t xml:space="preserve"> which aims at climate protection</w:t>
      </w:r>
      <w:r w:rsidR="009C0955">
        <w:t>,</w:t>
      </w:r>
      <w:r>
        <w:t xml:space="preserve"> on the German economy. </w:t>
      </w:r>
      <w:r w:rsidR="009C0955">
        <w:t xml:space="preserve">In particular, we compare the economic development under a scenario </w:t>
      </w:r>
      <w:r w:rsidR="00E2034D" w:rsidRPr="00BA077E">
        <w:t xml:space="preserve">with higher investment </w:t>
      </w:r>
      <w:r w:rsidR="009C0955">
        <w:t>in</w:t>
      </w:r>
      <w:r w:rsidR="00E2034D" w:rsidRPr="00BA077E">
        <w:t xml:space="preserve"> GHG mitigation and green infrastructure</w:t>
      </w:r>
      <w:r w:rsidR="009C0955">
        <w:t xml:space="preserve"> to the economic development in a reference scenario, which does not contain this additional investment</w:t>
      </w:r>
      <w:r w:rsidR="00E2034D" w:rsidRPr="00BA077E">
        <w:t xml:space="preserve">. The </w:t>
      </w:r>
      <w:r w:rsidR="009C0955">
        <w:t xml:space="preserve">investment </w:t>
      </w:r>
      <w:r w:rsidR="00E2034D" w:rsidRPr="00BA077E">
        <w:t xml:space="preserve">scenario covers renewable energy (PV, wind), efficiency increases in the residential and </w:t>
      </w:r>
      <w:r w:rsidR="00C644AE">
        <w:t xml:space="preserve">public </w:t>
      </w:r>
      <w:r w:rsidR="00E2034D" w:rsidRPr="00BA077E">
        <w:t xml:space="preserve">building stock, expansion of bicycle lanes </w:t>
      </w:r>
      <w:r w:rsidR="0068196E">
        <w:t xml:space="preserve">and pedestrian paths as well as </w:t>
      </w:r>
      <w:r w:rsidR="00C82D87" w:rsidRPr="00BA077E">
        <w:t>rail</w:t>
      </w:r>
      <w:r w:rsidR="00C82D87">
        <w:t>roads</w:t>
      </w:r>
      <w:r w:rsidR="00E2034D" w:rsidRPr="00BA077E">
        <w:t xml:space="preserve"> and the improvement of the electricity grids </w:t>
      </w:r>
      <w:r w:rsidR="00AE1521">
        <w:t>with a focus on</w:t>
      </w:r>
      <w:r w:rsidR="00E2034D" w:rsidRPr="00BA077E">
        <w:t xml:space="preserve"> storage. The economic effects</w:t>
      </w:r>
      <w:r w:rsidR="00D90716">
        <w:t xml:space="preserve"> are</w:t>
      </w:r>
      <w:r w:rsidR="00E2034D" w:rsidRPr="00BA077E">
        <w:t xml:space="preserve"> </w:t>
      </w:r>
      <w:r w:rsidR="009C0955">
        <w:t>simulated with the macro-econometric model PANTA RHEI</w:t>
      </w:r>
      <w:r w:rsidR="00D90716">
        <w:t>.</w:t>
      </w:r>
      <w:r w:rsidR="009C0955">
        <w:t xml:space="preserve"> </w:t>
      </w:r>
      <w:r w:rsidR="00D90716">
        <w:t>T</w:t>
      </w:r>
      <w:r w:rsidR="009C0955">
        <w:t xml:space="preserve">he scenarios are developed bottom up and the </w:t>
      </w:r>
      <w:r w:rsidR="00AE1521">
        <w:t xml:space="preserve">measures suggested help to fulfil the GHG targets of Germany. The focus is on those measures, which are expected to have the largest GHG mitigation effect. </w:t>
      </w:r>
    </w:p>
    <w:p w14:paraId="225BAB8C" w14:textId="77777777" w:rsidR="00A33AC8" w:rsidRDefault="00A33AC8" w:rsidP="00AE1521">
      <w:pPr>
        <w:pStyle w:val="Mainbody"/>
      </w:pPr>
      <w:r>
        <w:t xml:space="preserve">The remainder of the paper is structured as follows: Section 2 details the </w:t>
      </w:r>
      <w:r w:rsidR="009C0955">
        <w:t xml:space="preserve">economic </w:t>
      </w:r>
      <w:r>
        <w:t xml:space="preserve">modelling approach before Section 3 describes the scenarios this research is based on. Section 4, then, presents the results while Section 5 summarizes and discusses the main findings. </w:t>
      </w:r>
    </w:p>
    <w:p w14:paraId="31D0DD12" w14:textId="77777777" w:rsidR="00432752" w:rsidRDefault="00432752" w:rsidP="00EF7C7D">
      <w:pPr>
        <w:pStyle w:val="berschrift1"/>
      </w:pPr>
      <w:r w:rsidRPr="00A80230">
        <w:t>Methodology</w:t>
      </w:r>
    </w:p>
    <w:p w14:paraId="34BDD2C2" w14:textId="77777777" w:rsidR="00702975" w:rsidRDefault="00702975" w:rsidP="00702975">
      <w:pPr>
        <w:pStyle w:val="berschrift2"/>
      </w:pPr>
      <w:r>
        <w:t>Net economic effects</w:t>
      </w:r>
    </w:p>
    <w:p w14:paraId="714B206F" w14:textId="77777777" w:rsidR="001441AA" w:rsidRDefault="001441AA" w:rsidP="00C16729">
      <w:pPr>
        <w:pStyle w:val="Mainbody"/>
      </w:pPr>
      <w:r>
        <w:t xml:space="preserve">Investment in climate friendly technologies will give positive impacts to some parts of the economy, for instance by enhancing the demand for certain goods or creating new business opportunities, and it will have negative impacts on others from increasing relative prices and leaving investment in not climate friendly technologies behind. </w:t>
      </w:r>
    </w:p>
    <w:p w14:paraId="6A2838DC" w14:textId="54F8B52F" w:rsidR="008A5D2B" w:rsidRPr="003202C2" w:rsidRDefault="001441AA" w:rsidP="00C16729">
      <w:pPr>
        <w:pStyle w:val="Mainbody"/>
      </w:pPr>
      <w:r>
        <w:t>To quantify the net effect of these counterbalancing tendencies, we make use of an economic simulation model</w:t>
      </w:r>
      <w:r w:rsidR="00E61BF2" w:rsidRPr="003202C2">
        <w:t xml:space="preserve">. This approach enables a closed framework for the analysis, in which no feedback effects and feedback loops </w:t>
      </w:r>
      <w:r>
        <w:t xml:space="preserve">are </w:t>
      </w:r>
      <w:r w:rsidR="00E61BF2" w:rsidRPr="003202C2">
        <w:t xml:space="preserve">lost. A </w:t>
      </w:r>
      <w:r>
        <w:t>model-based analysis of net economic effects consists of the</w:t>
      </w:r>
      <w:r w:rsidR="00E61BF2" w:rsidRPr="003202C2">
        <w:t xml:space="preserve"> following steps.</w:t>
      </w:r>
    </w:p>
    <w:p w14:paraId="241A378D" w14:textId="14C5E98E" w:rsidR="00827710" w:rsidRPr="003202C2" w:rsidRDefault="00564F93" w:rsidP="00C16729">
      <w:pPr>
        <w:pStyle w:val="Mainbody"/>
      </w:pPr>
      <w:r>
        <w:t>Data on v</w:t>
      </w:r>
      <w:r w:rsidR="00E61BF2" w:rsidRPr="003202C2">
        <w:t>arious possible courses of the future</w:t>
      </w:r>
      <w:r w:rsidR="00D90716">
        <w:t xml:space="preserve"> is</w:t>
      </w:r>
      <w:r w:rsidR="00E61BF2" w:rsidRPr="003202C2">
        <w:t xml:space="preserve"> </w:t>
      </w:r>
      <w:r>
        <w:t>collected</w:t>
      </w:r>
      <w:r w:rsidR="00E61BF2" w:rsidRPr="003202C2">
        <w:t xml:space="preserve"> in so-called scenarios. </w:t>
      </w:r>
      <w:r>
        <w:t xml:space="preserve">One scenario contains a future with no additional measure and investment and serves as a reference development against which all others compare.  </w:t>
      </w:r>
      <w:r w:rsidR="00E61BF2" w:rsidRPr="003202C2">
        <w:t xml:space="preserve"> </w:t>
      </w:r>
      <w:r w:rsidR="00827710" w:rsidRPr="003202C2">
        <w:t xml:space="preserve">Bottom-up </w:t>
      </w:r>
      <w:r>
        <w:t xml:space="preserve">technology models, cost benefit analyses, feasibility calculations and profitability analyses as well as future market analyses (see chapter on scenario building) lead to the definition of scenarios for individual investment causes. </w:t>
      </w:r>
      <w:r w:rsidR="00DB6611" w:rsidRPr="003202C2">
        <w:t>T</w:t>
      </w:r>
      <w:r w:rsidR="00C6368E" w:rsidRPr="003202C2">
        <w:t xml:space="preserve">he resulting </w:t>
      </w:r>
      <w:r>
        <w:t xml:space="preserve">information comprises </w:t>
      </w:r>
      <w:r w:rsidR="00C6368E" w:rsidRPr="003202C2">
        <w:t>monetary effects (e.g. energy prices) and/or energetic effects (e.g. energy savings</w:t>
      </w:r>
      <w:r>
        <w:t xml:space="preserve"> and serves as an input to the macro-econometric simulation model described in the next section. </w:t>
      </w:r>
      <w:r w:rsidR="00D90716">
        <w:t xml:space="preserve">The </w:t>
      </w:r>
      <w:r w:rsidR="00E741D8" w:rsidRPr="003202C2">
        <w:t xml:space="preserve">macroeconomic model </w:t>
      </w:r>
      <w:r w:rsidR="00027260" w:rsidRPr="003202C2">
        <w:t xml:space="preserve">calculates </w:t>
      </w:r>
      <w:r w:rsidR="00027260">
        <w:t>the</w:t>
      </w:r>
      <w:r>
        <w:t xml:space="preserve"> future development of economic quantities such as GDP, employment</w:t>
      </w:r>
      <w:r w:rsidR="004055CC">
        <w:t>, sector specific output or value added</w:t>
      </w:r>
      <w:r w:rsidR="00E741D8" w:rsidRPr="003202C2">
        <w:t xml:space="preserve">, taking into account feedback effects. </w:t>
      </w:r>
      <w:r w:rsidR="00A16EC3" w:rsidRPr="003202C2">
        <w:t>A comparison of the</w:t>
      </w:r>
      <w:r w:rsidR="004055CC">
        <w:t>se</w:t>
      </w:r>
      <w:r w:rsidR="00A16EC3" w:rsidRPr="003202C2">
        <w:t xml:space="preserve"> </w:t>
      </w:r>
      <w:r w:rsidR="004055CC">
        <w:t>quantities under different scenario assumptions</w:t>
      </w:r>
      <w:r w:rsidR="00A16EC3" w:rsidRPr="003202C2">
        <w:t xml:space="preserve"> </w:t>
      </w:r>
      <w:r w:rsidR="005241EC">
        <w:t xml:space="preserve">with </w:t>
      </w:r>
      <w:r w:rsidR="00A16EC3" w:rsidRPr="003202C2">
        <w:t xml:space="preserve">a reference scenario provides information </w:t>
      </w:r>
      <w:r w:rsidR="00027260">
        <w:t xml:space="preserve">on </w:t>
      </w:r>
      <w:r w:rsidR="00027260" w:rsidRPr="003202C2">
        <w:t>overall</w:t>
      </w:r>
      <w:r w:rsidR="00A16EC3" w:rsidRPr="003202C2">
        <w:t xml:space="preserve"> economic effects of the developments defined in the scenarios.</w:t>
      </w:r>
      <w:r w:rsidR="003D541D" w:rsidRPr="003202C2">
        <w:t xml:space="preserve"> The differences between the results are </w:t>
      </w:r>
      <w:r w:rsidR="004055CC">
        <w:t xml:space="preserve">then </w:t>
      </w:r>
      <w:r w:rsidR="003D541D" w:rsidRPr="003202C2">
        <w:t xml:space="preserve">attributed to the effect of </w:t>
      </w:r>
      <w:r w:rsidR="004055CC">
        <w:t xml:space="preserve">different scenario specific </w:t>
      </w:r>
      <w:r w:rsidR="003D541D" w:rsidRPr="003202C2">
        <w:t>measures since all other parameters in the model are kept constant in all model runs (so-called ceteris paribus method).</w:t>
      </w:r>
    </w:p>
    <w:p w14:paraId="1CD1D7B8" w14:textId="49006A38" w:rsidR="00E741D8" w:rsidRPr="003202C2" w:rsidRDefault="00DA65A1" w:rsidP="00C16729">
      <w:pPr>
        <w:pStyle w:val="Mainbody"/>
      </w:pPr>
      <w:r w:rsidRPr="003202C2">
        <w:t>In this paper, a scenario with higher investment targeted at GHG mitigation and green infrastructure is compared to a reference scenario without such investment. The respective measures</w:t>
      </w:r>
      <w:r w:rsidR="006C0749">
        <w:t xml:space="preserve"> </w:t>
      </w:r>
      <w:r>
        <w:t>are the result of partial analyzes of different (lead) markets and areas of action</w:t>
      </w:r>
      <w:r w:rsidR="005616D0">
        <w:t xml:space="preserve"> (see section</w:t>
      </w:r>
      <w:r w:rsidR="00372A0F">
        <w:t xml:space="preserve"> </w:t>
      </w:r>
      <w:r w:rsidR="004055CC">
        <w:fldChar w:fldCharType="begin"/>
      </w:r>
      <w:r w:rsidR="004055CC">
        <w:instrText xml:space="preserve"> REF _Ref482355594 \r \h </w:instrText>
      </w:r>
      <w:r w:rsidR="004055CC">
        <w:fldChar w:fldCharType="separate"/>
      </w:r>
      <w:r w:rsidR="004055CC">
        <w:rPr>
          <w:rFonts w:hint="cs"/>
          <w:cs/>
        </w:rPr>
        <w:t>‎</w:t>
      </w:r>
      <w:r w:rsidR="004055CC">
        <w:t>3</w:t>
      </w:r>
      <w:r w:rsidR="004055CC">
        <w:fldChar w:fldCharType="end"/>
      </w:r>
      <w:r w:rsidR="005616D0">
        <w:t>)</w:t>
      </w:r>
      <w:r>
        <w:t>.</w:t>
      </w:r>
      <w:r w:rsidR="006C0749">
        <w:t xml:space="preserve"> The scenarios are </w:t>
      </w:r>
      <w:r w:rsidR="006C0749">
        <w:lastRenderedPageBreak/>
        <w:t xml:space="preserve">translated into model variables such as total additional investment, total energy saved, energy saved by energy carrier </w:t>
      </w:r>
      <w:r w:rsidR="00027260">
        <w:t>etc</w:t>
      </w:r>
      <w:r w:rsidR="006C0749">
        <w:t xml:space="preserve">. </w:t>
      </w:r>
    </w:p>
    <w:p w14:paraId="394D69DD" w14:textId="4CBF0C89" w:rsidR="00E741D8" w:rsidRPr="003202C2" w:rsidRDefault="000872B3" w:rsidP="00C16729">
      <w:pPr>
        <w:pStyle w:val="Beschriftung"/>
      </w:pPr>
      <w:bookmarkStart w:id="0" w:name="_Ref485220649"/>
      <w:r>
        <w:t xml:space="preserve">Figure </w:t>
      </w:r>
      <w:r>
        <w:fldChar w:fldCharType="begin"/>
      </w:r>
      <w:r>
        <w:instrText xml:space="preserve"> SEQ Figure \* ARABIC </w:instrText>
      </w:r>
      <w:r>
        <w:fldChar w:fldCharType="separate"/>
      </w:r>
      <w:r w:rsidR="00AC56D1">
        <w:rPr>
          <w:noProof/>
        </w:rPr>
        <w:t>1</w:t>
      </w:r>
      <w:r>
        <w:fldChar w:fldCharType="end"/>
      </w:r>
      <w:bookmarkEnd w:id="0"/>
      <w:r>
        <w:t xml:space="preserve">: </w:t>
      </w:r>
      <w:r w:rsidRPr="000872B3">
        <w:t xml:space="preserve">Economic and </w:t>
      </w:r>
      <w:r w:rsidR="006C0749">
        <w:t>environmental</w:t>
      </w:r>
      <w:r w:rsidRPr="000872B3">
        <w:t xml:space="preserve"> effects of investment targeted at GHG mitigation and green infrastructure</w:t>
      </w:r>
    </w:p>
    <w:p w14:paraId="69E309B7" w14:textId="2D615184" w:rsidR="00711A87" w:rsidRDefault="00345706" w:rsidP="009741FC">
      <w:pPr>
        <w:pStyle w:val="Mainbody"/>
        <w:jc w:val="center"/>
        <w:rPr>
          <w:lang w:val="de-DE"/>
        </w:rPr>
      </w:pPr>
      <w:r>
        <w:rPr>
          <w:noProof/>
          <w:lang w:val="de-DE" w:eastAsia="de-DE"/>
        </w:rPr>
        <w:drawing>
          <wp:inline distT="0" distB="0" distL="0" distR="0" wp14:anchorId="4C04371B" wp14:editId="44515A5D">
            <wp:extent cx="5354099" cy="307234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516" cy="3089802"/>
                    </a:xfrm>
                    <a:prstGeom prst="rect">
                      <a:avLst/>
                    </a:prstGeom>
                    <a:noFill/>
                  </pic:spPr>
                </pic:pic>
              </a:graphicData>
            </a:graphic>
          </wp:inline>
        </w:drawing>
      </w:r>
    </w:p>
    <w:p w14:paraId="45F8A7CB" w14:textId="77777777" w:rsidR="000872B3" w:rsidRDefault="000872B3" w:rsidP="000872B3">
      <w:pPr>
        <w:pStyle w:val="Mainbody"/>
      </w:pPr>
      <w:r>
        <w:t>Source: GWS</w:t>
      </w:r>
    </w:p>
    <w:p w14:paraId="6F49E951" w14:textId="361E9F0F" w:rsidR="006C0749" w:rsidRDefault="006C0749" w:rsidP="00610AB1">
      <w:pPr>
        <w:pStyle w:val="Mainbody"/>
      </w:pPr>
    </w:p>
    <w:p w14:paraId="1492EDCC" w14:textId="3895E2A9" w:rsidR="00610AB1" w:rsidRPr="003202C2" w:rsidRDefault="006C0749" w:rsidP="00C16729">
      <w:pPr>
        <w:pStyle w:val="Mainbody"/>
      </w:pPr>
      <w:r>
        <w:fldChar w:fldCharType="begin"/>
      </w:r>
      <w:r>
        <w:instrText xml:space="preserve"> REF _Ref485220649 \h </w:instrText>
      </w:r>
      <w:r>
        <w:fldChar w:fldCharType="separate"/>
      </w:r>
      <w:r>
        <w:t xml:space="preserve">Figure </w:t>
      </w:r>
      <w:r>
        <w:rPr>
          <w:noProof/>
        </w:rPr>
        <w:t>1</w:t>
      </w:r>
      <w:r>
        <w:fldChar w:fldCharType="end"/>
      </w:r>
      <w:r w:rsidR="008D4D90">
        <w:t xml:space="preserve"> </w:t>
      </w:r>
      <w:r w:rsidR="00D84F6E">
        <w:t xml:space="preserve">gives an overview of the </w:t>
      </w:r>
      <w:r w:rsidR="003E7804" w:rsidRPr="003202C2">
        <w:t xml:space="preserve">economic and </w:t>
      </w:r>
      <w:r w:rsidR="00D84F6E">
        <w:t>environmental</w:t>
      </w:r>
      <w:r w:rsidR="003E7804" w:rsidRPr="003202C2">
        <w:t xml:space="preserve"> effects</w:t>
      </w:r>
      <w:r w:rsidR="00D84F6E">
        <w:t xml:space="preserve"> from climate friendly investment.</w:t>
      </w:r>
      <w:r w:rsidR="005241EC">
        <w:t xml:space="preserve"> </w:t>
      </w:r>
      <w:r w:rsidR="003E7804" w:rsidRPr="003202C2">
        <w:t>Firstly, i</w:t>
      </w:r>
      <w:r w:rsidR="00610AB1" w:rsidRPr="003202C2">
        <w:t>nvestments directly increase final demand</w:t>
      </w:r>
      <w:r w:rsidR="00D84F6E">
        <w:t xml:space="preserve"> and if the demanded goods are produced domestically, increases production. </w:t>
      </w:r>
      <w:r w:rsidR="003E7804" w:rsidRPr="003202C2">
        <w:t xml:space="preserve">An increase in production also requires additional staff and </w:t>
      </w:r>
      <w:r w:rsidR="00D84F6E">
        <w:t>employment is higher</w:t>
      </w:r>
      <w:r w:rsidR="003E7804" w:rsidRPr="003202C2">
        <w:t>.</w:t>
      </w:r>
      <w:r w:rsidR="00D83182" w:rsidRPr="003202C2">
        <w:t xml:space="preserve"> </w:t>
      </w:r>
      <w:r w:rsidR="00D84F6E">
        <w:t>In a rather tight labor market such as Germany’s, wages will increase.</w:t>
      </w:r>
      <w:r w:rsidR="002E5563">
        <w:t xml:space="preserve"> In </w:t>
      </w:r>
      <w:r w:rsidR="00086BB9">
        <w:t>particular,</w:t>
      </w:r>
      <w:r w:rsidR="002E5563">
        <w:t xml:space="preserve"> wages increase in sectors not in international competition. In sectors active on international markets, wage increases are somewhat capped by prices attainable on international markets. </w:t>
      </w:r>
      <w:r w:rsidR="00086BB9">
        <w:t>Profits, production and the amount of additional employment will adjust accordingly.</w:t>
      </w:r>
      <w:r w:rsidR="003E7804" w:rsidRPr="003202C2">
        <w:t xml:space="preserve"> The additional employ</w:t>
      </w:r>
      <w:r w:rsidR="00086BB9">
        <w:t xml:space="preserve">ment yields more </w:t>
      </w:r>
      <w:r w:rsidR="003E7804" w:rsidRPr="003202C2">
        <w:t xml:space="preserve">income, which in turn is </w:t>
      </w:r>
      <w:r w:rsidR="00086BB9">
        <w:t>spent</w:t>
      </w:r>
      <w:r w:rsidR="003E7804" w:rsidRPr="003202C2">
        <w:t xml:space="preserve">. This increased consumption of goods leads to further </w:t>
      </w:r>
      <w:r w:rsidR="00086BB9">
        <w:t xml:space="preserve">production and </w:t>
      </w:r>
      <w:r w:rsidR="003E7804" w:rsidRPr="003202C2">
        <w:t>income effects.</w:t>
      </w:r>
    </w:p>
    <w:p w14:paraId="63B97A3B" w14:textId="7E4B91A5" w:rsidR="00711A87" w:rsidRPr="003202C2" w:rsidRDefault="007216C9" w:rsidP="00C16729">
      <w:pPr>
        <w:pStyle w:val="Mainbody"/>
      </w:pPr>
      <w:r w:rsidRPr="003202C2">
        <w:t xml:space="preserve">In addition to </w:t>
      </w:r>
      <w:r w:rsidR="00086BB9">
        <w:t>more labor</w:t>
      </w:r>
      <w:r w:rsidR="005241EC">
        <w:t>,</w:t>
      </w:r>
      <w:r w:rsidR="00086BB9">
        <w:t xml:space="preserve"> </w:t>
      </w:r>
      <w:r w:rsidRPr="003202C2">
        <w:t xml:space="preserve">more intermediate goods are </w:t>
      </w:r>
      <w:r w:rsidR="00086BB9" w:rsidRPr="003202C2">
        <w:t>ne</w:t>
      </w:r>
      <w:r w:rsidR="00086BB9">
        <w:t>cessary</w:t>
      </w:r>
      <w:r w:rsidR="00086BB9" w:rsidRPr="003202C2">
        <w:t xml:space="preserve"> </w:t>
      </w:r>
      <w:r w:rsidRPr="003202C2">
        <w:t xml:space="preserve">for production, </w:t>
      </w:r>
      <w:r w:rsidR="00086BB9">
        <w:t>be it</w:t>
      </w:r>
      <w:r w:rsidR="00086BB9" w:rsidRPr="003202C2">
        <w:t xml:space="preserve"> </w:t>
      </w:r>
      <w:r w:rsidRPr="003202C2">
        <w:t xml:space="preserve">from domestic or </w:t>
      </w:r>
      <w:r w:rsidR="00086BB9">
        <w:t>imported</w:t>
      </w:r>
      <w:r w:rsidRPr="003202C2">
        <w:t xml:space="preserve">. </w:t>
      </w:r>
      <w:r w:rsidR="00ED14C5" w:rsidRPr="003202C2">
        <w:t>The production of intermediate goods itself increases the demand for intermediate goods, and so on. These effects are taken into account in the macro-econometric model PANTA RHEI model using Leontief's approach, which links the production structure to the final demand, and thus makes it possible to determine the output of an industry as a whole.</w:t>
      </w:r>
    </w:p>
    <w:p w14:paraId="5D932271" w14:textId="5B1F1E27" w:rsidR="00711A87" w:rsidRPr="003202C2" w:rsidRDefault="005256FA" w:rsidP="00C16729">
      <w:pPr>
        <w:pStyle w:val="Mainbody"/>
      </w:pPr>
      <w:r w:rsidRPr="003202C2">
        <w:t xml:space="preserve">Depending on the type of investment, </w:t>
      </w:r>
      <w:r w:rsidR="00086BB9">
        <w:t>environmental effects</w:t>
      </w:r>
      <w:r w:rsidRPr="003202C2">
        <w:t xml:space="preserve"> differ. Energy savings, increased self-consumption and reduced fossil </w:t>
      </w:r>
      <w:r w:rsidR="00086BB9">
        <w:t xml:space="preserve">fuel based </w:t>
      </w:r>
      <w:r w:rsidRPr="003202C2">
        <w:t>power generation are possible climate-relevant effects, which in turn lead to reduced energy imports. With the funds released, additional non-energy goods can be purchased, which leads to further economic reactions.</w:t>
      </w:r>
      <w:r w:rsidR="002466DB" w:rsidRPr="003202C2">
        <w:t xml:space="preserve"> </w:t>
      </w:r>
      <w:r w:rsidRPr="003202C2">
        <w:t>Overall, investment affect</w:t>
      </w:r>
      <w:r w:rsidR="00086BB9">
        <w:t>s</w:t>
      </w:r>
      <w:r w:rsidRPr="003202C2">
        <w:t xml:space="preserve"> the different macroeconomic variables such as gross domestic product</w:t>
      </w:r>
      <w:r w:rsidR="002466DB" w:rsidRPr="003202C2">
        <w:t xml:space="preserve"> and employment.</w:t>
      </w:r>
    </w:p>
    <w:p w14:paraId="5B4F5064" w14:textId="77777777" w:rsidR="00702975" w:rsidRPr="00702975" w:rsidRDefault="00702975" w:rsidP="00702975">
      <w:pPr>
        <w:pStyle w:val="berschrift2"/>
      </w:pPr>
      <w:r>
        <w:t xml:space="preserve">The Model </w:t>
      </w:r>
    </w:p>
    <w:p w14:paraId="0CCBFE39" w14:textId="611627EB" w:rsidR="009407F8" w:rsidRDefault="009407F8" w:rsidP="00C16729">
      <w:pPr>
        <w:pStyle w:val="Mainbody"/>
      </w:pPr>
      <w:r>
        <w:t>The analysis is based upon simulation results obtained with the macro</w:t>
      </w:r>
      <w:r w:rsidR="00EB3160">
        <w:t>-</w:t>
      </w:r>
      <w:r>
        <w:t xml:space="preserve">econometric model PANTA RHEI. </w:t>
      </w:r>
      <w:r w:rsidR="000C5F94" w:rsidRPr="004E394B">
        <w:t>PANTA RHEI (Lutz et al., 2005; Lehr et al., 2008; Meyer et al., 2012</w:t>
      </w:r>
      <w:r w:rsidR="007E6418">
        <w:t xml:space="preserve">, Lutz </w:t>
      </w:r>
      <w:r w:rsidR="007E6418" w:rsidRPr="004E394B">
        <w:t>2011</w:t>
      </w:r>
      <w:r w:rsidR="000C5F94" w:rsidRPr="004E394B">
        <w:t xml:space="preserve">) is an </w:t>
      </w:r>
      <w:r w:rsidR="000C5F94" w:rsidRPr="004E394B">
        <w:lastRenderedPageBreak/>
        <w:t xml:space="preserve">environmentally extended version of the econometric simulation and forecasting model INFORGE. A detailed description of the economic part of the model is presented in Maier et al. (2015). </w:t>
      </w:r>
      <w:r w:rsidR="007E6418">
        <w:t xml:space="preserve">The economic core </w:t>
      </w:r>
      <w:r>
        <w:t xml:space="preserve">consistently describes the annual inter-industry flows between </w:t>
      </w:r>
      <w:r w:rsidR="00E2034D">
        <w:t>63</w:t>
      </w:r>
      <w:r>
        <w:t xml:space="preserve"> sectors, </w:t>
      </w:r>
      <w:r w:rsidR="007E6418">
        <w:t xml:space="preserve">the sector’s </w:t>
      </w:r>
      <w:r>
        <w:t>contributions to personal consumption, investment, construction</w:t>
      </w:r>
      <w:r w:rsidR="007E6418">
        <w:t xml:space="preserve"> and </w:t>
      </w:r>
      <w:r>
        <w:t xml:space="preserve">exports as well as prices, wages, output, imports, employment, labor compensation, profits, taxes, etc. </w:t>
      </w:r>
    </w:p>
    <w:p w14:paraId="08E487C8" w14:textId="68A537B3" w:rsidR="000C5F94" w:rsidRDefault="007E6418" w:rsidP="00C16729">
      <w:pPr>
        <w:pStyle w:val="Mainbody"/>
      </w:pPr>
      <w:r>
        <w:t>PANTA RHEI adds to that modules on</w:t>
      </w:r>
      <w:r w:rsidR="000C5F94">
        <w:t xml:space="preserve"> energy and related emissions, transport and housing (see </w:t>
      </w:r>
      <w:r w:rsidR="000C5F94">
        <w:fldChar w:fldCharType="begin"/>
      </w:r>
      <w:r w:rsidR="000C5F94">
        <w:instrText xml:space="preserve"> REF _Ref482193529 \h </w:instrText>
      </w:r>
      <w:r w:rsidR="000C5F94">
        <w:fldChar w:fldCharType="separate"/>
      </w:r>
      <w:r w:rsidR="00AC56D1">
        <w:t xml:space="preserve">Figure </w:t>
      </w:r>
      <w:r w:rsidR="00AC56D1">
        <w:rPr>
          <w:noProof/>
        </w:rPr>
        <w:t>2</w:t>
      </w:r>
      <w:r w:rsidR="000C5F94">
        <w:fldChar w:fldCharType="end"/>
      </w:r>
      <w:r w:rsidR="000C5F94">
        <w:t xml:space="preserve">). </w:t>
      </w:r>
      <w:r w:rsidR="000C5F94" w:rsidRPr="000C5F94">
        <w:t xml:space="preserve">Links between model components are consistent. The transport module, for example, models fuel consumption in </w:t>
      </w:r>
      <w:r w:rsidRPr="000C5F94">
        <w:t>liters</w:t>
      </w:r>
      <w:r w:rsidR="000C5F94" w:rsidRPr="000C5F94">
        <w:t xml:space="preserve">, which, multiplied by the price per </w:t>
      </w:r>
      <w:r w:rsidRPr="000C5F94">
        <w:t>liter</w:t>
      </w:r>
      <w:r w:rsidR="000C5F94" w:rsidRPr="000C5F94">
        <w:t>, feeds into input demand from the manufacturing sector and demand for consumer goods.</w:t>
      </w:r>
    </w:p>
    <w:p w14:paraId="4239CA8A" w14:textId="2556BFD8" w:rsidR="003B6703" w:rsidRDefault="009407F8" w:rsidP="00BA077E">
      <w:pPr>
        <w:pStyle w:val="Mainbody"/>
      </w:pPr>
      <w:r>
        <w:t xml:space="preserve">In the behavioral </w:t>
      </w:r>
      <w:r w:rsidR="007E6418">
        <w:t>equations,</w:t>
      </w:r>
      <w:r>
        <w:t xml:space="preserve"> decision routines are modeled that are not explicitly based on optimization behavior of agents, but are founded on bounded rationality. The parameters in all equations in PANTA RHEI are estimated econometrically from time series data. Producer prices are the result of mark-up calculations of firms. Output decisions do not stem from an optimization process but follow observable historic developments, including observed inefficiencies. Employment is determined from the production volume and the real wage rate in each sector, which in return depends on labor productivities and prices.</w:t>
      </w:r>
    </w:p>
    <w:p w14:paraId="4EF49240" w14:textId="77777777" w:rsidR="00FB27D3" w:rsidRDefault="00FB27D3" w:rsidP="00BA077E">
      <w:pPr>
        <w:pStyle w:val="Mainbody"/>
      </w:pPr>
    </w:p>
    <w:p w14:paraId="179B83C9" w14:textId="77777777" w:rsidR="003B6703" w:rsidRDefault="003B6703" w:rsidP="003B6703">
      <w:pPr>
        <w:pStyle w:val="Beschriftung"/>
      </w:pPr>
      <w:bookmarkStart w:id="1" w:name="_Ref482193529"/>
      <w:r>
        <w:t xml:space="preserve">Figure </w:t>
      </w:r>
      <w:r>
        <w:fldChar w:fldCharType="begin"/>
      </w:r>
      <w:r>
        <w:instrText xml:space="preserve"> SEQ Figure \* ARABIC </w:instrText>
      </w:r>
      <w:r>
        <w:fldChar w:fldCharType="separate"/>
      </w:r>
      <w:r w:rsidR="00AC56D1">
        <w:rPr>
          <w:noProof/>
        </w:rPr>
        <w:t>2</w:t>
      </w:r>
      <w:r>
        <w:fldChar w:fldCharType="end"/>
      </w:r>
      <w:bookmarkEnd w:id="1"/>
      <w:r>
        <w:t>: The structure of the model PANTA RHEI</w:t>
      </w:r>
    </w:p>
    <w:p w14:paraId="441B6407" w14:textId="77777777" w:rsidR="003B6703" w:rsidRDefault="0040780F" w:rsidP="003B6703">
      <w:pPr>
        <w:pStyle w:val="Mainbody"/>
        <w:jc w:val="center"/>
      </w:pPr>
      <w:r w:rsidRPr="009A205E">
        <w:rPr>
          <w:noProof/>
          <w:lang w:val="de-DE" w:eastAsia="de-DE"/>
        </w:rPr>
        <w:drawing>
          <wp:inline distT="0" distB="0" distL="0" distR="0" wp14:anchorId="7EFA0175" wp14:editId="5816EF4C">
            <wp:extent cx="4114800" cy="3867150"/>
            <wp:effectExtent l="0" t="0" r="0" b="0"/>
            <wp:docPr id="2" name="Bild 2" descr="http://www.gws-os.com/de/files/modelle/modell-panta-rhe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www.gws-os.com/de/files/modelle/modell-panta-rhei-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3867150"/>
                    </a:xfrm>
                    <a:prstGeom prst="rect">
                      <a:avLst/>
                    </a:prstGeom>
                    <a:noFill/>
                    <a:ln>
                      <a:noFill/>
                    </a:ln>
                  </pic:spPr>
                </pic:pic>
              </a:graphicData>
            </a:graphic>
          </wp:inline>
        </w:drawing>
      </w:r>
    </w:p>
    <w:p w14:paraId="69D9283F" w14:textId="77777777" w:rsidR="003B6703" w:rsidRDefault="003B6703" w:rsidP="003B6703">
      <w:pPr>
        <w:pStyle w:val="Mainbody"/>
      </w:pPr>
      <w:r>
        <w:t>Source: GWS</w:t>
      </w:r>
    </w:p>
    <w:p w14:paraId="4AE9F292" w14:textId="0C0A97F1" w:rsidR="002679FF" w:rsidRDefault="004E394B" w:rsidP="00C16729">
      <w:pPr>
        <w:pStyle w:val="Mainbody"/>
      </w:pPr>
      <w:r w:rsidRPr="004E394B">
        <w:t>PANTA RHEI has been used to answer several questions on the economic effects of environmental policy instruments. In 2010, economic effects of different energy scenarios were compared to each other, which were the basis for the German energy concept (Lindenberger et al. 2010). Recent applications include an evaluation of green ICT (Welfens, Lutz 2012), employment effects of the increase of renewable energy (Lehr et al. 201</w:t>
      </w:r>
      <w:r w:rsidR="007E6418">
        <w:t>5</w:t>
      </w:r>
      <w:r w:rsidRPr="004E394B">
        <w:t>), economic evaluation of climate protection measures in Germany (Lutz et al. 2014) and economic impacts of cli</w:t>
      </w:r>
      <w:r w:rsidR="002679FF">
        <w:t>mate change (Lehr et al. 2016).</w:t>
      </w:r>
    </w:p>
    <w:p w14:paraId="0C0BA448" w14:textId="77777777" w:rsidR="009F51AB" w:rsidRDefault="009407F8" w:rsidP="00BA077E">
      <w:pPr>
        <w:pStyle w:val="Mainbody"/>
      </w:pPr>
      <w:r>
        <w:t xml:space="preserve">To examine the economic effects </w:t>
      </w:r>
      <w:r w:rsidR="004C4D66">
        <w:t xml:space="preserve">of </w:t>
      </w:r>
      <w:r w:rsidR="00E2034D">
        <w:t>green investment strategies</w:t>
      </w:r>
      <w:r>
        <w:t xml:space="preserve"> in Germany</w:t>
      </w:r>
      <w:r w:rsidR="004C4D66">
        <w:t>,</w:t>
      </w:r>
      <w:r>
        <w:t xml:space="preserve"> our analysis applies PANTA RHEI to two scenarios: a business as usual scenario and </w:t>
      </w:r>
      <w:r w:rsidR="00944D39">
        <w:t>an</w:t>
      </w:r>
      <w:r w:rsidR="00E2034D">
        <w:t xml:space="preserve"> investment scenario.</w:t>
      </w:r>
      <w:r>
        <w:t xml:space="preserve"> Both scenarios are implemented in the macro-econometric model PANTA RHEI. </w:t>
      </w:r>
      <w:r w:rsidR="00FE6CA2">
        <w:t xml:space="preserve">The </w:t>
      </w:r>
      <w:r w:rsidR="00FE6CA2" w:rsidRPr="00E2034D">
        <w:t xml:space="preserve">reference scenario </w:t>
      </w:r>
      <w:r w:rsidR="00FE6CA2">
        <w:t xml:space="preserve">is compared </w:t>
      </w:r>
      <w:r w:rsidR="00FE6CA2" w:rsidRPr="00E2034D">
        <w:t xml:space="preserve">with an investment scenario that aims not only at the implementation of the objectives of the energy sector, but also aims at more ambitious targets and </w:t>
      </w:r>
      <w:r w:rsidR="00FE6CA2">
        <w:t>tries</w:t>
      </w:r>
      <w:r w:rsidR="00FE6CA2" w:rsidRPr="00E2034D">
        <w:t xml:space="preserve"> to achieve them with the focus on investment activities</w:t>
      </w:r>
      <w:r w:rsidR="00FE6CA2">
        <w:t>. T</w:t>
      </w:r>
      <w:r w:rsidR="00FE6CA2" w:rsidRPr="00E2034D">
        <w:t xml:space="preserve">he two scenarios and their sensitivities are consistent in themselves; </w:t>
      </w:r>
      <w:r w:rsidR="00FE6CA2">
        <w:t>t</w:t>
      </w:r>
      <w:r w:rsidR="00FE6CA2" w:rsidRPr="00E2034D">
        <w:t>hey form closed, possibly contradictory, possible worlds. This also includes investing in the expansion of renewable energ</w:t>
      </w:r>
      <w:r w:rsidR="00FE6CA2">
        <w:t>y</w:t>
      </w:r>
      <w:r w:rsidR="00FE6CA2" w:rsidRPr="00E2034D">
        <w:t xml:space="preserve"> exceed</w:t>
      </w:r>
      <w:r w:rsidR="00FE6CA2">
        <w:t>ing</w:t>
      </w:r>
      <w:r w:rsidR="00FE6CA2" w:rsidRPr="00E2034D">
        <w:t xml:space="preserve"> the objectives of the </w:t>
      </w:r>
      <w:r w:rsidR="00FE6CA2">
        <w:t>German government.</w:t>
      </w:r>
      <w:r w:rsidR="00FE6CA2" w:rsidRPr="00E2034D">
        <w:t xml:space="preserve"> In areas where there is direct competition between the investment in climate protection and the investment in climate-degrading technologies, this is taken into account in the scenarios.</w:t>
      </w:r>
      <w:r w:rsidR="004C4D66">
        <w:t xml:space="preserve"> </w:t>
      </w:r>
      <w:r>
        <w:t xml:space="preserve">The respective differences in economic indicators, such as employment, GDP etc. can then be attributed to the </w:t>
      </w:r>
      <w:r w:rsidR="00E2034D">
        <w:t>additional efforts in the sectors described above</w:t>
      </w:r>
      <w:r>
        <w:t>, since all other factors are held equal. Changes in volumes and prices are fully accounted for. The simulation model runs until 2030.</w:t>
      </w:r>
    </w:p>
    <w:p w14:paraId="35AA1E72" w14:textId="77777777" w:rsidR="00723619" w:rsidRDefault="00702975" w:rsidP="005B5957">
      <w:pPr>
        <w:pStyle w:val="berschrift1"/>
      </w:pPr>
      <w:bookmarkStart w:id="2" w:name="_Ref482355594"/>
      <w:r>
        <w:t>Scenarios</w:t>
      </w:r>
      <w:bookmarkEnd w:id="2"/>
    </w:p>
    <w:p w14:paraId="5A5ECF68" w14:textId="77777777" w:rsidR="005B5957" w:rsidRPr="00C16729" w:rsidRDefault="005B5957" w:rsidP="00CA291D">
      <w:pPr>
        <w:pStyle w:val="berschrift2"/>
      </w:pPr>
      <w:r>
        <w:t>The reference case</w:t>
      </w:r>
    </w:p>
    <w:p w14:paraId="0247BA60" w14:textId="5D50DEE8" w:rsidR="005B5957" w:rsidRDefault="00723619" w:rsidP="00C16729">
      <w:pPr>
        <w:pStyle w:val="Mainbody"/>
        <w:rPr>
          <w:lang w:val="en"/>
        </w:rPr>
      </w:pPr>
      <w:r w:rsidRPr="00723619">
        <w:rPr>
          <w:lang w:val="en"/>
        </w:rPr>
        <w:t xml:space="preserve">For the development of greenhouse gas emissions and the energy system in Germany, forecasts and projections are prepared on a regular basis. The best known are the </w:t>
      </w:r>
      <w:r w:rsidR="005B5957">
        <w:rPr>
          <w:lang w:val="en"/>
        </w:rPr>
        <w:t>energy reference forecast</w:t>
      </w:r>
      <w:r w:rsidRPr="00723619">
        <w:rPr>
          <w:lang w:val="en"/>
        </w:rPr>
        <w:t xml:space="preserve"> of the Federal Ministry of Economics and Energy (BMWi) and the climate protection scenarios commissioned by the Federal Ministry for the Environment, Nature Conservation, Construction and Reactor Safety (BMUB). The current versions of the respective reference scenarios (ERP-Ref reference scenario</w:t>
      </w:r>
      <w:r w:rsidR="005B5957">
        <w:rPr>
          <w:lang w:val="en"/>
        </w:rPr>
        <w:t>) and</w:t>
      </w:r>
      <w:r w:rsidRPr="00723619">
        <w:rPr>
          <w:lang w:val="en"/>
        </w:rPr>
        <w:t xml:space="preserve"> the climate protection </w:t>
      </w:r>
      <w:r w:rsidR="00027260" w:rsidRPr="00723619">
        <w:rPr>
          <w:lang w:val="en"/>
        </w:rPr>
        <w:t xml:space="preserve">scenarios </w:t>
      </w:r>
      <w:r w:rsidR="00027260">
        <w:rPr>
          <w:lang w:val="en"/>
        </w:rPr>
        <w:t>are</w:t>
      </w:r>
      <w:r w:rsidR="005B5957">
        <w:rPr>
          <w:lang w:val="en"/>
        </w:rPr>
        <w:t xml:space="preserve"> similar</w:t>
      </w:r>
      <w:r w:rsidRPr="00723619">
        <w:rPr>
          <w:lang w:val="en"/>
        </w:rPr>
        <w:t xml:space="preserve"> (cf. Repenning et al 2015). Therefore, the ERP-REF scenario is used as a reference in this study. This reference scenario includes all climate protection measures already adopted by 2015, but no additional efforts. </w:t>
      </w:r>
      <w:r w:rsidR="005B5957">
        <w:rPr>
          <w:lang w:val="en"/>
        </w:rPr>
        <w:t>It</w:t>
      </w:r>
      <w:r w:rsidRPr="00723619">
        <w:rPr>
          <w:lang w:val="en"/>
        </w:rPr>
        <w:t xml:space="preserve"> miss</w:t>
      </w:r>
      <w:r w:rsidR="005B5957">
        <w:rPr>
          <w:lang w:val="en"/>
        </w:rPr>
        <w:t>es</w:t>
      </w:r>
      <w:r w:rsidRPr="00723619">
        <w:rPr>
          <w:lang w:val="en"/>
        </w:rPr>
        <w:t xml:space="preserve"> the climate protection targets</w:t>
      </w:r>
      <w:r w:rsidR="005B5957">
        <w:rPr>
          <w:lang w:val="en"/>
        </w:rPr>
        <w:t>.</w:t>
      </w:r>
      <w:r w:rsidR="005B5957" w:rsidRPr="00723619" w:rsidDel="005B5957">
        <w:rPr>
          <w:lang w:val="en"/>
        </w:rPr>
        <w:t xml:space="preserve"> </w:t>
      </w:r>
      <w:r w:rsidRPr="00723619">
        <w:rPr>
          <w:lang w:val="en"/>
        </w:rPr>
        <w:t>For the present investigation, due to the current developments in prices, socio-political developments, and in some technological lines minor updates of the datasets of the reference scenario have been made. The installations of renewable energ</w:t>
      </w:r>
      <w:r w:rsidR="005B5957">
        <w:rPr>
          <w:lang w:val="en"/>
        </w:rPr>
        <w:t>y</w:t>
      </w:r>
      <w:r w:rsidRPr="00723619">
        <w:rPr>
          <w:lang w:val="en"/>
        </w:rPr>
        <w:t xml:space="preserve"> up to and including 2015 </w:t>
      </w:r>
      <w:r w:rsidR="005B5957">
        <w:rPr>
          <w:lang w:val="en"/>
        </w:rPr>
        <w:t>are brought</w:t>
      </w:r>
      <w:r w:rsidRPr="00723619">
        <w:rPr>
          <w:lang w:val="en"/>
        </w:rPr>
        <w:t xml:space="preserve"> up-to-date. The development of the oil price </w:t>
      </w:r>
      <w:r w:rsidR="005B5957">
        <w:rPr>
          <w:lang w:val="en"/>
        </w:rPr>
        <w:t>in</w:t>
      </w:r>
      <w:r w:rsidRPr="00723619">
        <w:rPr>
          <w:lang w:val="en"/>
        </w:rPr>
        <w:t>2015/2016</w:t>
      </w:r>
      <w:r w:rsidR="005241EC">
        <w:rPr>
          <w:lang w:val="en"/>
        </w:rPr>
        <w:t xml:space="preserve"> </w:t>
      </w:r>
      <w:r w:rsidRPr="00723619">
        <w:rPr>
          <w:lang w:val="en"/>
        </w:rPr>
        <w:t xml:space="preserve">has also been taken into account and </w:t>
      </w:r>
      <w:r w:rsidR="005B5957">
        <w:rPr>
          <w:lang w:val="en"/>
        </w:rPr>
        <w:t xml:space="preserve">its </w:t>
      </w:r>
      <w:r w:rsidRPr="00723619">
        <w:rPr>
          <w:lang w:val="en"/>
        </w:rPr>
        <w:t xml:space="preserve">future development has been adapted to the current projections of the International Energy Agency (IEA). This is important because the values </w:t>
      </w:r>
      <w:r w:rsidR="005B5957" w:rsidRPr="00723619">
        <w:rPr>
          <w:lang w:val="en"/>
        </w:rPr>
        <w:t>import</w:t>
      </w:r>
      <w:r w:rsidR="005B5957">
        <w:rPr>
          <w:lang w:val="en"/>
        </w:rPr>
        <w:t xml:space="preserve"> reductions</w:t>
      </w:r>
      <w:r w:rsidR="005B5957" w:rsidRPr="00723619">
        <w:rPr>
          <w:lang w:val="en"/>
        </w:rPr>
        <w:t xml:space="preserve"> </w:t>
      </w:r>
      <w:r w:rsidRPr="00723619">
        <w:rPr>
          <w:lang w:val="en"/>
        </w:rPr>
        <w:t>depend on world market price</w:t>
      </w:r>
      <w:r w:rsidR="005B5957">
        <w:rPr>
          <w:lang w:val="en"/>
        </w:rPr>
        <w:t>s</w:t>
      </w:r>
      <w:r w:rsidRPr="00723619">
        <w:rPr>
          <w:lang w:val="en"/>
        </w:rPr>
        <w:t>.</w:t>
      </w:r>
    </w:p>
    <w:p w14:paraId="14C5B671" w14:textId="3204D736" w:rsidR="00723619" w:rsidRDefault="00723619" w:rsidP="00C16729">
      <w:pPr>
        <w:pStyle w:val="Mainbody"/>
        <w:rPr>
          <w:lang w:val="en"/>
        </w:rPr>
      </w:pPr>
      <w:r w:rsidRPr="00723619">
        <w:rPr>
          <w:lang w:val="en"/>
        </w:rPr>
        <w:t xml:space="preserve">The second </w:t>
      </w:r>
      <w:r w:rsidR="005B5957">
        <w:rPr>
          <w:lang w:val="en"/>
        </w:rPr>
        <w:t>adjustment</w:t>
      </w:r>
      <w:r w:rsidR="005B5957" w:rsidRPr="00723619">
        <w:rPr>
          <w:lang w:val="en"/>
        </w:rPr>
        <w:t xml:space="preserve"> </w:t>
      </w:r>
      <w:r w:rsidRPr="00723619">
        <w:rPr>
          <w:lang w:val="en"/>
        </w:rPr>
        <w:t xml:space="preserve">in the reference scenario consists in the use of the most recent population </w:t>
      </w:r>
      <w:r w:rsidR="005B5957">
        <w:rPr>
          <w:lang w:val="en"/>
        </w:rPr>
        <w:t>projection</w:t>
      </w:r>
      <w:r w:rsidRPr="00723619">
        <w:rPr>
          <w:lang w:val="en"/>
        </w:rPr>
        <w:t xml:space="preserve"> of the Federal Statistical Office. As the population there is slightly higher, energy demand, GDP and</w:t>
      </w:r>
      <w:r w:rsidR="005241EC">
        <w:rPr>
          <w:lang w:val="en"/>
        </w:rPr>
        <w:t xml:space="preserve"> employment</w:t>
      </w:r>
      <w:r w:rsidRPr="00723619">
        <w:rPr>
          <w:lang w:val="en"/>
        </w:rPr>
        <w:t xml:space="preserve"> are slightly exceeded in the reference used here. </w:t>
      </w:r>
      <w:r w:rsidR="00964668">
        <w:rPr>
          <w:lang w:val="en"/>
        </w:rPr>
        <w:t xml:space="preserve"> For details on the reference scenario</w:t>
      </w:r>
      <w:r w:rsidR="003E4471">
        <w:rPr>
          <w:lang w:val="en"/>
        </w:rPr>
        <w:t>,</w:t>
      </w:r>
      <w:r w:rsidR="00964668">
        <w:rPr>
          <w:lang w:val="en"/>
        </w:rPr>
        <w:t xml:space="preserve"> see </w:t>
      </w:r>
      <w:r w:rsidR="00964668">
        <w:rPr>
          <w:lang w:val="en-GB"/>
        </w:rPr>
        <w:t>Schlesinger et al. (2014).</w:t>
      </w:r>
    </w:p>
    <w:p w14:paraId="7FF4BE0D" w14:textId="77777777" w:rsidR="0032346B" w:rsidRPr="00723619" w:rsidRDefault="0032346B" w:rsidP="00CA291D">
      <w:pPr>
        <w:pStyle w:val="berschrift2"/>
      </w:pPr>
      <w:r>
        <w:t>The investment scenario</w:t>
      </w:r>
    </w:p>
    <w:p w14:paraId="133B33C7" w14:textId="3A811AA7" w:rsidR="00012191" w:rsidRPr="003202C2" w:rsidRDefault="00BD3BA4" w:rsidP="00CA291D">
      <w:pPr>
        <w:pStyle w:val="Mainbody"/>
        <w:rPr>
          <w:lang w:val="en-GB"/>
        </w:rPr>
      </w:pPr>
      <w:r w:rsidRPr="00671CE2">
        <w:t>Compared to other OECD countries,</w:t>
      </w:r>
      <w:r w:rsidR="00012191" w:rsidRPr="003202C2">
        <w:rPr>
          <w:lang w:val="en-GB"/>
        </w:rPr>
        <w:t xml:space="preserve"> Germany exhibits </w:t>
      </w:r>
      <w:r w:rsidR="00012191">
        <w:rPr>
          <w:lang w:val="en-GB"/>
        </w:rPr>
        <w:t>relatively</w:t>
      </w:r>
      <w:r w:rsidR="00012191" w:rsidRPr="003202C2">
        <w:rPr>
          <w:lang w:val="en-GB"/>
        </w:rPr>
        <w:t xml:space="preserve"> low </w:t>
      </w:r>
      <w:r w:rsidRPr="00671CE2">
        <w:t xml:space="preserve">private and particular public </w:t>
      </w:r>
      <w:r w:rsidR="00012191" w:rsidRPr="003202C2">
        <w:rPr>
          <w:lang w:val="en-GB"/>
        </w:rPr>
        <w:t xml:space="preserve">investment </w:t>
      </w:r>
      <w:r w:rsidRPr="00671CE2">
        <w:t>rates. Based on this</w:t>
      </w:r>
      <w:r w:rsidR="00012191" w:rsidRPr="003202C2">
        <w:rPr>
          <w:lang w:val="en-GB"/>
        </w:rPr>
        <w:t xml:space="preserve"> and in the light of climate mitigation </w:t>
      </w:r>
      <w:r w:rsidR="00012191">
        <w:rPr>
          <w:lang w:val="en-GB"/>
        </w:rPr>
        <w:t>efforts,</w:t>
      </w:r>
      <w:r w:rsidR="00012191" w:rsidRPr="003202C2">
        <w:rPr>
          <w:lang w:val="en-GB"/>
        </w:rPr>
        <w:t xml:space="preserve"> a scenario regarding investments is constructed. Although the investment scenario is </w:t>
      </w:r>
      <w:r w:rsidRPr="00671CE2">
        <w:t>constructed</w:t>
      </w:r>
      <w:r w:rsidR="00012191" w:rsidRPr="003202C2">
        <w:rPr>
          <w:lang w:val="en-GB"/>
        </w:rPr>
        <w:t xml:space="preserve"> for the years </w:t>
      </w:r>
      <w:r w:rsidR="00012191">
        <w:rPr>
          <w:lang w:val="en-GB"/>
        </w:rPr>
        <w:t>2016</w:t>
      </w:r>
      <w:r w:rsidR="00012191" w:rsidRPr="003202C2">
        <w:rPr>
          <w:lang w:val="en-GB"/>
        </w:rPr>
        <w:t xml:space="preserve"> to 2030, it is roughly oriented towards the aim of reducing Germanys GHG emissions by 95 percent</w:t>
      </w:r>
      <w:r w:rsidR="00964668" w:rsidRPr="00964668">
        <w:rPr>
          <w:lang w:val="en-GB"/>
        </w:rPr>
        <w:t xml:space="preserve"> </w:t>
      </w:r>
      <w:r w:rsidR="00964668" w:rsidRPr="003202C2">
        <w:rPr>
          <w:lang w:val="en-GB"/>
        </w:rPr>
        <w:t>Repenning et al. (2015)</w:t>
      </w:r>
      <w:r w:rsidR="00012191" w:rsidRPr="003202C2">
        <w:rPr>
          <w:lang w:val="en-GB"/>
        </w:rPr>
        <w:t xml:space="preserve"> until the year 2050 </w:t>
      </w:r>
      <w:r>
        <w:t>as laid out in</w:t>
      </w:r>
      <w:r w:rsidR="00964668">
        <w:t xml:space="preserve"> </w:t>
      </w:r>
      <w:r w:rsidR="00012191">
        <w:rPr>
          <w:lang w:val="en-GB"/>
        </w:rPr>
        <w:t>following</w:t>
      </w:r>
      <w:r w:rsidR="00012191" w:rsidRPr="003202C2">
        <w:rPr>
          <w:lang w:val="en-GB"/>
        </w:rPr>
        <w:t>. The scenario comprises lead markets</w:t>
      </w:r>
      <w:r w:rsidR="00964668">
        <w:rPr>
          <w:lang w:val="en-GB"/>
        </w:rPr>
        <w:t>,</w:t>
      </w:r>
      <w:r w:rsidR="00012191" w:rsidRPr="003202C2">
        <w:rPr>
          <w:lang w:val="en-GB"/>
        </w:rPr>
        <w:t xml:space="preserve"> which contribute most to Germany</w:t>
      </w:r>
      <w:r w:rsidR="00964668">
        <w:rPr>
          <w:lang w:val="en-GB"/>
        </w:rPr>
        <w:t>’</w:t>
      </w:r>
      <w:r w:rsidR="00012191" w:rsidRPr="003202C2">
        <w:rPr>
          <w:lang w:val="en-GB"/>
        </w:rPr>
        <w:t xml:space="preserve">s GHG emissions. In order to reduce GHG emissions these lead markets and their corresponding </w:t>
      </w:r>
      <w:r w:rsidR="00012191">
        <w:rPr>
          <w:lang w:val="en-GB"/>
        </w:rPr>
        <w:t>fields</w:t>
      </w:r>
      <w:r w:rsidR="00012191" w:rsidRPr="003202C2">
        <w:rPr>
          <w:lang w:val="en-GB"/>
        </w:rPr>
        <w:t xml:space="preserve"> of action are expected to attract large infrastructure investments in order to reduce emissions. </w:t>
      </w:r>
    </w:p>
    <w:p w14:paraId="613E1C0D" w14:textId="2F8DF9FC" w:rsidR="00012191" w:rsidRPr="003202C2" w:rsidRDefault="00012191" w:rsidP="00CA291D">
      <w:pPr>
        <w:pStyle w:val="Mainbody"/>
        <w:rPr>
          <w:lang w:val="en-GB"/>
        </w:rPr>
      </w:pPr>
      <w:r w:rsidRPr="003202C2">
        <w:rPr>
          <w:lang w:val="en-GB"/>
        </w:rPr>
        <w:t>The German energy sector accounts for the highest share of GHG emissions in the country. To reduce these emissions</w:t>
      </w:r>
      <w:r w:rsidR="001F55AE">
        <w:rPr>
          <w:lang w:val="en-GB"/>
        </w:rPr>
        <w:t>,</w:t>
      </w:r>
      <w:r w:rsidRPr="003202C2">
        <w:rPr>
          <w:lang w:val="en-GB"/>
        </w:rPr>
        <w:t xml:space="preserve"> the development of renewable energy plays an important role. In the reference scenario it is assumed that 1.0 GW of wind power (onshore), 0.6 GW wind power (offshore) and 2.2 GW of PV are deployed annually between the years 2011 and 2030 (Schlesinger et al. 2014). In order to reduce GHG emissions by 95 percent in 2050, </w:t>
      </w:r>
      <w:r>
        <w:rPr>
          <w:lang w:val="en-GB"/>
        </w:rPr>
        <w:t>more ambitious targets</w:t>
      </w:r>
      <w:r w:rsidRPr="003202C2">
        <w:rPr>
          <w:lang w:val="en-GB"/>
        </w:rPr>
        <w:t xml:space="preserve"> have to be adopted. Following Repenning et al. (2015), the investment scenario therefore assumes 2.6 GW (wind power onshore), 0.8 GW (wind power offshore), 2.4 GW (PV). Based on this, additional deployment rate are derived and multiplied by the specific installation costs in order to calculate additional investments for the investment scenario. Installation costs and annual cost reduction </w:t>
      </w:r>
      <w:r>
        <w:rPr>
          <w:lang w:val="en-GB"/>
        </w:rPr>
        <w:t>rates</w:t>
      </w:r>
      <w:r w:rsidRPr="003202C2">
        <w:rPr>
          <w:lang w:val="en-GB"/>
        </w:rPr>
        <w:t xml:space="preserve"> are taken from Lehr et al. (2015). </w:t>
      </w:r>
      <w:r w:rsidR="00D722EB">
        <w:rPr>
          <w:lang w:val="en-GB"/>
        </w:rPr>
        <w:fldChar w:fldCharType="begin"/>
      </w:r>
      <w:r w:rsidR="00D722EB">
        <w:rPr>
          <w:lang w:val="en-GB"/>
        </w:rPr>
        <w:instrText xml:space="preserve"> REF _Ref485386749 \h </w:instrText>
      </w:r>
      <w:r w:rsidR="00D722EB">
        <w:rPr>
          <w:lang w:val="en-GB"/>
        </w:rPr>
      </w:r>
      <w:r w:rsidR="00D722EB">
        <w:rPr>
          <w:lang w:val="en-GB"/>
        </w:rPr>
        <w:fldChar w:fldCharType="separate"/>
      </w:r>
      <w:r w:rsidR="00D722EB">
        <w:t xml:space="preserve">Table </w:t>
      </w:r>
      <w:r w:rsidR="00D722EB">
        <w:rPr>
          <w:noProof/>
        </w:rPr>
        <w:t>1</w:t>
      </w:r>
      <w:r w:rsidR="00D722EB">
        <w:rPr>
          <w:lang w:val="en-GB"/>
        </w:rPr>
        <w:fldChar w:fldCharType="end"/>
      </w:r>
      <w:r w:rsidR="00D722EB">
        <w:rPr>
          <w:lang w:val="en-GB"/>
        </w:rPr>
        <w:t xml:space="preserve"> </w:t>
      </w:r>
      <w:r w:rsidRPr="003202C2">
        <w:rPr>
          <w:lang w:val="en-GB"/>
        </w:rPr>
        <w:t xml:space="preserve">summarizes the assumption for the </w:t>
      </w:r>
      <w:r w:rsidR="00BD3BA4">
        <w:t>area</w:t>
      </w:r>
      <w:r>
        <w:rPr>
          <w:lang w:val="en-GB"/>
        </w:rPr>
        <w:t>field</w:t>
      </w:r>
      <w:r w:rsidRPr="003202C2">
        <w:rPr>
          <w:lang w:val="en-GB"/>
        </w:rPr>
        <w:t xml:space="preserve"> of action “renewable energ</w:t>
      </w:r>
      <w:r w:rsidR="007C49FD">
        <w:rPr>
          <w:lang w:val="en-GB"/>
        </w:rPr>
        <w:t>y</w:t>
      </w:r>
      <w:r w:rsidRPr="003202C2">
        <w:rPr>
          <w:lang w:val="en-GB"/>
        </w:rPr>
        <w:t>”.</w:t>
      </w:r>
    </w:p>
    <w:p w14:paraId="26C718DC" w14:textId="77777777" w:rsidR="00012191" w:rsidRPr="003202C2" w:rsidRDefault="00DE059E" w:rsidP="004E785C">
      <w:pPr>
        <w:pStyle w:val="Beschriftung"/>
        <w:rPr>
          <w:lang w:val="en-GB"/>
        </w:rPr>
      </w:pPr>
      <w:bookmarkStart w:id="3" w:name="_Ref485386749"/>
      <w:r>
        <w:t xml:space="preserve">Table </w:t>
      </w:r>
      <w:r w:rsidR="001F55AE">
        <w:rPr>
          <w:bCs w:val="0"/>
          <w:i w:val="0"/>
        </w:rPr>
        <w:fldChar w:fldCharType="begin"/>
      </w:r>
      <w:r w:rsidR="001F55AE">
        <w:instrText xml:space="preserve"> SEQ Table \* ARABIC </w:instrText>
      </w:r>
      <w:r w:rsidR="001F55AE">
        <w:rPr>
          <w:bCs w:val="0"/>
          <w:i w:val="0"/>
        </w:rPr>
        <w:fldChar w:fldCharType="separate"/>
      </w:r>
      <w:r>
        <w:rPr>
          <w:noProof/>
        </w:rPr>
        <w:t>1</w:t>
      </w:r>
      <w:r w:rsidR="001F55AE">
        <w:rPr>
          <w:bCs w:val="0"/>
          <w:i w:val="0"/>
        </w:rPr>
        <w:fldChar w:fldCharType="end"/>
      </w:r>
      <w:bookmarkEnd w:id="3"/>
      <w:r w:rsidR="001F55AE">
        <w:t>:</w:t>
      </w:r>
      <w:r w:rsidR="00012191" w:rsidRPr="003202C2">
        <w:rPr>
          <w:lang w:val="en-GB"/>
        </w:rPr>
        <w:t xml:space="preserve"> Key assumptions </w:t>
      </w:r>
      <w:r w:rsidR="001F55AE">
        <w:rPr>
          <w:lang w:val="en-GB"/>
        </w:rPr>
        <w:t>on renewable energy expansion in the investment scenario</w:t>
      </w:r>
    </w:p>
    <w:p w14:paraId="3F11663F" w14:textId="77777777" w:rsidR="00012191" w:rsidRPr="003202C2" w:rsidRDefault="00012191" w:rsidP="00CA291D">
      <w:pPr>
        <w:pStyle w:val="Beschriftung"/>
        <w:keepNext/>
        <w:jc w:val="left"/>
        <w:rPr>
          <w:lang w:val="en-GB"/>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808"/>
        <w:gridCol w:w="1819"/>
        <w:gridCol w:w="1819"/>
        <w:gridCol w:w="1815"/>
        <w:gridCol w:w="1809"/>
      </w:tblGrid>
      <w:tr w:rsidR="00012191" w:rsidRPr="0088025C" w14:paraId="115D79DB" w14:textId="77777777" w:rsidTr="00CA291D">
        <w:tc>
          <w:tcPr>
            <w:tcW w:w="1842" w:type="dxa"/>
            <w:tcBorders>
              <w:top w:val="nil"/>
              <w:bottom w:val="single" w:sz="12" w:space="0" w:color="auto"/>
              <w:right w:val="single" w:sz="12" w:space="0" w:color="auto"/>
            </w:tcBorders>
            <w:shd w:val="clear" w:color="auto" w:fill="auto"/>
            <w:hideMark/>
          </w:tcPr>
          <w:p w14:paraId="198C4CD1" w14:textId="77777777" w:rsidR="00313466" w:rsidRDefault="00313466" w:rsidP="003202C2">
            <w:pPr>
              <w:spacing w:before="120" w:after="120" w:line="240" w:lineRule="exact"/>
              <w:jc w:val="both"/>
              <w:rPr>
                <w:lang w:val="en-GB"/>
              </w:rPr>
            </w:pPr>
          </w:p>
          <w:p w14:paraId="366B9DCE" w14:textId="77777777" w:rsidR="00012191" w:rsidRPr="003202C2" w:rsidRDefault="00012191" w:rsidP="003202C2">
            <w:pPr>
              <w:spacing w:before="120" w:after="120" w:line="240" w:lineRule="exact"/>
              <w:jc w:val="both"/>
              <w:rPr>
                <w:rFonts w:ascii="Arial" w:hAnsi="Arial"/>
                <w:color w:val="000000"/>
                <w:lang w:val="en-GB"/>
              </w:rPr>
            </w:pPr>
          </w:p>
        </w:tc>
        <w:tc>
          <w:tcPr>
            <w:tcW w:w="1842" w:type="dxa"/>
            <w:tcBorders>
              <w:top w:val="nil"/>
              <w:left w:val="single" w:sz="12" w:space="0" w:color="auto"/>
              <w:bottom w:val="single" w:sz="12" w:space="0" w:color="auto"/>
            </w:tcBorders>
            <w:shd w:val="clear" w:color="auto" w:fill="auto"/>
            <w:hideMark/>
          </w:tcPr>
          <w:p w14:paraId="5991C44C" w14:textId="77777777" w:rsidR="00012191" w:rsidRPr="003202C2" w:rsidRDefault="00012191" w:rsidP="003202C2">
            <w:pPr>
              <w:spacing w:before="120" w:after="120" w:line="240" w:lineRule="exact"/>
              <w:jc w:val="both"/>
              <w:rPr>
                <w:rFonts w:ascii="Arial" w:hAnsi="Arial"/>
                <w:color w:val="000000"/>
                <w:lang w:val="en-GB"/>
              </w:rPr>
            </w:pPr>
            <w:r w:rsidRPr="003202C2">
              <w:rPr>
                <w:lang w:val="en-GB"/>
              </w:rPr>
              <w:t>Deployment rate reference scenario (GW)</w:t>
            </w:r>
          </w:p>
        </w:tc>
        <w:tc>
          <w:tcPr>
            <w:tcW w:w="1842" w:type="dxa"/>
            <w:tcBorders>
              <w:top w:val="nil"/>
              <w:bottom w:val="single" w:sz="12" w:space="0" w:color="auto"/>
            </w:tcBorders>
            <w:shd w:val="clear" w:color="auto" w:fill="auto"/>
            <w:hideMark/>
          </w:tcPr>
          <w:p w14:paraId="482476FE" w14:textId="77777777" w:rsidR="00012191" w:rsidRPr="003202C2" w:rsidRDefault="00012191" w:rsidP="003202C2">
            <w:pPr>
              <w:spacing w:before="120" w:after="120" w:line="240" w:lineRule="exact"/>
              <w:jc w:val="both"/>
              <w:rPr>
                <w:rFonts w:ascii="Arial" w:hAnsi="Arial"/>
                <w:color w:val="000000"/>
                <w:lang w:val="en-GB"/>
              </w:rPr>
            </w:pPr>
            <w:r w:rsidRPr="003202C2">
              <w:rPr>
                <w:lang w:val="en-GB"/>
              </w:rPr>
              <w:t>Deployment rate investment scenario (GW)</w:t>
            </w:r>
          </w:p>
        </w:tc>
        <w:tc>
          <w:tcPr>
            <w:tcW w:w="1843" w:type="dxa"/>
            <w:tcBorders>
              <w:top w:val="nil"/>
              <w:bottom w:val="single" w:sz="12" w:space="0" w:color="auto"/>
            </w:tcBorders>
            <w:shd w:val="clear" w:color="auto" w:fill="auto"/>
            <w:hideMark/>
          </w:tcPr>
          <w:p w14:paraId="39F5D0E1" w14:textId="77777777" w:rsidR="00012191" w:rsidRPr="003202C2" w:rsidRDefault="00012191" w:rsidP="003202C2">
            <w:pPr>
              <w:spacing w:before="120" w:after="120" w:line="240" w:lineRule="exact"/>
              <w:jc w:val="both"/>
              <w:rPr>
                <w:rFonts w:ascii="Arial" w:hAnsi="Arial"/>
                <w:color w:val="000000"/>
                <w:lang w:val="en-GB"/>
              </w:rPr>
            </w:pPr>
            <w:r w:rsidRPr="003202C2">
              <w:rPr>
                <w:lang w:val="en-GB"/>
              </w:rPr>
              <w:t>Installation cost (EUR/kw)</w:t>
            </w:r>
          </w:p>
        </w:tc>
        <w:tc>
          <w:tcPr>
            <w:tcW w:w="1843" w:type="dxa"/>
            <w:tcBorders>
              <w:top w:val="nil"/>
              <w:bottom w:val="single" w:sz="12" w:space="0" w:color="auto"/>
            </w:tcBorders>
            <w:shd w:val="clear" w:color="auto" w:fill="auto"/>
            <w:hideMark/>
          </w:tcPr>
          <w:p w14:paraId="265B2314" w14:textId="77777777" w:rsidR="00012191" w:rsidRPr="003202C2" w:rsidRDefault="00012191" w:rsidP="003202C2">
            <w:pPr>
              <w:spacing w:before="120" w:after="120" w:line="240" w:lineRule="exact"/>
              <w:jc w:val="both"/>
              <w:rPr>
                <w:rFonts w:ascii="Arial" w:hAnsi="Arial"/>
                <w:color w:val="000000"/>
                <w:lang w:val="en-GB"/>
              </w:rPr>
            </w:pPr>
            <w:r w:rsidRPr="003202C2">
              <w:rPr>
                <w:lang w:val="en-GB"/>
              </w:rPr>
              <w:t>Rate of annual cost reduction</w:t>
            </w:r>
          </w:p>
        </w:tc>
      </w:tr>
      <w:tr w:rsidR="00012191" w:rsidRPr="0088025C" w14:paraId="7A05DCBF" w14:textId="77777777" w:rsidTr="00CA291D">
        <w:tc>
          <w:tcPr>
            <w:tcW w:w="1842" w:type="dxa"/>
            <w:tcBorders>
              <w:top w:val="single" w:sz="12" w:space="0" w:color="auto"/>
              <w:right w:val="single" w:sz="12" w:space="0" w:color="auto"/>
            </w:tcBorders>
            <w:shd w:val="clear" w:color="auto" w:fill="auto"/>
            <w:hideMark/>
          </w:tcPr>
          <w:p w14:paraId="4A1873E4" w14:textId="77777777" w:rsidR="00012191" w:rsidRPr="003202C2" w:rsidRDefault="00012191" w:rsidP="003202C2">
            <w:pPr>
              <w:spacing w:before="120" w:after="120" w:line="240" w:lineRule="exact"/>
              <w:jc w:val="both"/>
              <w:rPr>
                <w:rFonts w:ascii="Arial" w:hAnsi="Arial"/>
                <w:color w:val="000000"/>
                <w:lang w:val="en-GB"/>
              </w:rPr>
            </w:pPr>
            <w:r w:rsidRPr="003202C2">
              <w:rPr>
                <w:lang w:val="en-GB"/>
              </w:rPr>
              <w:t>Wind (onshore)</w:t>
            </w:r>
          </w:p>
        </w:tc>
        <w:tc>
          <w:tcPr>
            <w:tcW w:w="1842" w:type="dxa"/>
            <w:tcBorders>
              <w:top w:val="single" w:sz="12" w:space="0" w:color="auto"/>
              <w:left w:val="single" w:sz="12" w:space="0" w:color="auto"/>
            </w:tcBorders>
            <w:shd w:val="clear" w:color="auto" w:fill="auto"/>
            <w:hideMark/>
          </w:tcPr>
          <w:p w14:paraId="2722C78C" w14:textId="77777777" w:rsidR="00012191" w:rsidRPr="003202C2" w:rsidRDefault="00012191" w:rsidP="00CA291D">
            <w:pPr>
              <w:spacing w:before="120" w:after="120" w:line="240" w:lineRule="exact"/>
              <w:jc w:val="center"/>
              <w:rPr>
                <w:rFonts w:ascii="Arial" w:hAnsi="Arial"/>
                <w:color w:val="000000"/>
                <w:lang w:val="en-GB"/>
              </w:rPr>
            </w:pPr>
            <w:r w:rsidRPr="003202C2">
              <w:rPr>
                <w:lang w:val="en-GB"/>
              </w:rPr>
              <w:t>1.0</w:t>
            </w:r>
          </w:p>
        </w:tc>
        <w:tc>
          <w:tcPr>
            <w:tcW w:w="1842" w:type="dxa"/>
            <w:tcBorders>
              <w:top w:val="single" w:sz="12" w:space="0" w:color="auto"/>
            </w:tcBorders>
            <w:shd w:val="clear" w:color="auto" w:fill="auto"/>
            <w:hideMark/>
          </w:tcPr>
          <w:p w14:paraId="7C4E17E7" w14:textId="77777777" w:rsidR="00012191" w:rsidRPr="003202C2" w:rsidRDefault="00012191" w:rsidP="00CA291D">
            <w:pPr>
              <w:spacing w:before="120" w:after="120" w:line="240" w:lineRule="exact"/>
              <w:jc w:val="center"/>
              <w:rPr>
                <w:rFonts w:ascii="Arial" w:hAnsi="Arial"/>
                <w:color w:val="000000"/>
                <w:lang w:val="en-GB"/>
              </w:rPr>
            </w:pPr>
            <w:r w:rsidRPr="003202C2">
              <w:rPr>
                <w:lang w:val="en-GB"/>
              </w:rPr>
              <w:t>2.6</w:t>
            </w:r>
          </w:p>
        </w:tc>
        <w:tc>
          <w:tcPr>
            <w:tcW w:w="1843" w:type="dxa"/>
            <w:tcBorders>
              <w:top w:val="single" w:sz="12" w:space="0" w:color="auto"/>
            </w:tcBorders>
            <w:shd w:val="clear" w:color="auto" w:fill="auto"/>
            <w:hideMark/>
          </w:tcPr>
          <w:p w14:paraId="5AF7F526" w14:textId="77777777" w:rsidR="00012191" w:rsidRPr="003202C2" w:rsidRDefault="00012191" w:rsidP="00CA291D">
            <w:pPr>
              <w:spacing w:before="120" w:after="120" w:line="240" w:lineRule="exact"/>
              <w:jc w:val="center"/>
              <w:rPr>
                <w:rFonts w:ascii="Arial" w:hAnsi="Arial"/>
                <w:color w:val="000000"/>
                <w:lang w:val="en-GB"/>
              </w:rPr>
            </w:pPr>
            <w:r w:rsidRPr="003202C2">
              <w:rPr>
                <w:lang w:val="en-GB"/>
              </w:rPr>
              <w:t>1.360</w:t>
            </w:r>
          </w:p>
        </w:tc>
        <w:tc>
          <w:tcPr>
            <w:tcW w:w="1843" w:type="dxa"/>
            <w:tcBorders>
              <w:top w:val="single" w:sz="12" w:space="0" w:color="auto"/>
            </w:tcBorders>
            <w:shd w:val="clear" w:color="auto" w:fill="auto"/>
            <w:hideMark/>
          </w:tcPr>
          <w:p w14:paraId="758492EF" w14:textId="77777777" w:rsidR="00012191" w:rsidRPr="003202C2" w:rsidRDefault="00012191" w:rsidP="00CA291D">
            <w:pPr>
              <w:spacing w:before="120" w:after="120" w:line="240" w:lineRule="exact"/>
              <w:jc w:val="center"/>
              <w:rPr>
                <w:rFonts w:ascii="Arial" w:hAnsi="Arial"/>
                <w:color w:val="000000"/>
                <w:lang w:val="en-GB"/>
              </w:rPr>
            </w:pPr>
            <w:r w:rsidRPr="003202C2">
              <w:rPr>
                <w:lang w:val="en-GB"/>
              </w:rPr>
              <w:t>0.6</w:t>
            </w:r>
          </w:p>
        </w:tc>
      </w:tr>
      <w:tr w:rsidR="00012191" w:rsidRPr="0088025C" w14:paraId="39D59072" w14:textId="77777777" w:rsidTr="00CA291D">
        <w:tc>
          <w:tcPr>
            <w:tcW w:w="1842" w:type="dxa"/>
            <w:tcBorders>
              <w:bottom w:val="single" w:sz="4" w:space="0" w:color="auto"/>
              <w:right w:val="single" w:sz="12" w:space="0" w:color="auto"/>
            </w:tcBorders>
            <w:shd w:val="clear" w:color="auto" w:fill="auto"/>
            <w:hideMark/>
          </w:tcPr>
          <w:p w14:paraId="4DF28A64" w14:textId="77777777" w:rsidR="00012191" w:rsidRPr="003202C2" w:rsidRDefault="00012191" w:rsidP="003202C2">
            <w:pPr>
              <w:spacing w:before="120" w:after="120" w:line="240" w:lineRule="exact"/>
              <w:jc w:val="both"/>
              <w:rPr>
                <w:rFonts w:ascii="Arial" w:hAnsi="Arial"/>
                <w:color w:val="000000"/>
                <w:lang w:val="en-GB"/>
              </w:rPr>
            </w:pPr>
            <w:r w:rsidRPr="003202C2">
              <w:rPr>
                <w:lang w:val="en-GB"/>
              </w:rPr>
              <w:t>Wind (offshore</w:t>
            </w:r>
          </w:p>
        </w:tc>
        <w:tc>
          <w:tcPr>
            <w:tcW w:w="1842" w:type="dxa"/>
            <w:tcBorders>
              <w:left w:val="single" w:sz="12" w:space="0" w:color="auto"/>
              <w:bottom w:val="single" w:sz="4" w:space="0" w:color="auto"/>
            </w:tcBorders>
            <w:shd w:val="clear" w:color="auto" w:fill="auto"/>
            <w:hideMark/>
          </w:tcPr>
          <w:p w14:paraId="6CB3F3AB" w14:textId="77777777" w:rsidR="00012191" w:rsidRPr="003202C2" w:rsidRDefault="00012191" w:rsidP="00CA291D">
            <w:pPr>
              <w:spacing w:before="120" w:after="120" w:line="240" w:lineRule="exact"/>
              <w:jc w:val="center"/>
              <w:rPr>
                <w:rFonts w:ascii="Arial" w:hAnsi="Arial"/>
                <w:color w:val="000000"/>
                <w:lang w:val="en-GB"/>
              </w:rPr>
            </w:pPr>
            <w:r w:rsidRPr="003202C2">
              <w:rPr>
                <w:lang w:val="en-GB"/>
              </w:rPr>
              <w:t>0.6</w:t>
            </w:r>
          </w:p>
        </w:tc>
        <w:tc>
          <w:tcPr>
            <w:tcW w:w="1842" w:type="dxa"/>
            <w:tcBorders>
              <w:bottom w:val="single" w:sz="4" w:space="0" w:color="auto"/>
            </w:tcBorders>
            <w:shd w:val="clear" w:color="auto" w:fill="auto"/>
            <w:hideMark/>
          </w:tcPr>
          <w:p w14:paraId="4E97E30D" w14:textId="77777777" w:rsidR="00012191" w:rsidRPr="003202C2" w:rsidRDefault="00012191" w:rsidP="00CA291D">
            <w:pPr>
              <w:spacing w:before="120" w:after="120" w:line="240" w:lineRule="exact"/>
              <w:jc w:val="center"/>
              <w:rPr>
                <w:rFonts w:ascii="Arial" w:hAnsi="Arial"/>
                <w:color w:val="000000"/>
                <w:lang w:val="en-GB"/>
              </w:rPr>
            </w:pPr>
            <w:r w:rsidRPr="003202C2">
              <w:rPr>
                <w:lang w:val="en-GB"/>
              </w:rPr>
              <w:t>0.8</w:t>
            </w:r>
          </w:p>
        </w:tc>
        <w:tc>
          <w:tcPr>
            <w:tcW w:w="1843" w:type="dxa"/>
            <w:tcBorders>
              <w:bottom w:val="single" w:sz="4" w:space="0" w:color="auto"/>
            </w:tcBorders>
            <w:shd w:val="clear" w:color="auto" w:fill="auto"/>
            <w:hideMark/>
          </w:tcPr>
          <w:p w14:paraId="33EE5459" w14:textId="77777777" w:rsidR="00012191" w:rsidRPr="003202C2" w:rsidRDefault="00012191" w:rsidP="00CA291D">
            <w:pPr>
              <w:spacing w:before="120" w:after="120" w:line="240" w:lineRule="exact"/>
              <w:jc w:val="center"/>
              <w:rPr>
                <w:rFonts w:ascii="Arial" w:hAnsi="Arial"/>
                <w:color w:val="000000"/>
                <w:lang w:val="en-GB"/>
              </w:rPr>
            </w:pPr>
            <w:r w:rsidRPr="003202C2">
              <w:rPr>
                <w:lang w:val="en-GB"/>
              </w:rPr>
              <w:t>3.700</w:t>
            </w:r>
          </w:p>
        </w:tc>
        <w:tc>
          <w:tcPr>
            <w:tcW w:w="1843" w:type="dxa"/>
            <w:tcBorders>
              <w:bottom w:val="single" w:sz="4" w:space="0" w:color="auto"/>
            </w:tcBorders>
            <w:shd w:val="clear" w:color="auto" w:fill="auto"/>
            <w:hideMark/>
          </w:tcPr>
          <w:p w14:paraId="5926A004" w14:textId="74D25997" w:rsidR="00012191" w:rsidRPr="003202C2" w:rsidRDefault="00012191" w:rsidP="00CA291D">
            <w:pPr>
              <w:spacing w:before="120" w:after="120" w:line="240" w:lineRule="exact"/>
              <w:jc w:val="center"/>
              <w:rPr>
                <w:rFonts w:ascii="Arial" w:hAnsi="Arial"/>
                <w:color w:val="000000"/>
                <w:lang w:val="en-GB"/>
              </w:rPr>
            </w:pPr>
            <w:r w:rsidRPr="003202C2">
              <w:rPr>
                <w:lang w:val="en-GB"/>
              </w:rPr>
              <w:t>2</w:t>
            </w:r>
          </w:p>
        </w:tc>
      </w:tr>
      <w:tr w:rsidR="00012191" w:rsidRPr="0088025C" w14:paraId="5E3DD4B3" w14:textId="77777777" w:rsidTr="00CA291D">
        <w:tc>
          <w:tcPr>
            <w:tcW w:w="1842" w:type="dxa"/>
            <w:tcBorders>
              <w:top w:val="single" w:sz="4" w:space="0" w:color="auto"/>
              <w:bottom w:val="single" w:sz="12" w:space="0" w:color="auto"/>
              <w:right w:val="single" w:sz="12" w:space="0" w:color="auto"/>
            </w:tcBorders>
            <w:shd w:val="clear" w:color="auto" w:fill="auto"/>
            <w:hideMark/>
          </w:tcPr>
          <w:p w14:paraId="51133AD5" w14:textId="77777777" w:rsidR="00012191" w:rsidRPr="003202C2" w:rsidRDefault="00012191" w:rsidP="003202C2">
            <w:pPr>
              <w:spacing w:before="120" w:after="120" w:line="240" w:lineRule="exact"/>
              <w:jc w:val="both"/>
              <w:rPr>
                <w:rFonts w:ascii="Arial" w:hAnsi="Arial"/>
                <w:color w:val="000000"/>
                <w:lang w:val="en-GB"/>
              </w:rPr>
            </w:pPr>
            <w:r w:rsidRPr="003202C2">
              <w:rPr>
                <w:lang w:val="en-GB"/>
              </w:rPr>
              <w:t>PV</w:t>
            </w:r>
          </w:p>
        </w:tc>
        <w:tc>
          <w:tcPr>
            <w:tcW w:w="1842" w:type="dxa"/>
            <w:tcBorders>
              <w:top w:val="single" w:sz="4" w:space="0" w:color="auto"/>
              <w:left w:val="single" w:sz="12" w:space="0" w:color="auto"/>
              <w:bottom w:val="single" w:sz="12" w:space="0" w:color="auto"/>
            </w:tcBorders>
            <w:shd w:val="clear" w:color="auto" w:fill="auto"/>
            <w:hideMark/>
          </w:tcPr>
          <w:p w14:paraId="69C4D9EA" w14:textId="77777777" w:rsidR="00012191" w:rsidRPr="003202C2" w:rsidRDefault="00012191" w:rsidP="00CA291D">
            <w:pPr>
              <w:spacing w:before="120" w:after="120" w:line="240" w:lineRule="exact"/>
              <w:jc w:val="center"/>
              <w:rPr>
                <w:rFonts w:ascii="Arial" w:hAnsi="Arial"/>
                <w:color w:val="000000"/>
                <w:lang w:val="en-GB"/>
              </w:rPr>
            </w:pPr>
            <w:r w:rsidRPr="003202C2">
              <w:rPr>
                <w:lang w:val="en-GB"/>
              </w:rPr>
              <w:t>2.2</w:t>
            </w:r>
          </w:p>
        </w:tc>
        <w:tc>
          <w:tcPr>
            <w:tcW w:w="1842" w:type="dxa"/>
            <w:tcBorders>
              <w:top w:val="single" w:sz="4" w:space="0" w:color="auto"/>
              <w:bottom w:val="single" w:sz="12" w:space="0" w:color="auto"/>
            </w:tcBorders>
            <w:shd w:val="clear" w:color="auto" w:fill="auto"/>
            <w:hideMark/>
          </w:tcPr>
          <w:p w14:paraId="3FE8CC5C" w14:textId="77777777" w:rsidR="00012191" w:rsidRPr="003202C2" w:rsidRDefault="00012191" w:rsidP="00CA291D">
            <w:pPr>
              <w:spacing w:before="120" w:after="120" w:line="240" w:lineRule="exact"/>
              <w:jc w:val="center"/>
              <w:rPr>
                <w:rFonts w:ascii="Arial" w:hAnsi="Arial"/>
                <w:color w:val="000000"/>
                <w:lang w:val="en-GB"/>
              </w:rPr>
            </w:pPr>
            <w:r w:rsidRPr="003202C2">
              <w:rPr>
                <w:lang w:val="en-GB"/>
              </w:rPr>
              <w:t>2.4</w:t>
            </w:r>
          </w:p>
        </w:tc>
        <w:tc>
          <w:tcPr>
            <w:tcW w:w="1843" w:type="dxa"/>
            <w:tcBorders>
              <w:top w:val="single" w:sz="4" w:space="0" w:color="auto"/>
              <w:bottom w:val="single" w:sz="12" w:space="0" w:color="auto"/>
            </w:tcBorders>
            <w:shd w:val="clear" w:color="auto" w:fill="auto"/>
            <w:hideMark/>
          </w:tcPr>
          <w:p w14:paraId="60F4C3E8" w14:textId="77777777" w:rsidR="00012191" w:rsidRPr="003202C2" w:rsidRDefault="00012191" w:rsidP="00CA291D">
            <w:pPr>
              <w:spacing w:before="120" w:after="120" w:line="240" w:lineRule="exact"/>
              <w:jc w:val="center"/>
              <w:rPr>
                <w:rFonts w:ascii="Arial" w:hAnsi="Arial"/>
                <w:color w:val="000000"/>
                <w:lang w:val="en-GB"/>
              </w:rPr>
            </w:pPr>
            <w:r w:rsidRPr="003202C2">
              <w:rPr>
                <w:lang w:val="en-GB"/>
              </w:rPr>
              <w:t>1.100</w:t>
            </w:r>
          </w:p>
        </w:tc>
        <w:tc>
          <w:tcPr>
            <w:tcW w:w="1843" w:type="dxa"/>
            <w:tcBorders>
              <w:top w:val="single" w:sz="4" w:space="0" w:color="auto"/>
              <w:bottom w:val="single" w:sz="12" w:space="0" w:color="auto"/>
            </w:tcBorders>
            <w:shd w:val="clear" w:color="auto" w:fill="auto"/>
            <w:hideMark/>
          </w:tcPr>
          <w:p w14:paraId="290C76FF" w14:textId="77777777" w:rsidR="00012191" w:rsidRPr="003202C2" w:rsidRDefault="00012191" w:rsidP="00CA291D">
            <w:pPr>
              <w:spacing w:before="120" w:after="120" w:line="240" w:lineRule="exact"/>
              <w:jc w:val="center"/>
              <w:rPr>
                <w:rFonts w:ascii="Arial" w:hAnsi="Arial"/>
                <w:color w:val="000000"/>
                <w:lang w:val="en-GB"/>
              </w:rPr>
            </w:pPr>
            <w:r w:rsidRPr="003202C2">
              <w:rPr>
                <w:lang w:val="en-GB"/>
              </w:rPr>
              <w:t>?</w:t>
            </w:r>
          </w:p>
        </w:tc>
      </w:tr>
    </w:tbl>
    <w:p w14:paraId="0515BC7C" w14:textId="77777777" w:rsidR="00012191" w:rsidRPr="003202C2" w:rsidRDefault="00012191" w:rsidP="00CA291D">
      <w:pPr>
        <w:pStyle w:val="Mainbody"/>
        <w:rPr>
          <w:rFonts w:ascii="Arial" w:hAnsi="Arial"/>
          <w:color w:val="000000"/>
          <w:sz w:val="20"/>
          <w:lang w:val="en-GB"/>
        </w:rPr>
      </w:pPr>
      <w:r w:rsidRPr="003202C2">
        <w:rPr>
          <w:lang w:val="fr-BE"/>
        </w:rPr>
        <w:t xml:space="preserve">Source: Schlesinger et al. (2014); Repenning et al. </w:t>
      </w:r>
      <w:r w:rsidRPr="003202C2">
        <w:rPr>
          <w:lang w:val="en-GB"/>
        </w:rPr>
        <w:t>(2015); Lehr et al. (2015)</w:t>
      </w:r>
    </w:p>
    <w:p w14:paraId="67B46E3B" w14:textId="43667F93" w:rsidR="00012191" w:rsidRPr="003202C2" w:rsidRDefault="00012191" w:rsidP="00CA291D">
      <w:pPr>
        <w:pStyle w:val="Mainbody"/>
        <w:rPr>
          <w:lang w:val="en-GB"/>
        </w:rPr>
      </w:pPr>
      <w:r w:rsidRPr="003202C2">
        <w:rPr>
          <w:lang w:val="en-GB"/>
        </w:rPr>
        <w:t xml:space="preserve">Due to the intermittent character of renewable </w:t>
      </w:r>
      <w:r w:rsidR="008D693C" w:rsidRPr="003202C2">
        <w:rPr>
          <w:lang w:val="en-GB"/>
        </w:rPr>
        <w:t>energ</w:t>
      </w:r>
      <w:r w:rsidR="008D693C">
        <w:rPr>
          <w:lang w:val="en-GB"/>
        </w:rPr>
        <w:t>y</w:t>
      </w:r>
      <w:r w:rsidRPr="003202C2">
        <w:rPr>
          <w:lang w:val="en-GB"/>
        </w:rPr>
        <w:t xml:space="preserve">, the integration of electricity </w:t>
      </w:r>
      <w:r w:rsidR="00F928AC">
        <w:rPr>
          <w:lang w:val="en-GB"/>
        </w:rPr>
        <w:t xml:space="preserve">generated using renewable sources </w:t>
      </w:r>
      <w:r w:rsidRPr="003202C2">
        <w:rPr>
          <w:lang w:val="en-GB"/>
        </w:rPr>
        <w:t xml:space="preserve">entails the need to adapt the electricity grid </w:t>
      </w:r>
      <w:r>
        <w:rPr>
          <w:lang w:val="en-GB"/>
        </w:rPr>
        <w:t>by means of storage systems.</w:t>
      </w:r>
      <w:r w:rsidRPr="003202C2">
        <w:rPr>
          <w:lang w:val="en-GB"/>
        </w:rPr>
        <w:t xml:space="preserve"> In the investment </w:t>
      </w:r>
      <w:r w:rsidR="00F13390" w:rsidRPr="003202C2">
        <w:rPr>
          <w:lang w:val="en-GB"/>
        </w:rPr>
        <w:t>scenario,</w:t>
      </w:r>
      <w:r w:rsidRPr="003202C2">
        <w:rPr>
          <w:lang w:val="en-GB"/>
        </w:rPr>
        <w:t xml:space="preserve"> it is assumed that higher deployment </w:t>
      </w:r>
      <w:r>
        <w:rPr>
          <w:lang w:val="en-GB"/>
        </w:rPr>
        <w:t>rates</w:t>
      </w:r>
      <w:r w:rsidRPr="003202C2">
        <w:rPr>
          <w:lang w:val="en-GB"/>
        </w:rPr>
        <w:t xml:space="preserve"> of </w:t>
      </w:r>
      <w:r w:rsidR="00C16729">
        <w:rPr>
          <w:lang w:val="en-GB"/>
        </w:rPr>
        <w:t>renewable energy</w:t>
      </w:r>
      <w:r w:rsidR="008D693C" w:rsidRPr="003202C2">
        <w:rPr>
          <w:lang w:val="en-GB"/>
        </w:rPr>
        <w:t xml:space="preserve"> </w:t>
      </w:r>
      <w:r w:rsidRPr="003202C2">
        <w:rPr>
          <w:lang w:val="en-GB"/>
        </w:rPr>
        <w:t>are accommodated by using storage systems.</w:t>
      </w:r>
    </w:p>
    <w:p w14:paraId="0FF5AF5E" w14:textId="796AD277" w:rsidR="00BA0E5B" w:rsidRDefault="00DE2BD2" w:rsidP="00CA291D">
      <w:pPr>
        <w:pStyle w:val="Mainbody"/>
      </w:pPr>
      <w:r>
        <w:t>Frequency stability</w:t>
      </w:r>
      <w:r w:rsidR="00BA0E5B">
        <w:t xml:space="preserve"> and </w:t>
      </w:r>
      <w:r>
        <w:t>reliable</w:t>
      </w:r>
      <w:r w:rsidR="00BA0E5B">
        <w:t xml:space="preserve"> supply of power must be ensured </w:t>
      </w:r>
      <w:r w:rsidR="00F928AC">
        <w:t xml:space="preserve">also </w:t>
      </w:r>
      <w:r w:rsidR="00BA0E5B">
        <w:t xml:space="preserve">in case of </w:t>
      </w:r>
      <w:r w:rsidR="007057C9">
        <w:t xml:space="preserve">a </w:t>
      </w:r>
      <w:r w:rsidR="00BA0E5B">
        <w:t xml:space="preserve">high </w:t>
      </w:r>
      <w:r>
        <w:t>share</w:t>
      </w:r>
      <w:r w:rsidR="00BA0E5B">
        <w:t xml:space="preserve"> of </w:t>
      </w:r>
      <w:r w:rsidR="00C16729">
        <w:t xml:space="preserve">renewable energy </w:t>
      </w:r>
      <w:r w:rsidR="00BA0E5B">
        <w:t>in electricity generation. The volatile electricity and heat generation</w:t>
      </w:r>
      <w:r>
        <w:t xml:space="preserve"> from renewable energy sources requires</w:t>
      </w:r>
      <w:r w:rsidR="00BA0E5B">
        <w:t xml:space="preserve"> flexibility measures </w:t>
      </w:r>
      <w:r w:rsidR="00B55851">
        <w:t>over and above</w:t>
      </w:r>
      <w:r w:rsidR="00BA0E5B">
        <w:t xml:space="preserve"> classical </w:t>
      </w:r>
      <w:r w:rsidR="00B55851">
        <w:t>network</w:t>
      </w:r>
      <w:r w:rsidR="00BA0E5B">
        <w:t xml:space="preserve"> expansion. In an investment scenario, energy storage and intelligent grids are therefore increasingly being demanded. Energy storage units represent both electrical </w:t>
      </w:r>
      <w:r w:rsidR="00B55851">
        <w:t xml:space="preserve">energy </w:t>
      </w:r>
      <w:r w:rsidR="00BA0E5B">
        <w:t xml:space="preserve">storage </w:t>
      </w:r>
      <w:r w:rsidR="00B55851">
        <w:t>(lithium-</w:t>
      </w:r>
      <w:r w:rsidR="00BA0E5B">
        <w:t xml:space="preserve">ion batteries) and thermal </w:t>
      </w:r>
      <w:r w:rsidR="00B55851">
        <w:t xml:space="preserve">energy </w:t>
      </w:r>
      <w:r w:rsidR="00BA0E5B">
        <w:t>storage (latent heat storage).</w:t>
      </w:r>
    </w:p>
    <w:p w14:paraId="5F556C22" w14:textId="558B2832" w:rsidR="00BA0E5B" w:rsidRDefault="00BA0E5B" w:rsidP="00CA291D">
      <w:pPr>
        <w:pStyle w:val="Mainbody"/>
      </w:pPr>
      <w:r>
        <w:t>The investments in the grid sector in th</w:t>
      </w:r>
      <w:r w:rsidR="00B55851">
        <w:t>e reference scenario amount to</w:t>
      </w:r>
      <w:r>
        <w:t xml:space="preserve"> 4 billion</w:t>
      </w:r>
      <w:r w:rsidR="00B55851">
        <w:t xml:space="preserve"> Euro</w:t>
      </w:r>
      <w:r w:rsidR="005A7C25">
        <w:t>s</w:t>
      </w:r>
      <w:r>
        <w:t xml:space="preserve"> annually</w:t>
      </w:r>
      <w:r w:rsidR="003A650D">
        <w:t xml:space="preserve"> in Germany</w:t>
      </w:r>
      <w:r>
        <w:t xml:space="preserve">. The </w:t>
      </w:r>
      <w:r w:rsidR="00B55851">
        <w:t>grid development</w:t>
      </w:r>
      <w:r>
        <w:t xml:space="preserve"> includes expansion as well as replacement investments. In the reference scenario, an expansion of the storage c</w:t>
      </w:r>
      <w:r w:rsidR="00B55851">
        <w:t>apacities is also assumed. These energy stores</w:t>
      </w:r>
      <w:r>
        <w:t xml:space="preserve"> are,</w:t>
      </w:r>
      <w:r w:rsidR="00B55851">
        <w:t xml:space="preserve"> however, not system</w:t>
      </w:r>
      <w:r w:rsidR="003F6515">
        <w:t>-</w:t>
      </w:r>
      <w:r w:rsidR="00B55851">
        <w:t xml:space="preserve">relevant. We expect </w:t>
      </w:r>
      <w:r w:rsidR="005A7C25">
        <w:t xml:space="preserve">that </w:t>
      </w:r>
      <w:r w:rsidR="00B55851">
        <w:t xml:space="preserve">total capacity </w:t>
      </w:r>
      <w:r w:rsidR="003A650D">
        <w:t>will</w:t>
      </w:r>
      <w:r w:rsidR="00B55851">
        <w:t xml:space="preserve"> amount to 5.5 GW in </w:t>
      </w:r>
      <w:r>
        <w:t>2030. On the assumption of a price reduction in the area of electricity storage of 2.5% per year and</w:t>
      </w:r>
      <w:r w:rsidR="00B55851">
        <w:t xml:space="preserve"> a starting price of 1.800 Euro/kW </w:t>
      </w:r>
      <w:r w:rsidR="007057C9">
        <w:t xml:space="preserve">in </w:t>
      </w:r>
      <w:r w:rsidR="00B55851">
        <w:t>2015</w:t>
      </w:r>
      <w:r>
        <w:t xml:space="preserve">, an annual investment sum of 613 </w:t>
      </w:r>
      <w:r w:rsidR="00B55851">
        <w:t>million Euros i</w:t>
      </w:r>
      <w:r>
        <w:t>n 2030</w:t>
      </w:r>
      <w:r w:rsidR="00B55851">
        <w:t xml:space="preserve"> is </w:t>
      </w:r>
      <w:r w:rsidR="00F928AC">
        <w:t>the result</w:t>
      </w:r>
      <w:r>
        <w:t>.</w:t>
      </w:r>
    </w:p>
    <w:p w14:paraId="6B223D06" w14:textId="08C2AF73" w:rsidR="00012191" w:rsidRDefault="00BA0E5B" w:rsidP="00CA291D">
      <w:pPr>
        <w:pStyle w:val="Mainbody"/>
        <w:rPr>
          <w:lang w:val="en-GB"/>
        </w:rPr>
      </w:pPr>
      <w:r>
        <w:t xml:space="preserve">In the investment scenario, </w:t>
      </w:r>
      <w:r w:rsidR="00F928AC">
        <w:t xml:space="preserve">new capacities for the use of </w:t>
      </w:r>
      <w:r w:rsidR="00C16729">
        <w:t>renewable energy</w:t>
      </w:r>
      <w:r w:rsidR="00193EA5">
        <w:t xml:space="preserve"> </w:t>
      </w:r>
      <w:r w:rsidR="00F928AC">
        <w:t>are 30% higher than in</w:t>
      </w:r>
      <w:r>
        <w:t xml:space="preserve"> the reference scenario. The additional flexibility </w:t>
      </w:r>
      <w:r w:rsidR="00B55851">
        <w:t>requires</w:t>
      </w:r>
      <w:r>
        <w:t xml:space="preserve"> </w:t>
      </w:r>
      <w:r w:rsidR="00F928AC">
        <w:t xml:space="preserve">considerable changes in the grids and </w:t>
      </w:r>
      <w:r w:rsidR="00B55851">
        <w:t>energy stores</w:t>
      </w:r>
      <w:r>
        <w:t xml:space="preserve"> become system-relevant. It is assumed that the additionally installed storage capacity for electricity and heat by the year 2030 is about 31 GW. This results in an additional annual investment of 3.4 billion</w:t>
      </w:r>
      <w:r w:rsidR="00B55851">
        <w:t xml:space="preserve"> Euro</w:t>
      </w:r>
      <w:r w:rsidR="003B2417">
        <w:t>s</w:t>
      </w:r>
      <w:r>
        <w:t xml:space="preserve"> in 2030. </w:t>
      </w:r>
      <w:r w:rsidR="00193EA5">
        <w:t xml:space="preserve">Industry, energy supply companies and </w:t>
      </w:r>
      <w:r w:rsidR="00F928AC">
        <w:t>grid</w:t>
      </w:r>
      <w:r w:rsidR="00193EA5">
        <w:t xml:space="preserve"> operators make most of these investments</w:t>
      </w:r>
      <w:r>
        <w:t>. Private households will invest around 1 billion</w:t>
      </w:r>
      <w:r w:rsidR="00B55851">
        <w:t xml:space="preserve"> </w:t>
      </w:r>
      <w:r w:rsidR="003B2417">
        <w:t>Euros</w:t>
      </w:r>
      <w:r>
        <w:t xml:space="preserve"> if they receive a </w:t>
      </w:r>
      <w:r w:rsidR="003B2417">
        <w:t>state subsidy</w:t>
      </w:r>
      <w:r w:rsidR="00193EA5">
        <w:t>.</w:t>
      </w:r>
    </w:p>
    <w:p w14:paraId="65C9E4B2" w14:textId="21423C2C" w:rsidR="00012191" w:rsidRPr="003202C2" w:rsidRDefault="00B10D8B" w:rsidP="00CA291D">
      <w:pPr>
        <w:pStyle w:val="Mainbody"/>
        <w:rPr>
          <w:lang w:val="en-GB"/>
        </w:rPr>
      </w:pPr>
      <w:r>
        <w:rPr>
          <w:lang w:val="en-GB"/>
        </w:rPr>
        <w:t xml:space="preserve">The next </w:t>
      </w:r>
      <w:r w:rsidR="00012191" w:rsidRPr="003202C2">
        <w:rPr>
          <w:lang w:val="en-GB"/>
        </w:rPr>
        <w:t xml:space="preserve">important </w:t>
      </w:r>
      <w:r w:rsidR="00193EA5" w:rsidRPr="003202C2">
        <w:rPr>
          <w:lang w:val="en-GB"/>
        </w:rPr>
        <w:t>source</w:t>
      </w:r>
      <w:r>
        <w:rPr>
          <w:lang w:val="en-GB"/>
        </w:rPr>
        <w:t xml:space="preserve"> for GHG emissions in Germany is the use of fossil fuels for heat generation in households and industry.</w:t>
      </w:r>
      <w:r w:rsidR="00012191" w:rsidRPr="003202C2">
        <w:rPr>
          <w:lang w:val="en-GB"/>
        </w:rPr>
        <w:t xml:space="preserve"> </w:t>
      </w:r>
      <w:r>
        <w:rPr>
          <w:lang w:val="en-GB"/>
        </w:rPr>
        <w:t>Therefore, we included</w:t>
      </w:r>
      <w:r w:rsidR="00012191" w:rsidRPr="003202C2">
        <w:rPr>
          <w:lang w:val="en-GB"/>
        </w:rPr>
        <w:t xml:space="preserve"> energy efficiency measures </w:t>
      </w:r>
      <w:r>
        <w:rPr>
          <w:lang w:val="en-GB"/>
        </w:rPr>
        <w:t>such as</w:t>
      </w:r>
      <w:r w:rsidR="00012191" w:rsidRPr="003202C2">
        <w:rPr>
          <w:lang w:val="en-GB"/>
        </w:rPr>
        <w:t xml:space="preserve"> building refurbishment (renewal of heating systems, thermal insulation</w:t>
      </w:r>
      <w:r w:rsidR="00BD3BA4" w:rsidRPr="00671CE2">
        <w:t>,</w:t>
      </w:r>
      <w:r w:rsidR="00012191">
        <w:rPr>
          <w:lang w:val="en-GB"/>
        </w:rPr>
        <w:t xml:space="preserve"> etc.)</w:t>
      </w:r>
      <w:r w:rsidR="00012191" w:rsidRPr="003202C2">
        <w:rPr>
          <w:lang w:val="en-GB"/>
        </w:rPr>
        <w:t xml:space="preserve"> and energy efficient cross-sectional and process technologies in the lead market „energy efficiency“</w:t>
      </w:r>
      <w:r>
        <w:rPr>
          <w:lang w:val="en-GB"/>
        </w:rPr>
        <w:t xml:space="preserve"> and the investment scenario</w:t>
      </w:r>
      <w:r w:rsidR="00012191" w:rsidRPr="003202C2">
        <w:rPr>
          <w:lang w:val="en-GB"/>
        </w:rPr>
        <w:t>.</w:t>
      </w:r>
    </w:p>
    <w:p w14:paraId="0D5772B5" w14:textId="1A063721" w:rsidR="00B10D8B" w:rsidRDefault="00012191" w:rsidP="00CA291D">
      <w:pPr>
        <w:pStyle w:val="Mainbody"/>
        <w:rPr>
          <w:lang w:val="en-GB"/>
        </w:rPr>
      </w:pPr>
      <w:r w:rsidRPr="003202C2">
        <w:rPr>
          <w:lang w:val="en-GB"/>
        </w:rPr>
        <w:t>In energy-efficient building refurbishment</w:t>
      </w:r>
      <w:r w:rsidR="00193EA5">
        <w:rPr>
          <w:lang w:val="en-GB"/>
        </w:rPr>
        <w:t>,</w:t>
      </w:r>
      <w:r w:rsidRPr="003202C2">
        <w:rPr>
          <w:lang w:val="en-GB"/>
        </w:rPr>
        <w:t xml:space="preserve"> </w:t>
      </w:r>
      <w:r w:rsidR="00BD3BA4" w:rsidRPr="00671CE2">
        <w:t>the investment scenario</w:t>
      </w:r>
      <w:r w:rsidR="00B10D8B">
        <w:t xml:space="preserve"> is</w:t>
      </w:r>
      <w:r w:rsidR="00BD3BA4" w:rsidRPr="00671CE2">
        <w:t xml:space="preserve"> </w:t>
      </w:r>
      <w:r w:rsidRPr="003202C2">
        <w:rPr>
          <w:lang w:val="en-GB"/>
        </w:rPr>
        <w:t xml:space="preserve">mainly </w:t>
      </w:r>
      <w:r>
        <w:rPr>
          <w:lang w:val="en-GB"/>
        </w:rPr>
        <w:t>driven</w:t>
      </w:r>
      <w:r w:rsidRPr="003202C2">
        <w:rPr>
          <w:lang w:val="en-GB"/>
        </w:rPr>
        <w:t xml:space="preserve"> by the rate of refurbishment and the energy efficiency standard. </w:t>
      </w:r>
      <w:r w:rsidR="00193EA5">
        <w:rPr>
          <w:lang w:val="en-GB"/>
        </w:rPr>
        <w:t xml:space="preserve">In </w:t>
      </w:r>
      <w:r>
        <w:rPr>
          <w:lang w:val="en-GB"/>
        </w:rPr>
        <w:t>line with</w:t>
      </w:r>
      <w:r w:rsidRPr="003202C2">
        <w:rPr>
          <w:lang w:val="en-GB"/>
        </w:rPr>
        <w:t xml:space="preserve"> Repenning et al. (2015)</w:t>
      </w:r>
      <w:r w:rsidR="00193EA5">
        <w:rPr>
          <w:lang w:val="en-GB"/>
        </w:rPr>
        <w:t>,</w:t>
      </w:r>
      <w:r w:rsidRPr="003202C2">
        <w:rPr>
          <w:lang w:val="en-GB"/>
        </w:rPr>
        <w:t xml:space="preserve"> the scenario adopts a linear increase of the refurbishment rate from, depending on the building type, between one and 1.75 percent in 2015 to 3.7 percent in 2030. Also in line with Repenning et al. (2015) the KfW-55 standard is assumed for energy-efficient refurbishment</w:t>
      </w:r>
      <w:r w:rsidR="00B10D8B">
        <w:rPr>
          <w:lang w:val="en-GB"/>
        </w:rPr>
        <w:t>s</w:t>
      </w:r>
      <w:r w:rsidR="00BD3BA4" w:rsidRPr="00671CE2">
        <w:t xml:space="preserve">, </w:t>
      </w:r>
      <w:r w:rsidR="00B10D8B">
        <w:t>meaning</w:t>
      </w:r>
      <w:r w:rsidRPr="003202C2">
        <w:rPr>
          <w:lang w:val="en-GB"/>
        </w:rPr>
        <w:t xml:space="preserve"> that the maximum primary energy use </w:t>
      </w:r>
      <w:r w:rsidR="00B10D8B">
        <w:rPr>
          <w:lang w:val="en-GB"/>
        </w:rPr>
        <w:t>has</w:t>
      </w:r>
      <w:r w:rsidRPr="003202C2">
        <w:rPr>
          <w:lang w:val="en-GB"/>
        </w:rPr>
        <w:t xml:space="preserve"> to be 55 percent </w:t>
      </w:r>
      <w:r w:rsidR="00BD3BA4">
        <w:t xml:space="preserve">compared to </w:t>
      </w:r>
      <w:r w:rsidRPr="003202C2">
        <w:rPr>
          <w:lang w:val="en-GB"/>
        </w:rPr>
        <w:t xml:space="preserve">primary energy use for new buildings as laid out in the Energy Conservation Ordinance 2009. </w:t>
      </w:r>
    </w:p>
    <w:p w14:paraId="6ED84EC3" w14:textId="5F6684C6" w:rsidR="00012191" w:rsidRPr="003202C2" w:rsidRDefault="00B10D8B" w:rsidP="00CA291D">
      <w:pPr>
        <w:pStyle w:val="Mainbody"/>
        <w:rPr>
          <w:lang w:val="en-GB"/>
        </w:rPr>
      </w:pPr>
      <w:r>
        <w:rPr>
          <w:lang w:val="en-GB"/>
        </w:rPr>
        <w:t xml:space="preserve">In Germany, </w:t>
      </w:r>
      <w:r w:rsidR="00012191" w:rsidRPr="003202C2">
        <w:rPr>
          <w:lang w:val="en-GB"/>
        </w:rPr>
        <w:t xml:space="preserve">the cumulated living </w:t>
      </w:r>
      <w:r>
        <w:rPr>
          <w:lang w:val="en-GB"/>
        </w:rPr>
        <w:t>space</w:t>
      </w:r>
      <w:r w:rsidRPr="003202C2">
        <w:rPr>
          <w:lang w:val="en-GB"/>
        </w:rPr>
        <w:t xml:space="preserve"> </w:t>
      </w:r>
      <w:r w:rsidR="00012191" w:rsidRPr="003202C2">
        <w:rPr>
          <w:lang w:val="en-GB"/>
        </w:rPr>
        <w:t xml:space="preserve">is </w:t>
      </w:r>
      <w:r>
        <w:rPr>
          <w:lang w:val="en-GB"/>
        </w:rPr>
        <w:t>projected</w:t>
      </w:r>
      <w:r w:rsidRPr="003202C2">
        <w:rPr>
          <w:lang w:val="en-GB"/>
        </w:rPr>
        <w:t xml:space="preserve"> </w:t>
      </w:r>
      <w:r w:rsidR="00012191" w:rsidRPr="003202C2">
        <w:rPr>
          <w:lang w:val="en-GB"/>
        </w:rPr>
        <w:t xml:space="preserve">to increase by seven percent (residential buildings) between 2010 and 2030 and to be constant for public buildings over time (Schlesinger et al. 2014). The energy-related refurbishment costs are taken from Böhmer and Thamling (2013). It is assumed that these costs decrease by ten percent between 2010 and 2030 due to learning effects (Böhmer and Thamling). </w:t>
      </w:r>
      <w:r w:rsidR="00012191">
        <w:rPr>
          <w:lang w:val="en-GB"/>
        </w:rPr>
        <w:t>Based on these assumptions, the overall refurbishment costs are calculated and the corresponding costs of the reference scenario are subtracted to obtain the additional investments of the investment scenario.</w:t>
      </w:r>
    </w:p>
    <w:p w14:paraId="2532F99D" w14:textId="41983309" w:rsidR="000C4088" w:rsidRDefault="00B10D8B" w:rsidP="00CA291D">
      <w:pPr>
        <w:pStyle w:val="Mainbody"/>
      </w:pPr>
      <w:r>
        <w:t>E</w:t>
      </w:r>
      <w:r w:rsidR="000C4088">
        <w:t>nergy efficiency in industry</w:t>
      </w:r>
      <w:r w:rsidR="005A7C25">
        <w:t xml:space="preserve"> can be </w:t>
      </w:r>
      <w:r>
        <w:t>split</w:t>
      </w:r>
      <w:r w:rsidR="005A7C25">
        <w:t xml:space="preserve"> into</w:t>
      </w:r>
      <w:r w:rsidR="000C4088">
        <w:t xml:space="preserve">: 1) </w:t>
      </w:r>
      <w:r w:rsidR="003B2417">
        <w:t>traditional</w:t>
      </w:r>
      <w:r w:rsidR="000C4088">
        <w:t xml:space="preserve"> efficiency measures; and 2) efficiency gains through the </w:t>
      </w:r>
      <w:r w:rsidR="003B2417">
        <w:t>holistic optimization</w:t>
      </w:r>
      <w:r w:rsidR="000C4088">
        <w:t xml:space="preserve"> of the production processes </w:t>
      </w:r>
      <w:r w:rsidR="003B2417">
        <w:t xml:space="preserve">using methods of </w:t>
      </w:r>
      <w:r w:rsidR="003A650D">
        <w:t>d</w:t>
      </w:r>
      <w:r w:rsidR="003A650D" w:rsidRPr="003A650D">
        <w:t>igitalization</w:t>
      </w:r>
      <w:r w:rsidR="003A650D">
        <w:rPr>
          <w:rStyle w:val="Kommentarzeichen"/>
        </w:rPr>
        <w:t>.</w:t>
      </w:r>
      <w:r>
        <w:t xml:space="preserve"> </w:t>
      </w:r>
      <w:r w:rsidR="000C4088">
        <w:t xml:space="preserve">The </w:t>
      </w:r>
      <w:r w:rsidR="003B2417">
        <w:t>traditional</w:t>
      </w:r>
      <w:r w:rsidR="000C4088">
        <w:t xml:space="preserve"> efficiency measures, including energy-efficient lighting, efficient electronic drives, energy-efficient pumps (HVAC), etc., will only play a subordinate role in the future. For decades, these individual components or even </w:t>
      </w:r>
      <w:r w:rsidR="003B2417" w:rsidRPr="003B2417">
        <w:t xml:space="preserve">isolated applications </w:t>
      </w:r>
      <w:r w:rsidR="000C4088">
        <w:t xml:space="preserve">have been optimized further and further. The main efficiency </w:t>
      </w:r>
      <w:r w:rsidR="00C75468">
        <w:t xml:space="preserve">increasing </w:t>
      </w:r>
      <w:r w:rsidR="000C4088">
        <w:t>lever</w:t>
      </w:r>
      <w:r w:rsidR="00C75468">
        <w:t>s are</w:t>
      </w:r>
      <w:r w:rsidR="000C4088">
        <w:t xml:space="preserve"> found in </w:t>
      </w:r>
      <w:r w:rsidR="003B2417">
        <w:t>holistic / systemic</w:t>
      </w:r>
      <w:r w:rsidR="000C4088">
        <w:t xml:space="preserve"> optimization. The lin</w:t>
      </w:r>
      <w:r w:rsidR="003B2417">
        <w:t>k</w:t>
      </w:r>
      <w:r w:rsidR="00C75468">
        <w:t>s</w:t>
      </w:r>
      <w:r w:rsidR="003B2417">
        <w:t xml:space="preserve"> of insular systems as</w:t>
      </w:r>
      <w:r w:rsidR="000C4088">
        <w:t xml:space="preserve"> </w:t>
      </w:r>
      <w:r w:rsidR="003B2417">
        <w:t>holistic</w:t>
      </w:r>
      <w:r w:rsidR="000C4088">
        <w:t xml:space="preserve"> system</w:t>
      </w:r>
      <w:r w:rsidR="00C75468">
        <w:t>s</w:t>
      </w:r>
      <w:r w:rsidR="000C4088">
        <w:t xml:space="preserve"> and the overall optimization of the processes allow new dimensions of efficiencies to be achieved. Digitalization, which is linked through automation</w:t>
      </w:r>
      <w:r w:rsidR="003B2417">
        <w:t>, networking, digital data and</w:t>
      </w:r>
      <w:r w:rsidR="000C4088">
        <w:t xml:space="preserve"> digital user interface</w:t>
      </w:r>
      <w:r w:rsidR="003A650D">
        <w:t xml:space="preserve"> (four levers of digitization)</w:t>
      </w:r>
      <w:r w:rsidR="000C4088">
        <w:t xml:space="preserve">, </w:t>
      </w:r>
      <w:r w:rsidR="003B2417">
        <w:t>gains enormous importance</w:t>
      </w:r>
      <w:r w:rsidR="000C4088">
        <w:t>.</w:t>
      </w:r>
    </w:p>
    <w:p w14:paraId="2F9ED547" w14:textId="6F0E02D0" w:rsidR="000C4088" w:rsidRDefault="003A650D" w:rsidP="00CA291D">
      <w:pPr>
        <w:pStyle w:val="Mainbody"/>
      </w:pPr>
      <w:r>
        <w:t>Studies estimate that "I</w:t>
      </w:r>
      <w:r w:rsidR="000C4088">
        <w:t>ndustry</w:t>
      </w:r>
      <w:r>
        <w:t xml:space="preserve"> 4.0"</w:t>
      </w:r>
      <w:r w:rsidR="000C4088">
        <w:t xml:space="preserve"> can achieve energy efficiency levels of 3.5% - 30%. In our calculations, we are assuming 15%. These additional savings potentials can be related to the total energy consumption of industrial production in Germany. If the companies invest in all efficiency measures, which are expected </w:t>
      </w:r>
      <w:r w:rsidR="003B2417">
        <w:t xml:space="preserve">to have a </w:t>
      </w:r>
      <w:r w:rsidR="007C49FD">
        <w:t>payback</w:t>
      </w:r>
      <w:r w:rsidR="003B2417">
        <w:t xml:space="preserve"> time of less than </w:t>
      </w:r>
      <w:r w:rsidR="000C4088">
        <w:t xml:space="preserve">4 years, a market potential of 25 billion </w:t>
      </w:r>
      <w:r w:rsidR="003B2417">
        <w:t>E</w:t>
      </w:r>
      <w:r w:rsidR="000C4088">
        <w:t xml:space="preserve">uros is calculated. An industrial electricity price of an average of 80 </w:t>
      </w:r>
      <w:r w:rsidR="003B2417">
        <w:t>E</w:t>
      </w:r>
      <w:r w:rsidR="000C4088">
        <w:t>uros</w:t>
      </w:r>
      <w:r w:rsidR="007C49FD">
        <w:t> </w:t>
      </w:r>
      <w:r w:rsidR="000C4088">
        <w:t>/</w:t>
      </w:r>
      <w:r w:rsidR="007C49FD">
        <w:t> </w:t>
      </w:r>
      <w:r w:rsidR="000C4088">
        <w:t xml:space="preserve">MWh and an industrial heat price of 50 </w:t>
      </w:r>
      <w:r w:rsidR="003B2417">
        <w:t>E</w:t>
      </w:r>
      <w:r w:rsidR="000C4088">
        <w:t>uros / MWh are assumed.</w:t>
      </w:r>
    </w:p>
    <w:p w14:paraId="7B68C514" w14:textId="078EE6AB" w:rsidR="000C4088" w:rsidRDefault="000C4088" w:rsidP="00CA291D">
      <w:pPr>
        <w:pStyle w:val="Mainbody"/>
      </w:pPr>
      <w:r>
        <w:t xml:space="preserve">Based on a very low penetration rate of digital solutions in the industry of 1% in 2015, we expect </w:t>
      </w:r>
      <w:r w:rsidR="003B2417">
        <w:t xml:space="preserve">an annual </w:t>
      </w:r>
      <w:r>
        <w:t xml:space="preserve">growth of 17% in the reference scenario and 31% </w:t>
      </w:r>
      <w:r w:rsidR="003B2417">
        <w:t xml:space="preserve">annual </w:t>
      </w:r>
      <w:r>
        <w:t>growth in the investment scenario</w:t>
      </w:r>
      <w:r w:rsidR="003B2417">
        <w:t xml:space="preserve">. After </w:t>
      </w:r>
      <w:r>
        <w:t xml:space="preserve">a penetration rate of </w:t>
      </w:r>
      <w:r w:rsidR="007C49FD">
        <w:t>15%,</w:t>
      </w:r>
      <w:r w:rsidR="003B2417">
        <w:t xml:space="preserve"> the annual growth rate is decreasing</w:t>
      </w:r>
      <w:r>
        <w:t xml:space="preserve">. In 2030, the penetration rate of digital solutions </w:t>
      </w:r>
      <w:r w:rsidR="003B2417">
        <w:t xml:space="preserve">will reach </w:t>
      </w:r>
      <w:r>
        <w:t xml:space="preserve">10% </w:t>
      </w:r>
      <w:r w:rsidR="003B2417">
        <w:t xml:space="preserve">in the reference scenario </w:t>
      </w:r>
      <w:r>
        <w:t>and</w:t>
      </w:r>
      <w:r w:rsidR="003B2417">
        <w:t xml:space="preserve"> 50% in the</w:t>
      </w:r>
      <w:r>
        <w:t xml:space="preserve"> investment scenario</w:t>
      </w:r>
      <w:r w:rsidR="003B2417">
        <w:t xml:space="preserve">. </w:t>
      </w:r>
      <w:r>
        <w:t>The degree of penetration of digital solutions is defined at plant level using al</w:t>
      </w:r>
      <w:r w:rsidR="003B2417">
        <w:t>l four levers of digitization.</w:t>
      </w:r>
    </w:p>
    <w:p w14:paraId="7D5D8A9F" w14:textId="77777777" w:rsidR="00BD3BA4" w:rsidRDefault="000C4088" w:rsidP="00CA291D">
      <w:pPr>
        <w:pStyle w:val="Mainbody"/>
      </w:pPr>
      <w:r>
        <w:t>With these assumptions, the investment in the ref</w:t>
      </w:r>
      <w:r w:rsidR="003B2417">
        <w:t>erence scenario will amount to</w:t>
      </w:r>
      <w:r>
        <w:t xml:space="preserve"> 379 million</w:t>
      </w:r>
      <w:r w:rsidR="003B2417">
        <w:t xml:space="preserve"> Euros annually in 2030 and </w:t>
      </w:r>
      <w:r>
        <w:t xml:space="preserve">2.7 billion </w:t>
      </w:r>
      <w:r w:rsidR="003B2417">
        <w:t xml:space="preserve">Euros </w:t>
      </w:r>
      <w:r>
        <w:t>annually in the investment scenario in 2030.</w:t>
      </w:r>
    </w:p>
    <w:p w14:paraId="01CFA7E5" w14:textId="57615DB7" w:rsidR="00012191" w:rsidRDefault="00012191" w:rsidP="00CA291D">
      <w:pPr>
        <w:pStyle w:val="Mainbody"/>
        <w:rPr>
          <w:lang w:val="en-GB"/>
        </w:rPr>
      </w:pPr>
      <w:r>
        <w:rPr>
          <w:lang w:val="en-GB"/>
        </w:rPr>
        <w:t xml:space="preserve">In the third lead market taken into account in this </w:t>
      </w:r>
      <w:r w:rsidR="007C49FD">
        <w:rPr>
          <w:lang w:val="en-GB"/>
        </w:rPr>
        <w:t>scenario,</w:t>
      </w:r>
      <w:r>
        <w:rPr>
          <w:lang w:val="en-GB"/>
        </w:rPr>
        <w:t xml:space="preserve"> additional</w:t>
      </w:r>
      <w:r w:rsidR="007C49FD">
        <w:rPr>
          <w:lang w:val="en-GB"/>
        </w:rPr>
        <w:t xml:space="preserve"> </w:t>
      </w:r>
      <w:r>
        <w:rPr>
          <w:lang w:val="en-GB"/>
        </w:rPr>
        <w:t xml:space="preserve">infrastructure investments in </w:t>
      </w:r>
      <w:r w:rsidR="007C49FD">
        <w:rPr>
          <w:lang w:val="en-GB"/>
        </w:rPr>
        <w:t>transport</w:t>
      </w:r>
      <w:r>
        <w:rPr>
          <w:lang w:val="en-GB"/>
        </w:rPr>
        <w:t xml:space="preserve"> are considered: the expansion of bicycle lanes and pedestrian paths as well as the expansions of rail-roads. Additional investments compared to the reference scenario are directly taken from Doll et al. (2012). For the shift of freight transportation from roads to rail-roads, Doll et al. (2012</w:t>
      </w:r>
      <w:r w:rsidR="007C49FD">
        <w:rPr>
          <w:lang w:val="en-GB"/>
        </w:rPr>
        <w:t>) assume</w:t>
      </w:r>
      <w:r>
        <w:rPr>
          <w:lang w:val="en-GB"/>
        </w:rPr>
        <w:t xml:space="preserve"> that the share of rail-based freight transportation increases from today 17 percent to 27 percent in 2030. To derive additional investments for a mobility shift from motorized vehicles to non-motorized mobility (cycling and walking), Doll et al. (2012) assume that the share of routes travelled by bicycles or walked in inner-cities increases from 37 to 47 percent in 2030.</w:t>
      </w:r>
    </w:p>
    <w:p w14:paraId="6C644931" w14:textId="4D551730" w:rsidR="00702975" w:rsidRPr="003A650D" w:rsidRDefault="000C4088" w:rsidP="005A7AC3">
      <w:pPr>
        <w:pStyle w:val="Mainbody"/>
      </w:pPr>
      <w:r w:rsidRPr="003A650D">
        <w:t>The investment volume was calculated by assuming that investments are made when they are economic</w:t>
      </w:r>
      <w:r w:rsidR="00F719AB">
        <w:t>ally viable</w:t>
      </w:r>
      <w:r w:rsidRPr="003A650D">
        <w:t>. For this assumption, a total market potential of the respective technology was calcula</w:t>
      </w:r>
      <w:r w:rsidRPr="007C49FD">
        <w:t>t</w:t>
      </w:r>
      <w:r w:rsidRPr="003A650D">
        <w:t>ed in the individual scenarios. For this purpose, the savings potential was multiplied by the variable costs (e</w:t>
      </w:r>
      <w:r w:rsidR="00F719AB">
        <w:t>.</w:t>
      </w:r>
      <w:r w:rsidRPr="003A650D">
        <w:t>g</w:t>
      </w:r>
      <w:r w:rsidR="00F719AB">
        <w:t>.</w:t>
      </w:r>
      <w:r w:rsidRPr="003A650D">
        <w:t xml:space="preserve"> 20% on the electricity costs for industrial production processes) and then multiplied by a typical amor</w:t>
      </w:r>
      <w:r w:rsidR="00E56655">
        <w:t>tization</w:t>
      </w:r>
      <w:r w:rsidRPr="003A650D">
        <w:t xml:space="preserve"> time (e</w:t>
      </w:r>
      <w:r w:rsidR="00E56655">
        <w:t>.</w:t>
      </w:r>
      <w:r w:rsidRPr="003A650D">
        <w:t>g</w:t>
      </w:r>
      <w:r w:rsidR="00E56655">
        <w:t>.</w:t>
      </w:r>
      <w:r w:rsidRPr="003A650D">
        <w:t xml:space="preserve"> 4 years). The total potential savings resulting from this </w:t>
      </w:r>
      <w:r w:rsidR="00E56655">
        <w:t>are</w:t>
      </w:r>
      <w:r w:rsidRPr="003A650D">
        <w:t xml:space="preserve"> then the market potential.</w:t>
      </w:r>
      <w:r w:rsidR="005A7AC3">
        <w:t xml:space="preserve"> </w:t>
      </w:r>
      <w:r w:rsidRPr="003A650D">
        <w:t>In a final step, an acceleration curve for the penetration of these classical and new technologies was identified, based on scientific publications on the relevant topics (digitization in industry, energy storage, etc.).</w:t>
      </w:r>
    </w:p>
    <w:p w14:paraId="11C74540" w14:textId="77777777" w:rsidR="00702975" w:rsidRDefault="00EB3160" w:rsidP="00EF7C7D">
      <w:pPr>
        <w:pStyle w:val="berschrift1"/>
      </w:pPr>
      <w:r>
        <w:t xml:space="preserve">Results </w:t>
      </w:r>
    </w:p>
    <w:p w14:paraId="24B87308" w14:textId="77777777" w:rsidR="00702975" w:rsidRDefault="00702975" w:rsidP="00702975">
      <w:pPr>
        <w:pStyle w:val="berschrift2"/>
      </w:pPr>
      <w:r>
        <w:t>GDP and employment – the macro effects</w:t>
      </w:r>
    </w:p>
    <w:p w14:paraId="5321B805" w14:textId="56C8866C" w:rsidR="00383961" w:rsidRDefault="00333C38" w:rsidP="00CA291D">
      <w:pPr>
        <w:pStyle w:val="Mainbody"/>
      </w:pPr>
      <w:r>
        <w:t>The modelling results show that i</w:t>
      </w:r>
      <w:r w:rsidR="005F2849">
        <w:t>nvestments in climate protection and climate protection goods have a positive effect on economic growth and the living conditions of the employees.</w:t>
      </w:r>
      <w:r w:rsidR="00383961">
        <w:t xml:space="preserve"> </w:t>
      </w:r>
      <w:r w:rsidR="00540190">
        <w:t xml:space="preserve">Investment triggers various economic effects. </w:t>
      </w:r>
      <w:r w:rsidR="00545F9C">
        <w:t xml:space="preserve">The </w:t>
      </w:r>
      <w:r>
        <w:t xml:space="preserve">differences </w:t>
      </w:r>
      <w:r w:rsidR="00383961">
        <w:t>between the investment scenario and the reference scenario</w:t>
      </w:r>
      <w:r w:rsidR="00545F9C">
        <w:t xml:space="preserve"> are positive for all relevant parameters, such as gross domestic product, </w:t>
      </w:r>
      <w:r w:rsidR="00383961">
        <w:t>private</w:t>
      </w:r>
      <w:r w:rsidR="00545F9C">
        <w:t xml:space="preserve"> consumption, </w:t>
      </w:r>
      <w:r w:rsidR="00383961">
        <w:t>earned income and the investment rate</w:t>
      </w:r>
      <w:r w:rsidR="00545F9C">
        <w:t xml:space="preserve">. </w:t>
      </w:r>
      <w:r w:rsidR="00383961">
        <w:t xml:space="preserve">Overall, the </w:t>
      </w:r>
      <w:r w:rsidR="00540190">
        <w:t>rate of growth</w:t>
      </w:r>
      <w:r w:rsidR="00383961">
        <w:t xml:space="preserve"> in the investment scenario is higher </w:t>
      </w:r>
      <w:r w:rsidR="00540190">
        <w:t>than in the reference scenario for</w:t>
      </w:r>
      <w:r w:rsidR="00383961">
        <w:t xml:space="preserve"> the entire</w:t>
      </w:r>
      <w:r w:rsidR="00540190">
        <w:t xml:space="preserve"> </w:t>
      </w:r>
      <w:r w:rsidR="00DD6C8F">
        <w:t>time</w:t>
      </w:r>
      <w:r w:rsidR="00383961">
        <w:t>.</w:t>
      </w:r>
      <w:r w:rsidR="00383961" w:rsidRPr="00383961">
        <w:t xml:space="preserve"> </w:t>
      </w:r>
      <w:r w:rsidR="00383961">
        <w:t xml:space="preserve">Private consumption is also developing at a higher level, </w:t>
      </w:r>
      <w:r w:rsidR="00540190">
        <w:t>primarily</w:t>
      </w:r>
      <w:r w:rsidR="00383961">
        <w:t xml:space="preserve"> </w:t>
      </w:r>
      <w:r w:rsidR="00DD6C8F">
        <w:t>because</w:t>
      </w:r>
      <w:r w:rsidR="00383961">
        <w:t xml:space="preserve"> of higher wages.</w:t>
      </w:r>
      <w:r w:rsidR="00383961" w:rsidRPr="00383961">
        <w:t xml:space="preserve"> </w:t>
      </w:r>
      <w:r w:rsidR="00383961">
        <w:t>Savings attributed to reduced energy consumption open up further possibilities for consumption.</w:t>
      </w:r>
      <w:r w:rsidR="00383961" w:rsidRPr="00383961">
        <w:t xml:space="preserve"> </w:t>
      </w:r>
      <w:r w:rsidR="00383961">
        <w:t>Investments as drivers of the scenario lead to a significantly higher investment rate.</w:t>
      </w:r>
      <w:r w:rsidR="00383961" w:rsidRPr="00383961">
        <w:t xml:space="preserve"> </w:t>
      </w:r>
      <w:r>
        <w:t xml:space="preserve">A total of </w:t>
      </w:r>
      <w:r w:rsidR="00383961">
        <w:t>220</w:t>
      </w:r>
      <w:r>
        <w:t>,</w:t>
      </w:r>
      <w:r w:rsidR="00383961">
        <w:t xml:space="preserve">000 people are employed </w:t>
      </w:r>
      <w:r>
        <w:t xml:space="preserve">additionally </w:t>
      </w:r>
      <w:r w:rsidR="00383961">
        <w:t xml:space="preserve">in </w:t>
      </w:r>
      <w:r>
        <w:t xml:space="preserve">several </w:t>
      </w:r>
      <w:r w:rsidR="00383961">
        <w:t>economic sectors.</w:t>
      </w:r>
      <w:r w:rsidR="00383961">
        <w:rPr>
          <w:rStyle w:val="Funotenzeichen"/>
        </w:rPr>
        <w:footnoteReference w:id="4"/>
      </w:r>
    </w:p>
    <w:p w14:paraId="4F9D87E9" w14:textId="71D63102" w:rsidR="00CB03C8" w:rsidRPr="00CB03C8" w:rsidRDefault="00CB03C8" w:rsidP="00CB03C8">
      <w:pPr>
        <w:pStyle w:val="Beschriftung"/>
      </w:pPr>
      <w:r>
        <w:t xml:space="preserve">Table </w:t>
      </w:r>
      <w:r>
        <w:fldChar w:fldCharType="begin"/>
      </w:r>
      <w:r>
        <w:instrText xml:space="preserve"> SEQ Table \* ARABIC </w:instrText>
      </w:r>
      <w:r>
        <w:fldChar w:fldCharType="separate"/>
      </w:r>
      <w:r w:rsidR="00DE059E">
        <w:rPr>
          <w:noProof/>
        </w:rPr>
        <w:t>2</w:t>
      </w:r>
      <w:r>
        <w:fldChar w:fldCharType="end"/>
      </w:r>
      <w:r>
        <w:t xml:space="preserve">: </w:t>
      </w:r>
      <w:r w:rsidRPr="00CB03C8">
        <w:t xml:space="preserve">Absolute and relative </w:t>
      </w:r>
      <w:r>
        <w:t>deviation</w:t>
      </w:r>
      <w:r w:rsidRPr="00CB03C8">
        <w:t xml:space="preserve"> of the components of GDP in the investment scenario </w:t>
      </w:r>
      <w:r>
        <w:t xml:space="preserve">compared </w:t>
      </w:r>
      <w:r w:rsidRPr="00CB03C8">
        <w:t>to the reference scenario</w:t>
      </w:r>
    </w:p>
    <w:tbl>
      <w:tblPr>
        <w:tblW w:w="5000" w:type="pct"/>
        <w:tblBorders>
          <w:insideH w:val="single" w:sz="8" w:space="0" w:color="FFFFFF"/>
          <w:insideV w:val="single" w:sz="8" w:space="0" w:color="FFFFFF"/>
        </w:tblBorders>
        <w:tblLayout w:type="fixed"/>
        <w:tblLook w:val="04A0" w:firstRow="1" w:lastRow="0" w:firstColumn="1" w:lastColumn="0" w:noHBand="0" w:noVBand="1"/>
      </w:tblPr>
      <w:tblGrid>
        <w:gridCol w:w="2311"/>
        <w:gridCol w:w="1128"/>
        <w:gridCol w:w="1128"/>
        <w:gridCol w:w="1128"/>
        <w:gridCol w:w="1125"/>
        <w:gridCol w:w="1125"/>
        <w:gridCol w:w="1125"/>
      </w:tblGrid>
      <w:tr w:rsidR="005241EC" w:rsidRPr="005241EC" w14:paraId="15E68F9A" w14:textId="77777777" w:rsidTr="00CA291D">
        <w:trPr>
          <w:trHeight w:val="360"/>
        </w:trPr>
        <w:tc>
          <w:tcPr>
            <w:tcW w:w="1274" w:type="pct"/>
            <w:vMerge w:val="restart"/>
            <w:tcBorders>
              <w:top w:val="nil"/>
              <w:bottom w:val="dotted" w:sz="4" w:space="0" w:color="auto"/>
              <w:right w:val="single" w:sz="12" w:space="0" w:color="auto"/>
            </w:tcBorders>
            <w:shd w:val="clear" w:color="auto" w:fill="auto"/>
          </w:tcPr>
          <w:p w14:paraId="6973C54B" w14:textId="77777777" w:rsidR="00CB03C8" w:rsidRPr="00CA291D" w:rsidRDefault="00CB03C8" w:rsidP="002D42F2">
            <w:pPr>
              <w:rPr>
                <w:rFonts w:eastAsia="Times New Roman" w:cs="Arial"/>
                <w:b/>
                <w:bCs/>
                <w:szCs w:val="20"/>
              </w:rPr>
            </w:pPr>
          </w:p>
        </w:tc>
        <w:tc>
          <w:tcPr>
            <w:tcW w:w="1866" w:type="pct"/>
            <w:gridSpan w:val="3"/>
            <w:tcBorders>
              <w:top w:val="nil"/>
              <w:left w:val="single" w:sz="12" w:space="0" w:color="auto"/>
              <w:bottom w:val="single" w:sz="4" w:space="0" w:color="auto"/>
              <w:right w:val="single" w:sz="12" w:space="0" w:color="auto"/>
            </w:tcBorders>
            <w:shd w:val="clear" w:color="auto" w:fill="auto"/>
          </w:tcPr>
          <w:p w14:paraId="1964AB4F" w14:textId="77777777" w:rsidR="00CB03C8" w:rsidRPr="00CA291D" w:rsidRDefault="00CB03C8" w:rsidP="00CA291D">
            <w:pPr>
              <w:jc w:val="center"/>
              <w:rPr>
                <w:rFonts w:eastAsia="Times New Roman" w:cs="Arial"/>
                <w:b/>
                <w:bCs/>
                <w:szCs w:val="20"/>
              </w:rPr>
            </w:pPr>
            <w:r w:rsidRPr="00CA291D">
              <w:rPr>
                <w:rFonts w:eastAsia="Times New Roman" w:cs="Arial"/>
                <w:b/>
                <w:bCs/>
                <w:szCs w:val="20"/>
              </w:rPr>
              <w:t>Absolute deviation</w:t>
            </w:r>
          </w:p>
          <w:p w14:paraId="460CC01A" w14:textId="77777777" w:rsidR="00CB03C8" w:rsidRPr="00CA291D" w:rsidRDefault="00CB03C8" w:rsidP="00CA291D">
            <w:pPr>
              <w:jc w:val="center"/>
              <w:rPr>
                <w:rFonts w:eastAsia="Times New Roman" w:cs="Arial"/>
                <w:b/>
                <w:bCs/>
                <w:szCs w:val="20"/>
              </w:rPr>
            </w:pPr>
            <w:r w:rsidRPr="00CA291D">
              <w:rPr>
                <w:rFonts w:eastAsia="Times New Roman" w:cs="Arial"/>
                <w:b/>
                <w:bCs/>
                <w:szCs w:val="20"/>
              </w:rPr>
              <w:t>(in bn. Euro)</w:t>
            </w:r>
          </w:p>
        </w:tc>
        <w:tc>
          <w:tcPr>
            <w:tcW w:w="1859" w:type="pct"/>
            <w:gridSpan w:val="3"/>
            <w:tcBorders>
              <w:top w:val="nil"/>
              <w:left w:val="single" w:sz="12" w:space="0" w:color="auto"/>
              <w:bottom w:val="single" w:sz="4" w:space="0" w:color="auto"/>
            </w:tcBorders>
            <w:shd w:val="clear" w:color="auto" w:fill="auto"/>
          </w:tcPr>
          <w:p w14:paraId="72328D71" w14:textId="77777777" w:rsidR="00CB03C8" w:rsidRPr="00CA291D" w:rsidRDefault="00CB03C8" w:rsidP="00CA291D">
            <w:pPr>
              <w:jc w:val="center"/>
              <w:rPr>
                <w:rFonts w:eastAsia="Times New Roman" w:cs="Arial"/>
                <w:b/>
                <w:bCs/>
                <w:szCs w:val="20"/>
              </w:rPr>
            </w:pPr>
            <w:r w:rsidRPr="00CA291D">
              <w:rPr>
                <w:rFonts w:eastAsia="Times New Roman" w:cs="Arial"/>
                <w:b/>
                <w:bCs/>
                <w:szCs w:val="20"/>
              </w:rPr>
              <w:t>Relative deviation</w:t>
            </w:r>
          </w:p>
          <w:p w14:paraId="18692CC0" w14:textId="77777777" w:rsidR="00CB03C8" w:rsidRPr="00CA291D" w:rsidRDefault="00CB03C8" w:rsidP="00CA291D">
            <w:pPr>
              <w:jc w:val="center"/>
              <w:rPr>
                <w:rFonts w:eastAsia="Times New Roman" w:cs="Arial"/>
                <w:b/>
                <w:bCs/>
                <w:szCs w:val="20"/>
              </w:rPr>
            </w:pPr>
            <w:r w:rsidRPr="00CA291D">
              <w:rPr>
                <w:rFonts w:eastAsia="Times New Roman" w:cs="Arial"/>
                <w:b/>
                <w:bCs/>
                <w:szCs w:val="20"/>
              </w:rPr>
              <w:t>(in percent)</w:t>
            </w:r>
          </w:p>
        </w:tc>
      </w:tr>
      <w:tr w:rsidR="005241EC" w:rsidRPr="005241EC" w14:paraId="6DC966BC" w14:textId="77777777" w:rsidTr="00CA291D">
        <w:trPr>
          <w:trHeight w:val="480"/>
        </w:trPr>
        <w:tc>
          <w:tcPr>
            <w:tcW w:w="1274" w:type="pct"/>
            <w:vMerge/>
            <w:tcBorders>
              <w:top w:val="dotted" w:sz="4" w:space="0" w:color="auto"/>
              <w:bottom w:val="single" w:sz="12" w:space="0" w:color="auto"/>
              <w:right w:val="single" w:sz="12" w:space="0" w:color="auto"/>
            </w:tcBorders>
            <w:shd w:val="clear" w:color="auto" w:fill="auto"/>
          </w:tcPr>
          <w:p w14:paraId="491FD638" w14:textId="77777777" w:rsidR="00CB03C8" w:rsidRPr="00CA291D" w:rsidRDefault="00CB03C8" w:rsidP="002D42F2">
            <w:pPr>
              <w:rPr>
                <w:rFonts w:eastAsia="Times New Roman" w:cs="Arial"/>
                <w:b/>
                <w:bCs/>
                <w:szCs w:val="20"/>
              </w:rPr>
            </w:pPr>
          </w:p>
        </w:tc>
        <w:tc>
          <w:tcPr>
            <w:tcW w:w="622" w:type="pct"/>
            <w:tcBorders>
              <w:top w:val="single" w:sz="4" w:space="0" w:color="auto"/>
              <w:left w:val="single" w:sz="12" w:space="0" w:color="auto"/>
              <w:bottom w:val="single" w:sz="12" w:space="0" w:color="auto"/>
              <w:right w:val="single" w:sz="4" w:space="0" w:color="auto"/>
            </w:tcBorders>
            <w:shd w:val="clear" w:color="auto" w:fill="auto"/>
          </w:tcPr>
          <w:p w14:paraId="656A02ED" w14:textId="77777777" w:rsidR="00CB03C8" w:rsidRPr="00CA291D" w:rsidRDefault="00CB03C8" w:rsidP="00CA291D">
            <w:pPr>
              <w:jc w:val="center"/>
              <w:rPr>
                <w:rFonts w:eastAsia="Times New Roman" w:cs="Arial"/>
                <w:b/>
                <w:szCs w:val="20"/>
              </w:rPr>
            </w:pPr>
            <w:r w:rsidRPr="00CA291D">
              <w:rPr>
                <w:rFonts w:eastAsia="Times New Roman" w:cs="Arial"/>
                <w:b/>
                <w:szCs w:val="20"/>
              </w:rPr>
              <w:t>2020</w:t>
            </w:r>
          </w:p>
        </w:tc>
        <w:tc>
          <w:tcPr>
            <w:tcW w:w="622" w:type="pct"/>
            <w:tcBorders>
              <w:top w:val="single" w:sz="4" w:space="0" w:color="auto"/>
              <w:left w:val="single" w:sz="4" w:space="0" w:color="auto"/>
              <w:bottom w:val="single" w:sz="12" w:space="0" w:color="auto"/>
              <w:right w:val="single" w:sz="4" w:space="0" w:color="auto"/>
            </w:tcBorders>
            <w:shd w:val="clear" w:color="auto" w:fill="auto"/>
          </w:tcPr>
          <w:p w14:paraId="2EFF1D1C" w14:textId="77777777" w:rsidR="00CB03C8" w:rsidRPr="00CA291D" w:rsidRDefault="00CB03C8" w:rsidP="00CA291D">
            <w:pPr>
              <w:jc w:val="center"/>
              <w:rPr>
                <w:rFonts w:eastAsia="Times New Roman" w:cs="Arial"/>
                <w:b/>
                <w:szCs w:val="20"/>
              </w:rPr>
            </w:pPr>
            <w:r w:rsidRPr="00CA291D">
              <w:rPr>
                <w:rFonts w:eastAsia="Times New Roman" w:cs="Arial"/>
                <w:b/>
                <w:szCs w:val="20"/>
              </w:rPr>
              <w:t>2025</w:t>
            </w:r>
          </w:p>
        </w:tc>
        <w:tc>
          <w:tcPr>
            <w:tcW w:w="622" w:type="pct"/>
            <w:tcBorders>
              <w:top w:val="single" w:sz="4" w:space="0" w:color="auto"/>
              <w:left w:val="single" w:sz="4" w:space="0" w:color="auto"/>
              <w:bottom w:val="single" w:sz="12" w:space="0" w:color="auto"/>
              <w:right w:val="single" w:sz="12" w:space="0" w:color="auto"/>
            </w:tcBorders>
            <w:shd w:val="clear" w:color="auto" w:fill="auto"/>
          </w:tcPr>
          <w:p w14:paraId="0C0C7AF0" w14:textId="77777777" w:rsidR="00CB03C8" w:rsidRPr="00CA291D" w:rsidRDefault="00CB03C8" w:rsidP="00CA291D">
            <w:pPr>
              <w:jc w:val="center"/>
              <w:rPr>
                <w:rFonts w:eastAsia="Times New Roman" w:cs="Arial"/>
                <w:b/>
                <w:szCs w:val="20"/>
              </w:rPr>
            </w:pPr>
            <w:r w:rsidRPr="00CA291D">
              <w:rPr>
                <w:rFonts w:eastAsia="Times New Roman" w:cs="Arial"/>
                <w:b/>
                <w:szCs w:val="20"/>
              </w:rPr>
              <w:t>2030</w:t>
            </w:r>
          </w:p>
        </w:tc>
        <w:tc>
          <w:tcPr>
            <w:tcW w:w="620" w:type="pct"/>
            <w:tcBorders>
              <w:top w:val="dotted" w:sz="4" w:space="0" w:color="auto"/>
              <w:left w:val="single" w:sz="12" w:space="0" w:color="auto"/>
              <w:bottom w:val="single" w:sz="12" w:space="0" w:color="auto"/>
              <w:right w:val="single" w:sz="4" w:space="0" w:color="auto"/>
            </w:tcBorders>
            <w:shd w:val="clear" w:color="auto" w:fill="auto"/>
          </w:tcPr>
          <w:p w14:paraId="55D512C4" w14:textId="77777777" w:rsidR="00CB03C8" w:rsidRPr="00CA291D" w:rsidRDefault="00CB03C8" w:rsidP="00CA291D">
            <w:pPr>
              <w:jc w:val="center"/>
              <w:rPr>
                <w:rFonts w:eastAsia="Times New Roman" w:cs="Arial"/>
                <w:b/>
                <w:szCs w:val="20"/>
              </w:rPr>
            </w:pPr>
            <w:r w:rsidRPr="00CA291D">
              <w:rPr>
                <w:rFonts w:eastAsia="Times New Roman" w:cs="Arial"/>
                <w:b/>
                <w:szCs w:val="20"/>
              </w:rPr>
              <w:t>2020</w:t>
            </w:r>
          </w:p>
        </w:tc>
        <w:tc>
          <w:tcPr>
            <w:tcW w:w="620" w:type="pct"/>
            <w:tcBorders>
              <w:top w:val="single" w:sz="4" w:space="0" w:color="auto"/>
              <w:left w:val="single" w:sz="4" w:space="0" w:color="auto"/>
              <w:bottom w:val="single" w:sz="12" w:space="0" w:color="auto"/>
              <w:right w:val="single" w:sz="4" w:space="0" w:color="auto"/>
            </w:tcBorders>
            <w:shd w:val="clear" w:color="auto" w:fill="auto"/>
          </w:tcPr>
          <w:p w14:paraId="6A3DD147" w14:textId="77777777" w:rsidR="00CB03C8" w:rsidRPr="00CA291D" w:rsidRDefault="00CB03C8" w:rsidP="00CA291D">
            <w:pPr>
              <w:jc w:val="center"/>
              <w:rPr>
                <w:rFonts w:eastAsia="Times New Roman" w:cs="Arial"/>
                <w:b/>
                <w:szCs w:val="20"/>
              </w:rPr>
            </w:pPr>
            <w:r w:rsidRPr="00CA291D">
              <w:rPr>
                <w:rFonts w:eastAsia="Times New Roman" w:cs="Arial"/>
                <w:b/>
                <w:szCs w:val="20"/>
              </w:rPr>
              <w:t>2025</w:t>
            </w:r>
          </w:p>
        </w:tc>
        <w:tc>
          <w:tcPr>
            <w:tcW w:w="620" w:type="pct"/>
            <w:tcBorders>
              <w:top w:val="single" w:sz="4" w:space="0" w:color="auto"/>
              <w:left w:val="single" w:sz="4" w:space="0" w:color="auto"/>
              <w:bottom w:val="single" w:sz="12" w:space="0" w:color="auto"/>
            </w:tcBorders>
            <w:shd w:val="clear" w:color="auto" w:fill="auto"/>
          </w:tcPr>
          <w:p w14:paraId="60927618" w14:textId="77777777" w:rsidR="00CB03C8" w:rsidRPr="00CA291D" w:rsidRDefault="00CB03C8" w:rsidP="00CA291D">
            <w:pPr>
              <w:jc w:val="center"/>
              <w:rPr>
                <w:rFonts w:eastAsia="Times New Roman" w:cs="Arial"/>
                <w:b/>
                <w:szCs w:val="20"/>
              </w:rPr>
            </w:pPr>
            <w:r w:rsidRPr="00CA291D">
              <w:rPr>
                <w:rFonts w:eastAsia="Times New Roman" w:cs="Arial"/>
                <w:b/>
                <w:szCs w:val="20"/>
              </w:rPr>
              <w:t>2030</w:t>
            </w:r>
          </w:p>
        </w:tc>
      </w:tr>
      <w:tr w:rsidR="00CB03C8" w:rsidRPr="005241EC" w14:paraId="49E94AD3" w14:textId="77777777" w:rsidTr="00CA291D">
        <w:trPr>
          <w:trHeight w:val="454"/>
        </w:trPr>
        <w:tc>
          <w:tcPr>
            <w:tcW w:w="1274" w:type="pct"/>
            <w:tcBorders>
              <w:top w:val="single" w:sz="12" w:space="0" w:color="auto"/>
              <w:bottom w:val="single" w:sz="8" w:space="0" w:color="auto"/>
              <w:right w:val="single" w:sz="12" w:space="0" w:color="auto"/>
            </w:tcBorders>
            <w:shd w:val="clear" w:color="auto" w:fill="FFFFFF"/>
          </w:tcPr>
          <w:p w14:paraId="62772957" w14:textId="77777777" w:rsidR="00CB03C8" w:rsidRPr="00CA291D" w:rsidRDefault="00CB03C8" w:rsidP="00AF6CA3">
            <w:pPr>
              <w:rPr>
                <w:rFonts w:eastAsia="Times New Roman" w:cs="Arial"/>
                <w:b/>
                <w:bCs/>
                <w:szCs w:val="20"/>
              </w:rPr>
            </w:pPr>
            <w:r w:rsidRPr="00CA291D">
              <w:rPr>
                <w:rFonts w:eastAsia="Times New Roman" w:cs="Arial"/>
                <w:b/>
                <w:bCs/>
                <w:szCs w:val="20"/>
              </w:rPr>
              <w:t xml:space="preserve">Private </w:t>
            </w:r>
            <w:r w:rsidR="00AF6CA3" w:rsidRPr="00CA291D">
              <w:rPr>
                <w:rFonts w:eastAsia="Times New Roman" w:cs="Arial"/>
                <w:b/>
                <w:bCs/>
                <w:szCs w:val="20"/>
              </w:rPr>
              <w:t>final co</w:t>
            </w:r>
            <w:r w:rsidRPr="00CA291D">
              <w:rPr>
                <w:rFonts w:eastAsia="Times New Roman" w:cs="Arial"/>
                <w:b/>
                <w:bCs/>
                <w:szCs w:val="20"/>
              </w:rPr>
              <w:t>nsumption Expenditure</w:t>
            </w:r>
          </w:p>
        </w:tc>
        <w:tc>
          <w:tcPr>
            <w:tcW w:w="622" w:type="pct"/>
            <w:tcBorders>
              <w:top w:val="single" w:sz="12" w:space="0" w:color="auto"/>
              <w:left w:val="single" w:sz="12" w:space="0" w:color="auto"/>
              <w:bottom w:val="single" w:sz="8" w:space="0" w:color="auto"/>
              <w:right w:val="single" w:sz="8" w:space="0" w:color="auto"/>
            </w:tcBorders>
            <w:shd w:val="clear" w:color="auto" w:fill="FFFFFF"/>
            <w:vAlign w:val="center"/>
          </w:tcPr>
          <w:p w14:paraId="1079CFF1" w14:textId="77777777" w:rsidR="00CB03C8" w:rsidRPr="005241EC" w:rsidRDefault="00CB03C8" w:rsidP="002D42F2">
            <w:pPr>
              <w:jc w:val="center"/>
              <w:rPr>
                <w:rFonts w:eastAsia="Times New Roman" w:cs="Arial"/>
                <w:szCs w:val="20"/>
              </w:rPr>
            </w:pPr>
            <w:r w:rsidRPr="005241EC">
              <w:rPr>
                <w:rFonts w:eastAsia="Times New Roman" w:cs="Arial"/>
                <w:szCs w:val="20"/>
              </w:rPr>
              <w:t>21,5</w:t>
            </w:r>
          </w:p>
        </w:tc>
        <w:tc>
          <w:tcPr>
            <w:tcW w:w="622" w:type="pct"/>
            <w:tcBorders>
              <w:top w:val="single" w:sz="12" w:space="0" w:color="auto"/>
              <w:left w:val="single" w:sz="8" w:space="0" w:color="auto"/>
              <w:bottom w:val="single" w:sz="8" w:space="0" w:color="auto"/>
              <w:right w:val="single" w:sz="8" w:space="0" w:color="auto"/>
            </w:tcBorders>
            <w:shd w:val="clear" w:color="auto" w:fill="FFFFFF"/>
            <w:vAlign w:val="center"/>
          </w:tcPr>
          <w:p w14:paraId="2C2B0228" w14:textId="77777777" w:rsidR="00CB03C8" w:rsidRPr="005241EC" w:rsidRDefault="00CB03C8" w:rsidP="002D42F2">
            <w:pPr>
              <w:jc w:val="center"/>
              <w:rPr>
                <w:rFonts w:eastAsia="Times New Roman" w:cs="Arial"/>
                <w:szCs w:val="20"/>
              </w:rPr>
            </w:pPr>
            <w:r w:rsidRPr="005241EC">
              <w:rPr>
                <w:rFonts w:eastAsia="Times New Roman" w:cs="Arial"/>
                <w:szCs w:val="20"/>
              </w:rPr>
              <w:t>34,5</w:t>
            </w:r>
          </w:p>
        </w:tc>
        <w:tc>
          <w:tcPr>
            <w:tcW w:w="622" w:type="pct"/>
            <w:tcBorders>
              <w:top w:val="single" w:sz="12" w:space="0" w:color="auto"/>
              <w:left w:val="single" w:sz="8" w:space="0" w:color="auto"/>
              <w:bottom w:val="single" w:sz="8" w:space="0" w:color="auto"/>
              <w:right w:val="single" w:sz="12" w:space="0" w:color="auto"/>
            </w:tcBorders>
            <w:shd w:val="clear" w:color="auto" w:fill="FFFFFF"/>
            <w:vAlign w:val="center"/>
          </w:tcPr>
          <w:p w14:paraId="08FE7574" w14:textId="77777777" w:rsidR="00CB03C8" w:rsidRPr="005241EC" w:rsidRDefault="00CB03C8" w:rsidP="002D42F2">
            <w:pPr>
              <w:jc w:val="center"/>
              <w:rPr>
                <w:rFonts w:eastAsia="Times New Roman" w:cs="Arial"/>
                <w:szCs w:val="20"/>
              </w:rPr>
            </w:pPr>
            <w:r w:rsidRPr="005241EC">
              <w:rPr>
                <w:rFonts w:eastAsia="Times New Roman" w:cs="Arial"/>
                <w:szCs w:val="20"/>
              </w:rPr>
              <w:t>49,7</w:t>
            </w:r>
          </w:p>
        </w:tc>
        <w:tc>
          <w:tcPr>
            <w:tcW w:w="620" w:type="pct"/>
            <w:tcBorders>
              <w:top w:val="single" w:sz="12" w:space="0" w:color="auto"/>
              <w:left w:val="single" w:sz="12" w:space="0" w:color="auto"/>
              <w:bottom w:val="single" w:sz="8" w:space="0" w:color="auto"/>
              <w:right w:val="single" w:sz="8" w:space="0" w:color="auto"/>
            </w:tcBorders>
            <w:shd w:val="clear" w:color="auto" w:fill="FFFFFF"/>
            <w:vAlign w:val="center"/>
          </w:tcPr>
          <w:p w14:paraId="24EC8A1B" w14:textId="77777777" w:rsidR="00CB03C8" w:rsidRPr="005241EC" w:rsidRDefault="00CB03C8" w:rsidP="002D42F2">
            <w:pPr>
              <w:jc w:val="center"/>
              <w:rPr>
                <w:rFonts w:eastAsia="Times New Roman" w:cs="Arial"/>
                <w:szCs w:val="20"/>
              </w:rPr>
            </w:pPr>
            <w:r w:rsidRPr="005241EC">
              <w:rPr>
                <w:rFonts w:eastAsia="Times New Roman" w:cs="Arial"/>
                <w:szCs w:val="20"/>
              </w:rPr>
              <w:t>1,3</w:t>
            </w:r>
          </w:p>
        </w:tc>
        <w:tc>
          <w:tcPr>
            <w:tcW w:w="620" w:type="pct"/>
            <w:tcBorders>
              <w:top w:val="single" w:sz="12" w:space="0" w:color="auto"/>
              <w:left w:val="single" w:sz="8" w:space="0" w:color="auto"/>
              <w:bottom w:val="single" w:sz="8" w:space="0" w:color="auto"/>
              <w:right w:val="single" w:sz="8" w:space="0" w:color="auto"/>
            </w:tcBorders>
            <w:shd w:val="clear" w:color="auto" w:fill="FFFFFF"/>
            <w:vAlign w:val="center"/>
          </w:tcPr>
          <w:p w14:paraId="217AF2AB" w14:textId="77777777" w:rsidR="00CB03C8" w:rsidRPr="005241EC" w:rsidRDefault="00CB03C8" w:rsidP="002D42F2">
            <w:pPr>
              <w:jc w:val="center"/>
              <w:rPr>
                <w:rFonts w:eastAsia="Times New Roman" w:cs="Arial"/>
                <w:szCs w:val="20"/>
              </w:rPr>
            </w:pPr>
            <w:r w:rsidRPr="005241EC">
              <w:rPr>
                <w:rFonts w:eastAsia="Times New Roman" w:cs="Arial"/>
                <w:szCs w:val="20"/>
              </w:rPr>
              <w:t>2,0</w:t>
            </w:r>
          </w:p>
        </w:tc>
        <w:tc>
          <w:tcPr>
            <w:tcW w:w="620" w:type="pct"/>
            <w:tcBorders>
              <w:top w:val="single" w:sz="12" w:space="0" w:color="auto"/>
              <w:left w:val="single" w:sz="8" w:space="0" w:color="auto"/>
              <w:bottom w:val="single" w:sz="8" w:space="0" w:color="auto"/>
              <w:right w:val="nil"/>
            </w:tcBorders>
            <w:shd w:val="clear" w:color="auto" w:fill="FFFFFF"/>
            <w:vAlign w:val="center"/>
          </w:tcPr>
          <w:p w14:paraId="04BC6131" w14:textId="77777777" w:rsidR="00CB03C8" w:rsidRPr="005241EC" w:rsidRDefault="00CB03C8" w:rsidP="002D42F2">
            <w:pPr>
              <w:jc w:val="center"/>
              <w:rPr>
                <w:rFonts w:eastAsia="Times New Roman" w:cs="Arial"/>
                <w:szCs w:val="20"/>
              </w:rPr>
            </w:pPr>
            <w:r w:rsidRPr="005241EC">
              <w:rPr>
                <w:rFonts w:eastAsia="Times New Roman" w:cs="Arial"/>
                <w:szCs w:val="20"/>
              </w:rPr>
              <w:t>2,7</w:t>
            </w:r>
          </w:p>
        </w:tc>
      </w:tr>
      <w:tr w:rsidR="00CB03C8" w:rsidRPr="005241EC" w14:paraId="34C2A634" w14:textId="77777777" w:rsidTr="00CA291D">
        <w:trPr>
          <w:trHeight w:val="454"/>
        </w:trPr>
        <w:tc>
          <w:tcPr>
            <w:tcW w:w="1274" w:type="pct"/>
            <w:tcBorders>
              <w:top w:val="single" w:sz="8" w:space="0" w:color="auto"/>
              <w:bottom w:val="single" w:sz="8" w:space="0" w:color="auto"/>
              <w:right w:val="single" w:sz="12" w:space="0" w:color="auto"/>
            </w:tcBorders>
            <w:shd w:val="clear" w:color="auto" w:fill="FFFFFF"/>
          </w:tcPr>
          <w:p w14:paraId="15E85912" w14:textId="77777777" w:rsidR="00CB03C8" w:rsidRPr="00CA291D" w:rsidRDefault="00AF6CA3" w:rsidP="00AF6CA3">
            <w:pPr>
              <w:rPr>
                <w:rFonts w:eastAsia="Times New Roman" w:cs="Arial"/>
                <w:b/>
                <w:bCs/>
                <w:szCs w:val="20"/>
              </w:rPr>
            </w:pPr>
            <w:r w:rsidRPr="00CA291D">
              <w:rPr>
                <w:rFonts w:eastAsia="Times New Roman" w:cs="Arial"/>
                <w:b/>
                <w:bCs/>
                <w:szCs w:val="20"/>
              </w:rPr>
              <w:t>Government final consumption expenditure</w:t>
            </w:r>
          </w:p>
        </w:tc>
        <w:tc>
          <w:tcPr>
            <w:tcW w:w="622" w:type="pct"/>
            <w:tcBorders>
              <w:top w:val="single" w:sz="8" w:space="0" w:color="auto"/>
              <w:left w:val="single" w:sz="12" w:space="0" w:color="auto"/>
              <w:bottom w:val="single" w:sz="8" w:space="0" w:color="auto"/>
              <w:right w:val="single" w:sz="8" w:space="0" w:color="auto"/>
            </w:tcBorders>
            <w:shd w:val="clear" w:color="auto" w:fill="FFFFFF"/>
            <w:vAlign w:val="center"/>
          </w:tcPr>
          <w:p w14:paraId="0DADC7E8" w14:textId="77777777" w:rsidR="00CB03C8" w:rsidRPr="005241EC" w:rsidRDefault="00CB03C8" w:rsidP="002D42F2">
            <w:pPr>
              <w:jc w:val="center"/>
              <w:rPr>
                <w:rFonts w:eastAsia="Times New Roman" w:cs="Arial"/>
                <w:szCs w:val="20"/>
              </w:rPr>
            </w:pPr>
            <w:r w:rsidRPr="005241EC">
              <w:rPr>
                <w:rFonts w:eastAsia="Times New Roman" w:cs="Arial"/>
                <w:szCs w:val="20"/>
              </w:rPr>
              <w:t>-0,4</w:t>
            </w:r>
          </w:p>
        </w:tc>
        <w:tc>
          <w:tcPr>
            <w:tcW w:w="622" w:type="pct"/>
            <w:tcBorders>
              <w:top w:val="single" w:sz="8" w:space="0" w:color="auto"/>
              <w:left w:val="single" w:sz="8" w:space="0" w:color="auto"/>
              <w:bottom w:val="single" w:sz="8" w:space="0" w:color="auto"/>
              <w:right w:val="single" w:sz="8" w:space="0" w:color="auto"/>
            </w:tcBorders>
            <w:shd w:val="clear" w:color="auto" w:fill="FFFFFF"/>
            <w:vAlign w:val="center"/>
          </w:tcPr>
          <w:p w14:paraId="5EDAC3E1" w14:textId="77777777" w:rsidR="00CB03C8" w:rsidRPr="005241EC" w:rsidRDefault="00CB03C8" w:rsidP="002D42F2">
            <w:pPr>
              <w:jc w:val="center"/>
              <w:rPr>
                <w:rFonts w:eastAsia="Times New Roman" w:cs="Arial"/>
                <w:szCs w:val="20"/>
              </w:rPr>
            </w:pPr>
            <w:r w:rsidRPr="005241EC">
              <w:rPr>
                <w:rFonts w:eastAsia="Times New Roman" w:cs="Arial"/>
                <w:szCs w:val="20"/>
              </w:rPr>
              <w:t>-0,4</w:t>
            </w:r>
          </w:p>
        </w:tc>
        <w:tc>
          <w:tcPr>
            <w:tcW w:w="622" w:type="pct"/>
            <w:tcBorders>
              <w:top w:val="single" w:sz="8" w:space="0" w:color="auto"/>
              <w:left w:val="single" w:sz="8" w:space="0" w:color="auto"/>
              <w:bottom w:val="single" w:sz="8" w:space="0" w:color="auto"/>
              <w:right w:val="single" w:sz="12" w:space="0" w:color="auto"/>
            </w:tcBorders>
            <w:shd w:val="clear" w:color="auto" w:fill="FFFFFF"/>
            <w:vAlign w:val="center"/>
          </w:tcPr>
          <w:p w14:paraId="09997C36" w14:textId="77777777" w:rsidR="00CB03C8" w:rsidRPr="005241EC" w:rsidRDefault="00CB03C8" w:rsidP="002D42F2">
            <w:pPr>
              <w:jc w:val="center"/>
              <w:rPr>
                <w:rFonts w:eastAsia="Times New Roman" w:cs="Arial"/>
                <w:szCs w:val="20"/>
              </w:rPr>
            </w:pPr>
            <w:r w:rsidRPr="005241EC">
              <w:rPr>
                <w:rFonts w:eastAsia="Times New Roman" w:cs="Arial"/>
                <w:szCs w:val="20"/>
              </w:rPr>
              <w:t>-0,7</w:t>
            </w:r>
          </w:p>
        </w:tc>
        <w:tc>
          <w:tcPr>
            <w:tcW w:w="620" w:type="pct"/>
            <w:tcBorders>
              <w:top w:val="single" w:sz="8" w:space="0" w:color="auto"/>
              <w:left w:val="single" w:sz="12" w:space="0" w:color="auto"/>
              <w:bottom w:val="single" w:sz="8" w:space="0" w:color="auto"/>
              <w:right w:val="single" w:sz="8" w:space="0" w:color="auto"/>
            </w:tcBorders>
            <w:shd w:val="clear" w:color="auto" w:fill="FFFFFF"/>
            <w:vAlign w:val="center"/>
          </w:tcPr>
          <w:p w14:paraId="603EE58D" w14:textId="77777777" w:rsidR="00CB03C8" w:rsidRPr="005241EC" w:rsidRDefault="00CB03C8" w:rsidP="002D42F2">
            <w:pPr>
              <w:jc w:val="center"/>
              <w:rPr>
                <w:rFonts w:eastAsia="Times New Roman" w:cs="Arial"/>
                <w:szCs w:val="20"/>
              </w:rPr>
            </w:pPr>
            <w:r w:rsidRPr="005241EC">
              <w:rPr>
                <w:rFonts w:eastAsia="Times New Roman" w:cs="Arial"/>
                <w:szCs w:val="20"/>
              </w:rPr>
              <w:t>-0,1</w:t>
            </w:r>
          </w:p>
        </w:tc>
        <w:tc>
          <w:tcPr>
            <w:tcW w:w="620" w:type="pct"/>
            <w:tcBorders>
              <w:top w:val="single" w:sz="8" w:space="0" w:color="auto"/>
              <w:left w:val="single" w:sz="8" w:space="0" w:color="auto"/>
              <w:bottom w:val="single" w:sz="8" w:space="0" w:color="auto"/>
              <w:right w:val="single" w:sz="8" w:space="0" w:color="auto"/>
            </w:tcBorders>
            <w:shd w:val="clear" w:color="auto" w:fill="FFFFFF"/>
            <w:vAlign w:val="center"/>
          </w:tcPr>
          <w:p w14:paraId="67F94C6E" w14:textId="77777777" w:rsidR="00CB03C8" w:rsidRPr="005241EC" w:rsidRDefault="00CB03C8" w:rsidP="002D42F2">
            <w:pPr>
              <w:jc w:val="center"/>
              <w:rPr>
                <w:rFonts w:eastAsia="Times New Roman" w:cs="Arial"/>
                <w:szCs w:val="20"/>
              </w:rPr>
            </w:pPr>
            <w:r w:rsidRPr="005241EC">
              <w:rPr>
                <w:rFonts w:eastAsia="Times New Roman" w:cs="Arial"/>
                <w:szCs w:val="20"/>
              </w:rPr>
              <w:t>-0,1</w:t>
            </w:r>
          </w:p>
        </w:tc>
        <w:tc>
          <w:tcPr>
            <w:tcW w:w="620" w:type="pct"/>
            <w:tcBorders>
              <w:top w:val="single" w:sz="8" w:space="0" w:color="auto"/>
              <w:left w:val="single" w:sz="8" w:space="0" w:color="auto"/>
              <w:bottom w:val="single" w:sz="8" w:space="0" w:color="auto"/>
              <w:right w:val="nil"/>
            </w:tcBorders>
            <w:shd w:val="clear" w:color="auto" w:fill="FFFFFF"/>
            <w:vAlign w:val="center"/>
          </w:tcPr>
          <w:p w14:paraId="61F5FB9D" w14:textId="77777777" w:rsidR="00CB03C8" w:rsidRPr="005241EC" w:rsidRDefault="00CB03C8" w:rsidP="002D42F2">
            <w:pPr>
              <w:jc w:val="center"/>
              <w:rPr>
                <w:rFonts w:eastAsia="Times New Roman" w:cs="Arial"/>
                <w:szCs w:val="20"/>
              </w:rPr>
            </w:pPr>
            <w:r w:rsidRPr="005241EC">
              <w:rPr>
                <w:rFonts w:eastAsia="Times New Roman" w:cs="Arial"/>
                <w:szCs w:val="20"/>
              </w:rPr>
              <w:t>-0,1</w:t>
            </w:r>
          </w:p>
        </w:tc>
      </w:tr>
      <w:tr w:rsidR="00CB03C8" w:rsidRPr="005241EC" w14:paraId="54116ECA" w14:textId="77777777" w:rsidTr="00CA291D">
        <w:trPr>
          <w:trHeight w:val="454"/>
        </w:trPr>
        <w:tc>
          <w:tcPr>
            <w:tcW w:w="1274" w:type="pct"/>
            <w:tcBorders>
              <w:top w:val="single" w:sz="8" w:space="0" w:color="auto"/>
              <w:bottom w:val="single" w:sz="8" w:space="0" w:color="auto"/>
              <w:right w:val="single" w:sz="12" w:space="0" w:color="auto"/>
            </w:tcBorders>
            <w:shd w:val="clear" w:color="auto" w:fill="FFFFFF"/>
          </w:tcPr>
          <w:p w14:paraId="2A6EEF82" w14:textId="41230D91" w:rsidR="00CB03C8" w:rsidRPr="00CA291D" w:rsidRDefault="00333C38" w:rsidP="00333C38">
            <w:pPr>
              <w:rPr>
                <w:rFonts w:eastAsia="Times New Roman" w:cs="Arial"/>
                <w:b/>
                <w:bCs/>
                <w:szCs w:val="20"/>
              </w:rPr>
            </w:pPr>
            <w:r w:rsidRPr="00CA291D">
              <w:rPr>
                <w:rFonts w:eastAsia="Times New Roman" w:cs="Arial"/>
                <w:b/>
                <w:bCs/>
                <w:szCs w:val="20"/>
              </w:rPr>
              <w:t>I</w:t>
            </w:r>
            <w:r w:rsidR="0016243F" w:rsidRPr="00CA291D">
              <w:rPr>
                <w:rFonts w:eastAsia="Times New Roman" w:cs="Arial"/>
                <w:b/>
                <w:bCs/>
                <w:szCs w:val="20"/>
              </w:rPr>
              <w:t>nvestment</w:t>
            </w:r>
            <w:r w:rsidRPr="00CA291D">
              <w:rPr>
                <w:rFonts w:eastAsia="Times New Roman" w:cs="Arial"/>
                <w:b/>
                <w:bCs/>
                <w:szCs w:val="20"/>
              </w:rPr>
              <w:t xml:space="preserve"> (equipment)</w:t>
            </w:r>
          </w:p>
        </w:tc>
        <w:tc>
          <w:tcPr>
            <w:tcW w:w="622" w:type="pct"/>
            <w:tcBorders>
              <w:top w:val="single" w:sz="8" w:space="0" w:color="auto"/>
              <w:left w:val="single" w:sz="12" w:space="0" w:color="auto"/>
              <w:bottom w:val="single" w:sz="8" w:space="0" w:color="auto"/>
              <w:right w:val="single" w:sz="8" w:space="0" w:color="auto"/>
            </w:tcBorders>
            <w:shd w:val="clear" w:color="auto" w:fill="FFFFFF"/>
            <w:vAlign w:val="center"/>
          </w:tcPr>
          <w:p w14:paraId="7CE7272A" w14:textId="77777777" w:rsidR="00CB03C8" w:rsidRPr="005241EC" w:rsidRDefault="00CB03C8" w:rsidP="002D42F2">
            <w:pPr>
              <w:jc w:val="center"/>
              <w:rPr>
                <w:rFonts w:eastAsia="Times New Roman" w:cs="Arial"/>
                <w:szCs w:val="20"/>
              </w:rPr>
            </w:pPr>
            <w:r w:rsidRPr="005241EC">
              <w:rPr>
                <w:rFonts w:eastAsia="Times New Roman" w:cs="Arial"/>
                <w:szCs w:val="20"/>
              </w:rPr>
              <w:t>9,9</w:t>
            </w:r>
          </w:p>
        </w:tc>
        <w:tc>
          <w:tcPr>
            <w:tcW w:w="622" w:type="pct"/>
            <w:tcBorders>
              <w:top w:val="single" w:sz="8" w:space="0" w:color="auto"/>
              <w:left w:val="single" w:sz="8" w:space="0" w:color="auto"/>
              <w:bottom w:val="single" w:sz="8" w:space="0" w:color="auto"/>
              <w:right w:val="single" w:sz="8" w:space="0" w:color="auto"/>
            </w:tcBorders>
            <w:shd w:val="clear" w:color="auto" w:fill="FFFFFF"/>
            <w:vAlign w:val="center"/>
          </w:tcPr>
          <w:p w14:paraId="4AD66766" w14:textId="77777777" w:rsidR="00CB03C8" w:rsidRPr="005241EC" w:rsidRDefault="00CB03C8" w:rsidP="002D42F2">
            <w:pPr>
              <w:jc w:val="center"/>
              <w:rPr>
                <w:rFonts w:eastAsia="Times New Roman" w:cs="Arial"/>
                <w:szCs w:val="20"/>
              </w:rPr>
            </w:pPr>
            <w:r w:rsidRPr="005241EC">
              <w:rPr>
                <w:rFonts w:eastAsia="Times New Roman" w:cs="Arial"/>
                <w:szCs w:val="20"/>
              </w:rPr>
              <w:t>12,7</w:t>
            </w:r>
          </w:p>
        </w:tc>
        <w:tc>
          <w:tcPr>
            <w:tcW w:w="622" w:type="pct"/>
            <w:tcBorders>
              <w:top w:val="single" w:sz="8" w:space="0" w:color="auto"/>
              <w:left w:val="single" w:sz="8" w:space="0" w:color="auto"/>
              <w:bottom w:val="single" w:sz="8" w:space="0" w:color="auto"/>
              <w:right w:val="single" w:sz="12" w:space="0" w:color="auto"/>
            </w:tcBorders>
            <w:shd w:val="clear" w:color="auto" w:fill="FFFFFF"/>
            <w:vAlign w:val="center"/>
          </w:tcPr>
          <w:p w14:paraId="1E4998B0" w14:textId="77777777" w:rsidR="00CB03C8" w:rsidRPr="005241EC" w:rsidRDefault="00CB03C8" w:rsidP="002D42F2">
            <w:pPr>
              <w:jc w:val="center"/>
              <w:rPr>
                <w:rFonts w:eastAsia="Times New Roman" w:cs="Arial"/>
                <w:szCs w:val="20"/>
              </w:rPr>
            </w:pPr>
            <w:r w:rsidRPr="005241EC">
              <w:rPr>
                <w:rFonts w:eastAsia="Times New Roman" w:cs="Arial"/>
                <w:szCs w:val="20"/>
              </w:rPr>
              <w:t>17,8</w:t>
            </w:r>
          </w:p>
        </w:tc>
        <w:tc>
          <w:tcPr>
            <w:tcW w:w="620" w:type="pct"/>
            <w:tcBorders>
              <w:top w:val="single" w:sz="8" w:space="0" w:color="auto"/>
              <w:left w:val="single" w:sz="12" w:space="0" w:color="auto"/>
              <w:bottom w:val="single" w:sz="8" w:space="0" w:color="auto"/>
              <w:right w:val="single" w:sz="8" w:space="0" w:color="auto"/>
            </w:tcBorders>
            <w:shd w:val="clear" w:color="auto" w:fill="FFFFFF"/>
            <w:vAlign w:val="center"/>
          </w:tcPr>
          <w:p w14:paraId="0873493E" w14:textId="77777777" w:rsidR="00CB03C8" w:rsidRPr="005241EC" w:rsidRDefault="00CB03C8" w:rsidP="002D42F2">
            <w:pPr>
              <w:jc w:val="center"/>
              <w:rPr>
                <w:rFonts w:eastAsia="Times New Roman" w:cs="Arial"/>
                <w:szCs w:val="20"/>
              </w:rPr>
            </w:pPr>
            <w:r w:rsidRPr="005241EC">
              <w:rPr>
                <w:rFonts w:eastAsia="Times New Roman" w:cs="Arial"/>
                <w:szCs w:val="20"/>
              </w:rPr>
              <w:t>2,8</w:t>
            </w:r>
          </w:p>
        </w:tc>
        <w:tc>
          <w:tcPr>
            <w:tcW w:w="620" w:type="pct"/>
            <w:tcBorders>
              <w:top w:val="single" w:sz="8" w:space="0" w:color="auto"/>
              <w:left w:val="single" w:sz="8" w:space="0" w:color="auto"/>
              <w:bottom w:val="single" w:sz="8" w:space="0" w:color="auto"/>
              <w:right w:val="single" w:sz="8" w:space="0" w:color="auto"/>
            </w:tcBorders>
            <w:shd w:val="clear" w:color="auto" w:fill="FFFFFF"/>
            <w:vAlign w:val="center"/>
          </w:tcPr>
          <w:p w14:paraId="49CD96EE" w14:textId="77777777" w:rsidR="00CB03C8" w:rsidRPr="005241EC" w:rsidRDefault="00CB03C8" w:rsidP="002D42F2">
            <w:pPr>
              <w:jc w:val="center"/>
              <w:rPr>
                <w:rFonts w:eastAsia="Times New Roman" w:cs="Arial"/>
                <w:szCs w:val="20"/>
              </w:rPr>
            </w:pPr>
            <w:r w:rsidRPr="005241EC">
              <w:rPr>
                <w:rFonts w:eastAsia="Times New Roman" w:cs="Arial"/>
                <w:szCs w:val="20"/>
              </w:rPr>
              <w:t>3,3</w:t>
            </w:r>
          </w:p>
        </w:tc>
        <w:tc>
          <w:tcPr>
            <w:tcW w:w="620" w:type="pct"/>
            <w:tcBorders>
              <w:top w:val="single" w:sz="8" w:space="0" w:color="auto"/>
              <w:left w:val="single" w:sz="8" w:space="0" w:color="auto"/>
              <w:bottom w:val="single" w:sz="8" w:space="0" w:color="auto"/>
              <w:right w:val="nil"/>
            </w:tcBorders>
            <w:shd w:val="clear" w:color="auto" w:fill="FFFFFF"/>
            <w:vAlign w:val="center"/>
          </w:tcPr>
          <w:p w14:paraId="6F240645" w14:textId="77777777" w:rsidR="00CB03C8" w:rsidRPr="005241EC" w:rsidRDefault="00CB03C8" w:rsidP="002D42F2">
            <w:pPr>
              <w:jc w:val="center"/>
              <w:rPr>
                <w:rFonts w:eastAsia="Times New Roman" w:cs="Arial"/>
                <w:szCs w:val="20"/>
              </w:rPr>
            </w:pPr>
            <w:r w:rsidRPr="005241EC">
              <w:rPr>
                <w:rFonts w:eastAsia="Times New Roman" w:cs="Arial"/>
                <w:szCs w:val="20"/>
              </w:rPr>
              <w:t>4,1</w:t>
            </w:r>
          </w:p>
        </w:tc>
      </w:tr>
      <w:tr w:rsidR="00CB03C8" w:rsidRPr="005241EC" w14:paraId="03B12E66" w14:textId="77777777" w:rsidTr="00CA291D">
        <w:trPr>
          <w:trHeight w:val="454"/>
        </w:trPr>
        <w:tc>
          <w:tcPr>
            <w:tcW w:w="1274" w:type="pct"/>
            <w:tcBorders>
              <w:top w:val="single" w:sz="8" w:space="0" w:color="auto"/>
              <w:bottom w:val="single" w:sz="8" w:space="0" w:color="auto"/>
              <w:right w:val="single" w:sz="12" w:space="0" w:color="auto"/>
            </w:tcBorders>
            <w:shd w:val="clear" w:color="auto" w:fill="FFFFFF"/>
          </w:tcPr>
          <w:p w14:paraId="3BD4209D" w14:textId="78CC469E" w:rsidR="00CB03C8" w:rsidRPr="00CA291D" w:rsidRDefault="00333C38" w:rsidP="00333C38">
            <w:pPr>
              <w:rPr>
                <w:rFonts w:eastAsia="Times New Roman" w:cs="Arial"/>
                <w:b/>
                <w:bCs/>
                <w:szCs w:val="20"/>
              </w:rPr>
            </w:pPr>
            <w:r w:rsidRPr="00CA291D">
              <w:rPr>
                <w:rFonts w:eastAsia="Times New Roman" w:cs="Arial"/>
                <w:b/>
                <w:bCs/>
                <w:szCs w:val="20"/>
              </w:rPr>
              <w:t>Investment (buildings)</w:t>
            </w:r>
          </w:p>
        </w:tc>
        <w:tc>
          <w:tcPr>
            <w:tcW w:w="622" w:type="pct"/>
            <w:tcBorders>
              <w:top w:val="single" w:sz="8" w:space="0" w:color="auto"/>
              <w:left w:val="single" w:sz="12" w:space="0" w:color="auto"/>
              <w:bottom w:val="single" w:sz="8" w:space="0" w:color="auto"/>
              <w:right w:val="single" w:sz="8" w:space="0" w:color="auto"/>
            </w:tcBorders>
            <w:shd w:val="clear" w:color="auto" w:fill="FFFFFF"/>
            <w:vAlign w:val="center"/>
          </w:tcPr>
          <w:p w14:paraId="53F3E9B8" w14:textId="77777777" w:rsidR="00CB03C8" w:rsidRPr="005241EC" w:rsidRDefault="00CB03C8" w:rsidP="002D42F2">
            <w:pPr>
              <w:jc w:val="center"/>
              <w:rPr>
                <w:rFonts w:eastAsia="Times New Roman" w:cs="Arial"/>
                <w:szCs w:val="20"/>
              </w:rPr>
            </w:pPr>
            <w:r w:rsidRPr="005241EC">
              <w:rPr>
                <w:rFonts w:eastAsia="Times New Roman" w:cs="Arial"/>
                <w:szCs w:val="20"/>
              </w:rPr>
              <w:t>16,9</w:t>
            </w:r>
          </w:p>
        </w:tc>
        <w:tc>
          <w:tcPr>
            <w:tcW w:w="622" w:type="pct"/>
            <w:tcBorders>
              <w:top w:val="single" w:sz="8" w:space="0" w:color="auto"/>
              <w:left w:val="single" w:sz="8" w:space="0" w:color="auto"/>
              <w:bottom w:val="single" w:sz="8" w:space="0" w:color="auto"/>
              <w:right w:val="single" w:sz="8" w:space="0" w:color="auto"/>
            </w:tcBorders>
            <w:shd w:val="clear" w:color="auto" w:fill="FFFFFF"/>
            <w:vAlign w:val="center"/>
          </w:tcPr>
          <w:p w14:paraId="4F5A2B02" w14:textId="77777777" w:rsidR="00CB03C8" w:rsidRPr="005241EC" w:rsidRDefault="00CB03C8" w:rsidP="002D42F2">
            <w:pPr>
              <w:jc w:val="center"/>
              <w:rPr>
                <w:rFonts w:eastAsia="Times New Roman" w:cs="Arial"/>
                <w:szCs w:val="20"/>
              </w:rPr>
            </w:pPr>
            <w:r w:rsidRPr="005241EC">
              <w:rPr>
                <w:rFonts w:eastAsia="Times New Roman" w:cs="Arial"/>
                <w:szCs w:val="20"/>
              </w:rPr>
              <w:t>25,5</w:t>
            </w:r>
          </w:p>
        </w:tc>
        <w:tc>
          <w:tcPr>
            <w:tcW w:w="622" w:type="pct"/>
            <w:tcBorders>
              <w:top w:val="single" w:sz="8" w:space="0" w:color="auto"/>
              <w:left w:val="single" w:sz="8" w:space="0" w:color="auto"/>
              <w:bottom w:val="single" w:sz="8" w:space="0" w:color="auto"/>
              <w:right w:val="single" w:sz="12" w:space="0" w:color="auto"/>
            </w:tcBorders>
            <w:shd w:val="clear" w:color="auto" w:fill="FFFFFF"/>
            <w:vAlign w:val="center"/>
          </w:tcPr>
          <w:p w14:paraId="5130CC88" w14:textId="77777777" w:rsidR="00CB03C8" w:rsidRPr="005241EC" w:rsidRDefault="00CB03C8" w:rsidP="002D42F2">
            <w:pPr>
              <w:jc w:val="center"/>
              <w:rPr>
                <w:rFonts w:eastAsia="Times New Roman" w:cs="Arial"/>
                <w:szCs w:val="20"/>
              </w:rPr>
            </w:pPr>
            <w:r w:rsidRPr="005241EC">
              <w:rPr>
                <w:rFonts w:eastAsia="Times New Roman" w:cs="Arial"/>
                <w:szCs w:val="20"/>
              </w:rPr>
              <w:t>34,3</w:t>
            </w:r>
          </w:p>
        </w:tc>
        <w:tc>
          <w:tcPr>
            <w:tcW w:w="620" w:type="pct"/>
            <w:tcBorders>
              <w:top w:val="single" w:sz="8" w:space="0" w:color="auto"/>
              <w:left w:val="single" w:sz="12" w:space="0" w:color="auto"/>
              <w:bottom w:val="single" w:sz="8" w:space="0" w:color="auto"/>
              <w:right w:val="single" w:sz="8" w:space="0" w:color="auto"/>
            </w:tcBorders>
            <w:shd w:val="clear" w:color="auto" w:fill="FFFFFF"/>
            <w:vAlign w:val="center"/>
          </w:tcPr>
          <w:p w14:paraId="58237152" w14:textId="77777777" w:rsidR="00CB03C8" w:rsidRPr="005241EC" w:rsidRDefault="00CB03C8" w:rsidP="002D42F2">
            <w:pPr>
              <w:jc w:val="center"/>
              <w:rPr>
                <w:rFonts w:eastAsia="Times New Roman" w:cs="Arial"/>
                <w:szCs w:val="20"/>
              </w:rPr>
            </w:pPr>
            <w:r w:rsidRPr="005241EC">
              <w:rPr>
                <w:rFonts w:eastAsia="Times New Roman" w:cs="Arial"/>
                <w:szCs w:val="20"/>
              </w:rPr>
              <w:t>6,2</w:t>
            </w:r>
          </w:p>
        </w:tc>
        <w:tc>
          <w:tcPr>
            <w:tcW w:w="620" w:type="pct"/>
            <w:tcBorders>
              <w:top w:val="single" w:sz="8" w:space="0" w:color="auto"/>
              <w:left w:val="single" w:sz="8" w:space="0" w:color="auto"/>
              <w:bottom w:val="single" w:sz="8" w:space="0" w:color="auto"/>
              <w:right w:val="single" w:sz="8" w:space="0" w:color="auto"/>
            </w:tcBorders>
            <w:shd w:val="clear" w:color="auto" w:fill="FFFFFF"/>
            <w:vAlign w:val="center"/>
          </w:tcPr>
          <w:p w14:paraId="62BF308D" w14:textId="77777777" w:rsidR="00CB03C8" w:rsidRPr="005241EC" w:rsidRDefault="00CB03C8" w:rsidP="002D42F2">
            <w:pPr>
              <w:jc w:val="center"/>
              <w:rPr>
                <w:rFonts w:eastAsia="Times New Roman" w:cs="Arial"/>
                <w:szCs w:val="20"/>
              </w:rPr>
            </w:pPr>
            <w:r w:rsidRPr="005241EC">
              <w:rPr>
                <w:rFonts w:eastAsia="Times New Roman" w:cs="Arial"/>
                <w:szCs w:val="20"/>
              </w:rPr>
              <w:t>10,3</w:t>
            </w:r>
          </w:p>
        </w:tc>
        <w:tc>
          <w:tcPr>
            <w:tcW w:w="620" w:type="pct"/>
            <w:tcBorders>
              <w:top w:val="single" w:sz="8" w:space="0" w:color="auto"/>
              <w:left w:val="single" w:sz="8" w:space="0" w:color="auto"/>
              <w:bottom w:val="single" w:sz="8" w:space="0" w:color="auto"/>
              <w:right w:val="nil"/>
            </w:tcBorders>
            <w:shd w:val="clear" w:color="auto" w:fill="FFFFFF"/>
            <w:vAlign w:val="center"/>
          </w:tcPr>
          <w:p w14:paraId="5BB6824A" w14:textId="77777777" w:rsidR="00CB03C8" w:rsidRPr="005241EC" w:rsidRDefault="00CB03C8" w:rsidP="002D42F2">
            <w:pPr>
              <w:jc w:val="center"/>
              <w:rPr>
                <w:rFonts w:eastAsia="Times New Roman" w:cs="Arial"/>
                <w:szCs w:val="20"/>
              </w:rPr>
            </w:pPr>
            <w:r w:rsidRPr="005241EC">
              <w:rPr>
                <w:rFonts w:eastAsia="Times New Roman" w:cs="Arial"/>
                <w:szCs w:val="20"/>
              </w:rPr>
              <w:t>13,5</w:t>
            </w:r>
          </w:p>
        </w:tc>
      </w:tr>
      <w:tr w:rsidR="00CB03C8" w:rsidRPr="005241EC" w14:paraId="279BB6DE" w14:textId="77777777" w:rsidTr="00CA291D">
        <w:trPr>
          <w:trHeight w:val="454"/>
        </w:trPr>
        <w:tc>
          <w:tcPr>
            <w:tcW w:w="1274" w:type="pct"/>
            <w:tcBorders>
              <w:top w:val="single" w:sz="8" w:space="0" w:color="auto"/>
              <w:bottom w:val="single" w:sz="8" w:space="0" w:color="auto"/>
              <w:right w:val="single" w:sz="12" w:space="0" w:color="auto"/>
            </w:tcBorders>
            <w:shd w:val="clear" w:color="auto" w:fill="FFFFFF"/>
          </w:tcPr>
          <w:p w14:paraId="3F4DA68B" w14:textId="77777777" w:rsidR="00CB03C8" w:rsidRPr="00CA291D" w:rsidRDefault="00CB03C8" w:rsidP="002D42F2">
            <w:pPr>
              <w:rPr>
                <w:rFonts w:eastAsia="Times New Roman" w:cs="Arial"/>
                <w:b/>
                <w:bCs/>
                <w:szCs w:val="20"/>
              </w:rPr>
            </w:pPr>
            <w:r w:rsidRPr="00CA291D">
              <w:rPr>
                <w:rFonts w:eastAsia="Times New Roman" w:cs="Arial"/>
                <w:b/>
                <w:bCs/>
                <w:szCs w:val="20"/>
              </w:rPr>
              <w:t>Exports</w:t>
            </w:r>
          </w:p>
        </w:tc>
        <w:tc>
          <w:tcPr>
            <w:tcW w:w="622" w:type="pct"/>
            <w:tcBorders>
              <w:top w:val="single" w:sz="8" w:space="0" w:color="auto"/>
              <w:left w:val="single" w:sz="12" w:space="0" w:color="auto"/>
              <w:bottom w:val="single" w:sz="8" w:space="0" w:color="auto"/>
              <w:right w:val="single" w:sz="8" w:space="0" w:color="auto"/>
            </w:tcBorders>
            <w:shd w:val="clear" w:color="auto" w:fill="FFFFFF"/>
            <w:vAlign w:val="center"/>
          </w:tcPr>
          <w:p w14:paraId="20FAF1C6" w14:textId="77777777" w:rsidR="00CB03C8" w:rsidRPr="005241EC" w:rsidRDefault="00CB03C8" w:rsidP="002D42F2">
            <w:pPr>
              <w:jc w:val="center"/>
              <w:rPr>
                <w:rFonts w:eastAsia="Times New Roman" w:cs="Arial"/>
                <w:szCs w:val="20"/>
              </w:rPr>
            </w:pPr>
            <w:r w:rsidRPr="005241EC">
              <w:rPr>
                <w:rFonts w:eastAsia="Times New Roman" w:cs="Arial"/>
                <w:szCs w:val="20"/>
              </w:rPr>
              <w:t>4,3</w:t>
            </w:r>
          </w:p>
        </w:tc>
        <w:tc>
          <w:tcPr>
            <w:tcW w:w="622" w:type="pct"/>
            <w:tcBorders>
              <w:top w:val="single" w:sz="8" w:space="0" w:color="auto"/>
              <w:left w:val="single" w:sz="8" w:space="0" w:color="auto"/>
              <w:bottom w:val="single" w:sz="8" w:space="0" w:color="auto"/>
              <w:right w:val="single" w:sz="8" w:space="0" w:color="auto"/>
            </w:tcBorders>
            <w:shd w:val="clear" w:color="auto" w:fill="FFFFFF"/>
            <w:vAlign w:val="center"/>
          </w:tcPr>
          <w:p w14:paraId="5619F326" w14:textId="77777777" w:rsidR="00CB03C8" w:rsidRPr="005241EC" w:rsidRDefault="00CB03C8" w:rsidP="002D42F2">
            <w:pPr>
              <w:jc w:val="center"/>
              <w:rPr>
                <w:rFonts w:eastAsia="Times New Roman" w:cs="Arial"/>
                <w:szCs w:val="20"/>
              </w:rPr>
            </w:pPr>
            <w:r w:rsidRPr="005241EC">
              <w:rPr>
                <w:rFonts w:eastAsia="Times New Roman" w:cs="Arial"/>
                <w:szCs w:val="20"/>
              </w:rPr>
              <w:t>4,8</w:t>
            </w:r>
          </w:p>
        </w:tc>
        <w:tc>
          <w:tcPr>
            <w:tcW w:w="622" w:type="pct"/>
            <w:tcBorders>
              <w:top w:val="single" w:sz="8" w:space="0" w:color="auto"/>
              <w:left w:val="single" w:sz="8" w:space="0" w:color="auto"/>
              <w:bottom w:val="single" w:sz="8" w:space="0" w:color="auto"/>
              <w:right w:val="single" w:sz="12" w:space="0" w:color="auto"/>
            </w:tcBorders>
            <w:shd w:val="clear" w:color="auto" w:fill="FFFFFF"/>
            <w:vAlign w:val="center"/>
          </w:tcPr>
          <w:p w14:paraId="3C91D7D0" w14:textId="77777777" w:rsidR="00CB03C8" w:rsidRPr="005241EC" w:rsidRDefault="00CB03C8" w:rsidP="002D42F2">
            <w:pPr>
              <w:jc w:val="center"/>
              <w:rPr>
                <w:rFonts w:eastAsia="Times New Roman" w:cs="Arial"/>
                <w:szCs w:val="20"/>
              </w:rPr>
            </w:pPr>
            <w:r w:rsidRPr="005241EC">
              <w:rPr>
                <w:rFonts w:eastAsia="Times New Roman" w:cs="Arial"/>
                <w:szCs w:val="20"/>
              </w:rPr>
              <w:t>2,1</w:t>
            </w:r>
          </w:p>
        </w:tc>
        <w:tc>
          <w:tcPr>
            <w:tcW w:w="620" w:type="pct"/>
            <w:tcBorders>
              <w:top w:val="single" w:sz="8" w:space="0" w:color="auto"/>
              <w:left w:val="single" w:sz="12" w:space="0" w:color="auto"/>
              <w:bottom w:val="single" w:sz="8" w:space="0" w:color="auto"/>
              <w:right w:val="single" w:sz="8" w:space="0" w:color="auto"/>
            </w:tcBorders>
            <w:shd w:val="clear" w:color="auto" w:fill="FFFFFF"/>
            <w:vAlign w:val="center"/>
          </w:tcPr>
          <w:p w14:paraId="42112CB1" w14:textId="77777777" w:rsidR="00CB03C8" w:rsidRPr="005241EC" w:rsidRDefault="00CB03C8" w:rsidP="002D42F2">
            <w:pPr>
              <w:jc w:val="center"/>
              <w:rPr>
                <w:rFonts w:eastAsia="Times New Roman" w:cs="Arial"/>
                <w:szCs w:val="20"/>
              </w:rPr>
            </w:pPr>
            <w:r w:rsidRPr="005241EC">
              <w:rPr>
                <w:rFonts w:eastAsia="Times New Roman" w:cs="Arial"/>
                <w:szCs w:val="20"/>
              </w:rPr>
              <w:t>0,3</w:t>
            </w:r>
          </w:p>
        </w:tc>
        <w:tc>
          <w:tcPr>
            <w:tcW w:w="620" w:type="pct"/>
            <w:tcBorders>
              <w:top w:val="single" w:sz="8" w:space="0" w:color="auto"/>
              <w:left w:val="single" w:sz="8" w:space="0" w:color="auto"/>
              <w:bottom w:val="single" w:sz="8" w:space="0" w:color="auto"/>
              <w:right w:val="single" w:sz="8" w:space="0" w:color="auto"/>
            </w:tcBorders>
            <w:shd w:val="clear" w:color="auto" w:fill="FFFFFF"/>
            <w:vAlign w:val="center"/>
          </w:tcPr>
          <w:p w14:paraId="27EC4BE2" w14:textId="77777777" w:rsidR="00CB03C8" w:rsidRPr="005241EC" w:rsidRDefault="00CB03C8" w:rsidP="002D42F2">
            <w:pPr>
              <w:jc w:val="center"/>
              <w:rPr>
                <w:rFonts w:eastAsia="Times New Roman" w:cs="Arial"/>
                <w:szCs w:val="20"/>
              </w:rPr>
            </w:pPr>
            <w:r w:rsidRPr="005241EC">
              <w:rPr>
                <w:rFonts w:eastAsia="Times New Roman" w:cs="Arial"/>
                <w:szCs w:val="20"/>
              </w:rPr>
              <w:t>0,2</w:t>
            </w:r>
          </w:p>
        </w:tc>
        <w:tc>
          <w:tcPr>
            <w:tcW w:w="620" w:type="pct"/>
            <w:tcBorders>
              <w:top w:val="single" w:sz="8" w:space="0" w:color="auto"/>
              <w:left w:val="single" w:sz="8" w:space="0" w:color="auto"/>
              <w:bottom w:val="single" w:sz="8" w:space="0" w:color="auto"/>
              <w:right w:val="nil"/>
            </w:tcBorders>
            <w:shd w:val="clear" w:color="auto" w:fill="FFFFFF"/>
            <w:vAlign w:val="center"/>
          </w:tcPr>
          <w:p w14:paraId="2F27DED1" w14:textId="77777777" w:rsidR="00CB03C8" w:rsidRPr="005241EC" w:rsidRDefault="00CB03C8" w:rsidP="002D42F2">
            <w:pPr>
              <w:jc w:val="center"/>
              <w:rPr>
                <w:rFonts w:eastAsia="Times New Roman" w:cs="Arial"/>
                <w:szCs w:val="20"/>
              </w:rPr>
            </w:pPr>
            <w:r w:rsidRPr="005241EC">
              <w:rPr>
                <w:rFonts w:eastAsia="Times New Roman" w:cs="Arial"/>
                <w:szCs w:val="20"/>
              </w:rPr>
              <w:t>0,1</w:t>
            </w:r>
          </w:p>
        </w:tc>
      </w:tr>
      <w:tr w:rsidR="00CB03C8" w:rsidRPr="005241EC" w14:paraId="4EE4CF45" w14:textId="77777777" w:rsidTr="00CA291D">
        <w:trPr>
          <w:trHeight w:val="454"/>
        </w:trPr>
        <w:tc>
          <w:tcPr>
            <w:tcW w:w="1274" w:type="pct"/>
            <w:tcBorders>
              <w:top w:val="single" w:sz="8" w:space="0" w:color="auto"/>
              <w:bottom w:val="single" w:sz="8" w:space="0" w:color="auto"/>
              <w:right w:val="single" w:sz="12" w:space="0" w:color="auto"/>
            </w:tcBorders>
            <w:shd w:val="clear" w:color="auto" w:fill="FFFFFF"/>
          </w:tcPr>
          <w:p w14:paraId="1BC32C4E" w14:textId="77777777" w:rsidR="00CB03C8" w:rsidRPr="00CA291D" w:rsidRDefault="00CB03C8" w:rsidP="002D42F2">
            <w:pPr>
              <w:rPr>
                <w:rFonts w:eastAsia="Times New Roman" w:cs="Arial"/>
                <w:b/>
                <w:bCs/>
                <w:szCs w:val="20"/>
              </w:rPr>
            </w:pPr>
            <w:r w:rsidRPr="00CA291D">
              <w:rPr>
                <w:rFonts w:eastAsia="Times New Roman" w:cs="Arial"/>
                <w:b/>
                <w:bCs/>
                <w:szCs w:val="20"/>
              </w:rPr>
              <w:t>Imports</w:t>
            </w:r>
          </w:p>
        </w:tc>
        <w:tc>
          <w:tcPr>
            <w:tcW w:w="622" w:type="pct"/>
            <w:tcBorders>
              <w:top w:val="single" w:sz="8" w:space="0" w:color="auto"/>
              <w:left w:val="single" w:sz="12" w:space="0" w:color="auto"/>
              <w:bottom w:val="single" w:sz="8" w:space="0" w:color="auto"/>
              <w:right w:val="single" w:sz="8" w:space="0" w:color="auto"/>
            </w:tcBorders>
            <w:shd w:val="clear" w:color="auto" w:fill="FFFFFF"/>
            <w:vAlign w:val="center"/>
          </w:tcPr>
          <w:p w14:paraId="29877505" w14:textId="77777777" w:rsidR="00CB03C8" w:rsidRPr="005241EC" w:rsidRDefault="00CB03C8" w:rsidP="002D42F2">
            <w:pPr>
              <w:jc w:val="center"/>
              <w:rPr>
                <w:rFonts w:eastAsia="Times New Roman" w:cs="Arial"/>
                <w:szCs w:val="20"/>
              </w:rPr>
            </w:pPr>
            <w:r w:rsidRPr="005241EC">
              <w:rPr>
                <w:rFonts w:eastAsia="Times New Roman" w:cs="Arial"/>
                <w:szCs w:val="20"/>
              </w:rPr>
              <w:t>9,5</w:t>
            </w:r>
          </w:p>
        </w:tc>
        <w:tc>
          <w:tcPr>
            <w:tcW w:w="622" w:type="pct"/>
            <w:tcBorders>
              <w:top w:val="single" w:sz="8" w:space="0" w:color="auto"/>
              <w:left w:val="single" w:sz="8" w:space="0" w:color="auto"/>
              <w:bottom w:val="single" w:sz="8" w:space="0" w:color="auto"/>
              <w:right w:val="single" w:sz="8" w:space="0" w:color="auto"/>
            </w:tcBorders>
            <w:shd w:val="clear" w:color="auto" w:fill="FFFFFF"/>
            <w:vAlign w:val="center"/>
          </w:tcPr>
          <w:p w14:paraId="4CA0FBA2" w14:textId="77777777" w:rsidR="00CB03C8" w:rsidRPr="005241EC" w:rsidRDefault="00CB03C8" w:rsidP="002D42F2">
            <w:pPr>
              <w:jc w:val="center"/>
              <w:rPr>
                <w:rFonts w:eastAsia="Times New Roman" w:cs="Arial"/>
                <w:szCs w:val="20"/>
              </w:rPr>
            </w:pPr>
            <w:r w:rsidRPr="005241EC">
              <w:rPr>
                <w:rFonts w:eastAsia="Times New Roman" w:cs="Arial"/>
                <w:szCs w:val="20"/>
              </w:rPr>
              <w:t>13,7</w:t>
            </w:r>
          </w:p>
        </w:tc>
        <w:tc>
          <w:tcPr>
            <w:tcW w:w="622" w:type="pct"/>
            <w:tcBorders>
              <w:top w:val="single" w:sz="8" w:space="0" w:color="auto"/>
              <w:left w:val="single" w:sz="8" w:space="0" w:color="auto"/>
              <w:bottom w:val="single" w:sz="8" w:space="0" w:color="auto"/>
              <w:right w:val="single" w:sz="12" w:space="0" w:color="auto"/>
            </w:tcBorders>
            <w:shd w:val="clear" w:color="auto" w:fill="FFFFFF"/>
            <w:vAlign w:val="center"/>
          </w:tcPr>
          <w:p w14:paraId="56E2663E" w14:textId="77777777" w:rsidR="00CB03C8" w:rsidRPr="005241EC" w:rsidRDefault="00CB03C8" w:rsidP="002D42F2">
            <w:pPr>
              <w:jc w:val="center"/>
              <w:rPr>
                <w:rFonts w:eastAsia="Times New Roman" w:cs="Arial"/>
                <w:szCs w:val="20"/>
              </w:rPr>
            </w:pPr>
            <w:r w:rsidRPr="005241EC">
              <w:rPr>
                <w:rFonts w:eastAsia="Times New Roman" w:cs="Arial"/>
                <w:szCs w:val="20"/>
              </w:rPr>
              <w:t>20,9</w:t>
            </w:r>
          </w:p>
        </w:tc>
        <w:tc>
          <w:tcPr>
            <w:tcW w:w="620" w:type="pct"/>
            <w:tcBorders>
              <w:top w:val="single" w:sz="8" w:space="0" w:color="auto"/>
              <w:left w:val="single" w:sz="12" w:space="0" w:color="auto"/>
              <w:bottom w:val="single" w:sz="8" w:space="0" w:color="auto"/>
              <w:right w:val="single" w:sz="8" w:space="0" w:color="auto"/>
            </w:tcBorders>
            <w:shd w:val="clear" w:color="auto" w:fill="FFFFFF"/>
            <w:vAlign w:val="center"/>
          </w:tcPr>
          <w:p w14:paraId="4679440C" w14:textId="77777777" w:rsidR="00CB03C8" w:rsidRPr="005241EC" w:rsidRDefault="00CB03C8" w:rsidP="002D42F2">
            <w:pPr>
              <w:jc w:val="center"/>
              <w:rPr>
                <w:rFonts w:eastAsia="Times New Roman" w:cs="Arial"/>
                <w:szCs w:val="20"/>
              </w:rPr>
            </w:pPr>
            <w:r w:rsidRPr="005241EC">
              <w:rPr>
                <w:rFonts w:eastAsia="Times New Roman" w:cs="Arial"/>
                <w:szCs w:val="20"/>
              </w:rPr>
              <w:t>0,7</w:t>
            </w:r>
          </w:p>
        </w:tc>
        <w:tc>
          <w:tcPr>
            <w:tcW w:w="620" w:type="pct"/>
            <w:tcBorders>
              <w:top w:val="single" w:sz="8" w:space="0" w:color="auto"/>
              <w:left w:val="single" w:sz="8" w:space="0" w:color="auto"/>
              <w:bottom w:val="single" w:sz="8" w:space="0" w:color="auto"/>
              <w:right w:val="single" w:sz="8" w:space="0" w:color="auto"/>
            </w:tcBorders>
            <w:shd w:val="clear" w:color="auto" w:fill="FFFFFF"/>
            <w:vAlign w:val="center"/>
          </w:tcPr>
          <w:p w14:paraId="35344CF0" w14:textId="77777777" w:rsidR="00CB03C8" w:rsidRPr="005241EC" w:rsidRDefault="00CB03C8" w:rsidP="002D42F2">
            <w:pPr>
              <w:jc w:val="center"/>
              <w:rPr>
                <w:rFonts w:eastAsia="Times New Roman" w:cs="Arial"/>
                <w:szCs w:val="20"/>
              </w:rPr>
            </w:pPr>
            <w:r w:rsidRPr="005241EC">
              <w:rPr>
                <w:rFonts w:eastAsia="Times New Roman" w:cs="Arial"/>
                <w:szCs w:val="20"/>
              </w:rPr>
              <w:t>0,8</w:t>
            </w:r>
          </w:p>
        </w:tc>
        <w:tc>
          <w:tcPr>
            <w:tcW w:w="620" w:type="pct"/>
            <w:tcBorders>
              <w:top w:val="single" w:sz="8" w:space="0" w:color="auto"/>
              <w:left w:val="single" w:sz="8" w:space="0" w:color="auto"/>
              <w:bottom w:val="single" w:sz="8" w:space="0" w:color="auto"/>
              <w:right w:val="nil"/>
            </w:tcBorders>
            <w:shd w:val="clear" w:color="auto" w:fill="FFFFFF"/>
            <w:vAlign w:val="center"/>
          </w:tcPr>
          <w:p w14:paraId="32785F17" w14:textId="77777777" w:rsidR="00CB03C8" w:rsidRPr="005241EC" w:rsidRDefault="00CB03C8" w:rsidP="002D42F2">
            <w:pPr>
              <w:jc w:val="center"/>
              <w:rPr>
                <w:rFonts w:eastAsia="Times New Roman" w:cs="Arial"/>
                <w:szCs w:val="20"/>
              </w:rPr>
            </w:pPr>
            <w:r w:rsidRPr="005241EC">
              <w:rPr>
                <w:rFonts w:eastAsia="Times New Roman" w:cs="Arial"/>
                <w:szCs w:val="20"/>
              </w:rPr>
              <w:t>1,0</w:t>
            </w:r>
          </w:p>
        </w:tc>
      </w:tr>
      <w:tr w:rsidR="00CB03C8" w:rsidRPr="00975B26" w14:paraId="498228AB" w14:textId="77777777" w:rsidTr="00CA291D">
        <w:trPr>
          <w:trHeight w:val="454"/>
        </w:trPr>
        <w:tc>
          <w:tcPr>
            <w:tcW w:w="1274" w:type="pct"/>
            <w:tcBorders>
              <w:top w:val="single" w:sz="8" w:space="0" w:color="auto"/>
              <w:bottom w:val="single" w:sz="12" w:space="0" w:color="auto"/>
              <w:right w:val="single" w:sz="12" w:space="0" w:color="auto"/>
            </w:tcBorders>
            <w:shd w:val="clear" w:color="auto" w:fill="FFFFFF"/>
          </w:tcPr>
          <w:p w14:paraId="3AF062B5" w14:textId="77777777" w:rsidR="00CB03C8" w:rsidRPr="00CA291D" w:rsidRDefault="00CB03C8" w:rsidP="002D42F2">
            <w:pPr>
              <w:rPr>
                <w:rFonts w:eastAsia="Times New Roman" w:cs="Arial"/>
                <w:b/>
                <w:bCs/>
                <w:szCs w:val="20"/>
              </w:rPr>
            </w:pPr>
            <w:r w:rsidRPr="00CA291D">
              <w:rPr>
                <w:rFonts w:eastAsia="Times New Roman" w:cs="Arial"/>
                <w:b/>
                <w:bCs/>
                <w:szCs w:val="20"/>
              </w:rPr>
              <w:t>GDP</w:t>
            </w:r>
          </w:p>
        </w:tc>
        <w:tc>
          <w:tcPr>
            <w:tcW w:w="622" w:type="pct"/>
            <w:tcBorders>
              <w:top w:val="single" w:sz="8" w:space="0" w:color="auto"/>
              <w:left w:val="single" w:sz="12" w:space="0" w:color="auto"/>
              <w:bottom w:val="single" w:sz="12" w:space="0" w:color="auto"/>
              <w:right w:val="single" w:sz="8" w:space="0" w:color="auto"/>
            </w:tcBorders>
            <w:shd w:val="clear" w:color="auto" w:fill="FFFFFF"/>
            <w:vAlign w:val="center"/>
          </w:tcPr>
          <w:p w14:paraId="33078F06" w14:textId="77777777" w:rsidR="00CB03C8" w:rsidRPr="005241EC" w:rsidRDefault="00CB03C8" w:rsidP="002D42F2">
            <w:pPr>
              <w:jc w:val="center"/>
              <w:rPr>
                <w:rFonts w:eastAsia="Times New Roman" w:cs="Arial"/>
                <w:szCs w:val="20"/>
              </w:rPr>
            </w:pPr>
            <w:r w:rsidRPr="005241EC">
              <w:rPr>
                <w:rFonts w:eastAsia="Times New Roman" w:cs="Arial"/>
                <w:szCs w:val="20"/>
              </w:rPr>
              <w:t>42,5</w:t>
            </w:r>
          </w:p>
        </w:tc>
        <w:tc>
          <w:tcPr>
            <w:tcW w:w="622" w:type="pct"/>
            <w:tcBorders>
              <w:top w:val="single" w:sz="8" w:space="0" w:color="auto"/>
              <w:left w:val="single" w:sz="8" w:space="0" w:color="auto"/>
              <w:bottom w:val="single" w:sz="12" w:space="0" w:color="auto"/>
              <w:right w:val="single" w:sz="8" w:space="0" w:color="auto"/>
            </w:tcBorders>
            <w:shd w:val="clear" w:color="auto" w:fill="FFFFFF"/>
            <w:vAlign w:val="center"/>
          </w:tcPr>
          <w:p w14:paraId="4406A7C8" w14:textId="77777777" w:rsidR="00CB03C8" w:rsidRPr="005241EC" w:rsidRDefault="00CB03C8" w:rsidP="002D42F2">
            <w:pPr>
              <w:jc w:val="center"/>
              <w:rPr>
                <w:rFonts w:eastAsia="Times New Roman" w:cs="Arial"/>
                <w:szCs w:val="20"/>
              </w:rPr>
            </w:pPr>
            <w:r w:rsidRPr="005241EC">
              <w:rPr>
                <w:rFonts w:eastAsia="Times New Roman" w:cs="Arial"/>
                <w:szCs w:val="20"/>
              </w:rPr>
              <w:t>62,5</w:t>
            </w:r>
          </w:p>
        </w:tc>
        <w:tc>
          <w:tcPr>
            <w:tcW w:w="622" w:type="pct"/>
            <w:tcBorders>
              <w:top w:val="single" w:sz="8" w:space="0" w:color="auto"/>
              <w:left w:val="single" w:sz="8" w:space="0" w:color="auto"/>
              <w:bottom w:val="single" w:sz="12" w:space="0" w:color="auto"/>
              <w:right w:val="single" w:sz="12" w:space="0" w:color="auto"/>
            </w:tcBorders>
            <w:shd w:val="clear" w:color="auto" w:fill="FFFFFF"/>
            <w:vAlign w:val="center"/>
          </w:tcPr>
          <w:p w14:paraId="4E5F6BE3" w14:textId="77777777" w:rsidR="00CB03C8" w:rsidRPr="005241EC" w:rsidRDefault="00CB03C8" w:rsidP="002D42F2">
            <w:pPr>
              <w:jc w:val="center"/>
              <w:rPr>
                <w:rFonts w:eastAsia="Times New Roman" w:cs="Arial"/>
                <w:szCs w:val="20"/>
              </w:rPr>
            </w:pPr>
            <w:r w:rsidRPr="005241EC">
              <w:rPr>
                <w:rFonts w:eastAsia="Times New Roman" w:cs="Arial"/>
                <w:szCs w:val="20"/>
              </w:rPr>
              <w:t>80,6</w:t>
            </w:r>
          </w:p>
        </w:tc>
        <w:tc>
          <w:tcPr>
            <w:tcW w:w="620" w:type="pct"/>
            <w:tcBorders>
              <w:top w:val="single" w:sz="8" w:space="0" w:color="auto"/>
              <w:left w:val="single" w:sz="12" w:space="0" w:color="auto"/>
              <w:bottom w:val="single" w:sz="12" w:space="0" w:color="auto"/>
              <w:right w:val="single" w:sz="8" w:space="0" w:color="auto"/>
            </w:tcBorders>
            <w:shd w:val="clear" w:color="auto" w:fill="FFFFFF"/>
            <w:vAlign w:val="center"/>
          </w:tcPr>
          <w:p w14:paraId="3DBAC133" w14:textId="77777777" w:rsidR="00CB03C8" w:rsidRPr="005241EC" w:rsidRDefault="00CB03C8" w:rsidP="002D42F2">
            <w:pPr>
              <w:jc w:val="center"/>
              <w:rPr>
                <w:rFonts w:eastAsia="Times New Roman" w:cs="Arial"/>
                <w:szCs w:val="20"/>
              </w:rPr>
            </w:pPr>
            <w:r w:rsidRPr="005241EC">
              <w:rPr>
                <w:rFonts w:eastAsia="Times New Roman" w:cs="Arial"/>
                <w:szCs w:val="20"/>
              </w:rPr>
              <w:t>1,4</w:t>
            </w:r>
          </w:p>
        </w:tc>
        <w:tc>
          <w:tcPr>
            <w:tcW w:w="620" w:type="pct"/>
            <w:tcBorders>
              <w:top w:val="single" w:sz="8" w:space="0" w:color="auto"/>
              <w:left w:val="single" w:sz="8" w:space="0" w:color="auto"/>
              <w:bottom w:val="single" w:sz="12" w:space="0" w:color="auto"/>
              <w:right w:val="single" w:sz="8" w:space="0" w:color="auto"/>
            </w:tcBorders>
            <w:shd w:val="clear" w:color="auto" w:fill="FFFFFF"/>
            <w:vAlign w:val="center"/>
          </w:tcPr>
          <w:p w14:paraId="4092A448" w14:textId="77777777" w:rsidR="00CB03C8" w:rsidRPr="005241EC" w:rsidRDefault="00CB03C8" w:rsidP="002D42F2">
            <w:pPr>
              <w:jc w:val="center"/>
              <w:rPr>
                <w:rFonts w:eastAsia="Times New Roman" w:cs="Arial"/>
                <w:szCs w:val="20"/>
              </w:rPr>
            </w:pPr>
            <w:r w:rsidRPr="005241EC">
              <w:rPr>
                <w:rFonts w:eastAsia="Times New Roman" w:cs="Arial"/>
                <w:szCs w:val="20"/>
              </w:rPr>
              <w:t>2,0</w:t>
            </w:r>
          </w:p>
        </w:tc>
        <w:tc>
          <w:tcPr>
            <w:tcW w:w="620" w:type="pct"/>
            <w:tcBorders>
              <w:top w:val="single" w:sz="8" w:space="0" w:color="auto"/>
              <w:left w:val="single" w:sz="8" w:space="0" w:color="auto"/>
              <w:bottom w:val="single" w:sz="12" w:space="0" w:color="auto"/>
              <w:right w:val="nil"/>
            </w:tcBorders>
            <w:shd w:val="clear" w:color="auto" w:fill="FFFFFF"/>
            <w:vAlign w:val="center"/>
          </w:tcPr>
          <w:p w14:paraId="54B5476E" w14:textId="77777777" w:rsidR="00CB03C8" w:rsidRPr="002D42F2" w:rsidRDefault="00CB03C8" w:rsidP="002D42F2">
            <w:pPr>
              <w:jc w:val="center"/>
              <w:rPr>
                <w:rFonts w:eastAsia="Times New Roman" w:cs="Arial"/>
                <w:szCs w:val="20"/>
              </w:rPr>
            </w:pPr>
            <w:r w:rsidRPr="005241EC">
              <w:rPr>
                <w:rFonts w:eastAsia="Times New Roman" w:cs="Arial"/>
                <w:szCs w:val="20"/>
              </w:rPr>
              <w:t>2,4</w:t>
            </w:r>
          </w:p>
        </w:tc>
      </w:tr>
    </w:tbl>
    <w:p w14:paraId="215EFC91" w14:textId="77777777" w:rsidR="00540190" w:rsidRDefault="00540190" w:rsidP="00702975">
      <w:pPr>
        <w:pStyle w:val="Mainbody"/>
      </w:pPr>
      <w:r w:rsidRPr="00540190">
        <w:t xml:space="preserve">Source: own calculations, GWS </w:t>
      </w:r>
    </w:p>
    <w:p w14:paraId="540C1559" w14:textId="248F3566" w:rsidR="00630618" w:rsidRPr="003202C2" w:rsidRDefault="00A521C4" w:rsidP="003A3528">
      <w:pPr>
        <w:pStyle w:val="Mainbody"/>
      </w:pPr>
      <w:r w:rsidRPr="003202C2">
        <w:t xml:space="preserve">In </w:t>
      </w:r>
      <w:r w:rsidR="00734673" w:rsidRPr="003202C2">
        <w:t>2030</w:t>
      </w:r>
      <w:r w:rsidRPr="003202C2">
        <w:t xml:space="preserve">, GDP </w:t>
      </w:r>
      <w:r w:rsidR="000E2226" w:rsidRPr="003202C2">
        <w:t>in the investment scenario is 80 bn. Euro higher than in the reference scenario, which equates to 2</w:t>
      </w:r>
      <w:r w:rsidR="00DD6C8F">
        <w:t>.</w:t>
      </w:r>
      <w:r w:rsidR="000E2226" w:rsidRPr="003202C2">
        <w:t xml:space="preserve">4 %. </w:t>
      </w:r>
      <w:r w:rsidR="003A3528">
        <w:t xml:space="preserve">Looking at the components of GDP, we find the obvious increase in investment by definition, followed by increases in consumption due to more production and increased employment as well as increases in imports from higher production. </w:t>
      </w:r>
      <w:r w:rsidR="00F13725" w:rsidRPr="003202C2">
        <w:t>The construction sector is experiencing the strongest growth compared to the reference scenario (+13</w:t>
      </w:r>
      <w:r w:rsidR="00DD6C8F">
        <w:t>.</w:t>
      </w:r>
      <w:r w:rsidR="00F13725" w:rsidRPr="003202C2">
        <w:t>5 % in 2030</w:t>
      </w:r>
      <w:r w:rsidR="003A3528">
        <w:t>), Equipment</w:t>
      </w:r>
      <w:r w:rsidR="001709F6" w:rsidRPr="003202C2">
        <w:t xml:space="preserve"> (+4</w:t>
      </w:r>
      <w:r w:rsidR="00C4644C">
        <w:t>.</w:t>
      </w:r>
      <w:r w:rsidR="00C4644C" w:rsidRPr="003202C2">
        <w:t xml:space="preserve"> 1</w:t>
      </w:r>
      <w:r w:rsidR="001709F6" w:rsidRPr="003202C2">
        <w:t xml:space="preserve"> % in 2030) and private final consumption expenditures </w:t>
      </w:r>
      <w:r w:rsidR="00E906BD" w:rsidRPr="003202C2">
        <w:t>(+2</w:t>
      </w:r>
      <w:r w:rsidR="00C4644C">
        <w:t>.</w:t>
      </w:r>
      <w:r w:rsidR="00E906BD" w:rsidRPr="003202C2">
        <w:t xml:space="preserve">7 % in 2030) </w:t>
      </w:r>
      <w:r w:rsidR="00CA291D" w:rsidRPr="003202C2">
        <w:t>are</w:t>
      </w:r>
      <w:r w:rsidR="001709F6" w:rsidRPr="003202C2">
        <w:t xml:space="preserve"> higher than in </w:t>
      </w:r>
      <w:r w:rsidR="00E906BD" w:rsidRPr="003202C2">
        <w:t xml:space="preserve">the reference scenario. </w:t>
      </w:r>
      <w:r w:rsidR="00540190" w:rsidRPr="003202C2">
        <w:t>Investment as a driver in the scenario leads to a much higher rate of investment compared to the reference scenario. In 2030, it is around 5 percent higher than in the reference.</w:t>
      </w:r>
    </w:p>
    <w:p w14:paraId="6E9BECE4" w14:textId="77777777" w:rsidR="005F6AD8" w:rsidRPr="003202C2" w:rsidRDefault="00540190" w:rsidP="00540190">
      <w:pPr>
        <w:pStyle w:val="Beschriftung"/>
      </w:pPr>
      <w:r>
        <w:t xml:space="preserve">Figure </w:t>
      </w:r>
      <w:r>
        <w:fldChar w:fldCharType="begin"/>
      </w:r>
      <w:r>
        <w:instrText xml:space="preserve"> SEQ Figure \* ARABIC </w:instrText>
      </w:r>
      <w:r>
        <w:fldChar w:fldCharType="separate"/>
      </w:r>
      <w:r w:rsidR="00AC56D1">
        <w:rPr>
          <w:noProof/>
        </w:rPr>
        <w:t>3</w:t>
      </w:r>
      <w:r>
        <w:fldChar w:fldCharType="end"/>
      </w:r>
      <w:r>
        <w:t xml:space="preserve">: </w:t>
      </w:r>
      <w:r w:rsidRPr="00540190">
        <w:t>Scenario comparison - Primary energy consumption, final energy consumption, and greenhouse gas emissions</w:t>
      </w:r>
    </w:p>
    <w:p w14:paraId="6EDBE6CE" w14:textId="77777777" w:rsidR="00490615" w:rsidRDefault="0040780F" w:rsidP="002F1D0F">
      <w:pPr>
        <w:pStyle w:val="Mainbody"/>
        <w:jc w:val="center"/>
        <w:rPr>
          <w:lang w:val="de-DE"/>
        </w:rPr>
      </w:pPr>
      <w:r>
        <w:rPr>
          <w:noProof/>
          <w:lang w:val="de-DE" w:eastAsia="de-DE"/>
        </w:rPr>
        <w:drawing>
          <wp:inline distT="0" distB="0" distL="0" distR="0" wp14:anchorId="02E711F3" wp14:editId="75A85ADC">
            <wp:extent cx="5200650" cy="2010410"/>
            <wp:effectExtent l="0" t="0" r="0" b="889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2010410"/>
                    </a:xfrm>
                    <a:prstGeom prst="rect">
                      <a:avLst/>
                    </a:prstGeom>
                    <a:noFill/>
                  </pic:spPr>
                </pic:pic>
              </a:graphicData>
            </a:graphic>
          </wp:inline>
        </w:drawing>
      </w:r>
    </w:p>
    <w:p w14:paraId="05324FF8" w14:textId="77777777" w:rsidR="002F1D0F" w:rsidRPr="003202C2" w:rsidRDefault="00540190" w:rsidP="00702975">
      <w:pPr>
        <w:pStyle w:val="Mainbody"/>
      </w:pPr>
      <w:r w:rsidRPr="003202C2">
        <w:t>Source: own calculations, GWS</w:t>
      </w:r>
    </w:p>
    <w:p w14:paraId="3629FEA3" w14:textId="31958AC1" w:rsidR="00702975" w:rsidRPr="00CA291D" w:rsidRDefault="002F1D0F" w:rsidP="00702975">
      <w:pPr>
        <w:pStyle w:val="Mainbody"/>
      </w:pPr>
      <w:r w:rsidRPr="003202C2">
        <w:t>In a scenario with higher investment targeted at GHG mitigation and green infrastructure, one has to take a closer look at the impacts on environmental indicators.</w:t>
      </w:r>
      <w:r w:rsidR="00DF06DC" w:rsidRPr="003202C2">
        <w:t xml:space="preserve"> Relative to the reference, primary energy consumption, final energy consumption and greenhouse gas emissions are all much lower by 2030. </w:t>
      </w:r>
      <w:r w:rsidR="003A3528">
        <w:t>However,</w:t>
      </w:r>
      <w:r w:rsidR="003A3528" w:rsidRPr="003202C2">
        <w:t xml:space="preserve"> </w:t>
      </w:r>
      <w:r w:rsidR="00DF06DC" w:rsidRPr="003202C2">
        <w:t xml:space="preserve">the economic activity is stimulated by an increased final demand and an increased demand for intermediate goods, this </w:t>
      </w:r>
      <w:r w:rsidR="003A3528" w:rsidRPr="003202C2">
        <w:t>activity</w:t>
      </w:r>
      <w:r w:rsidR="00DF06DC" w:rsidRPr="003202C2">
        <w:t xml:space="preserve"> leads to additional emissions emitted</w:t>
      </w:r>
      <w:r w:rsidR="003A3528">
        <w:t>, too</w:t>
      </w:r>
      <w:r w:rsidR="00DF06DC" w:rsidRPr="003202C2">
        <w:t xml:space="preserve">. </w:t>
      </w:r>
      <w:r w:rsidR="003A3528">
        <w:t xml:space="preserve">It is counterbalanced by additional efficiency and </w:t>
      </w:r>
      <w:r w:rsidR="00DF06DC" w:rsidRPr="003202C2">
        <w:t>emission reduction goals are achieved in the investment scenario than in the reference scenario.</w:t>
      </w:r>
      <w:r w:rsidR="00C4644C" w:rsidRPr="003202C2" w:rsidDel="00C4644C">
        <w:t xml:space="preserve"> </w:t>
      </w:r>
    </w:p>
    <w:p w14:paraId="041A82B8" w14:textId="77777777" w:rsidR="00702975" w:rsidRPr="00CA291D" w:rsidRDefault="00702975" w:rsidP="00702975">
      <w:pPr>
        <w:pStyle w:val="berschrift2"/>
      </w:pPr>
      <w:r w:rsidRPr="00CA291D">
        <w:t>Winners and losers</w:t>
      </w:r>
    </w:p>
    <w:p w14:paraId="0815759C" w14:textId="18885A50" w:rsidR="00B67687" w:rsidRPr="003202C2" w:rsidRDefault="00540190" w:rsidP="003A3528">
      <w:pPr>
        <w:pStyle w:val="Mainbody"/>
      </w:pPr>
      <w:r w:rsidRPr="003202C2">
        <w:t xml:space="preserve">The investment scenario comprises </w:t>
      </w:r>
      <w:r w:rsidR="003A3528">
        <w:t>impacts in different fields of the economy</w:t>
      </w:r>
      <w:r w:rsidRPr="003202C2">
        <w:t xml:space="preserve">. In order to be able to identify and assign the effects in </w:t>
      </w:r>
      <w:r w:rsidR="003A3528">
        <w:t>the respective fields</w:t>
      </w:r>
      <w:r w:rsidRPr="003202C2">
        <w:t xml:space="preserve">, sensitivities were </w:t>
      </w:r>
      <w:r w:rsidR="003A3528">
        <w:t>simulated for each field</w:t>
      </w:r>
      <w:r w:rsidRPr="003202C2">
        <w:t>.</w:t>
      </w:r>
    </w:p>
    <w:p w14:paraId="3A4D8DF5" w14:textId="30E817BD" w:rsidR="00753441" w:rsidRPr="003202C2" w:rsidRDefault="00753441" w:rsidP="00CA291D">
      <w:pPr>
        <w:pStyle w:val="Beschriftung"/>
        <w:keepNext/>
        <w:keepLines/>
      </w:pPr>
      <w:bookmarkStart w:id="4" w:name="_Ref482341492"/>
      <w:r>
        <w:t xml:space="preserve">Figure </w:t>
      </w:r>
      <w:r>
        <w:fldChar w:fldCharType="begin"/>
      </w:r>
      <w:r>
        <w:instrText xml:space="preserve"> SEQ Figure \* ARABIC </w:instrText>
      </w:r>
      <w:r>
        <w:fldChar w:fldCharType="separate"/>
      </w:r>
      <w:r w:rsidR="00AC56D1">
        <w:rPr>
          <w:noProof/>
        </w:rPr>
        <w:t>4</w:t>
      </w:r>
      <w:r>
        <w:fldChar w:fldCharType="end"/>
      </w:r>
      <w:bookmarkEnd w:id="4"/>
      <w:r>
        <w:t xml:space="preserve">: </w:t>
      </w:r>
      <w:r w:rsidR="00B67687" w:rsidRPr="00B67687">
        <w:t xml:space="preserve">Comparison of scenarios - overall economic effects </w:t>
      </w:r>
      <w:r w:rsidR="003A3528">
        <w:t>per sensitivity</w:t>
      </w:r>
      <w:r w:rsidR="00B67687" w:rsidRPr="00B67687">
        <w:t xml:space="preserve"> </w:t>
      </w:r>
    </w:p>
    <w:p w14:paraId="4C4BB0E4" w14:textId="77777777" w:rsidR="00753441" w:rsidRDefault="0040780F" w:rsidP="00CA291D">
      <w:pPr>
        <w:pStyle w:val="Mainbody"/>
        <w:keepNext/>
        <w:keepLines/>
        <w:jc w:val="center"/>
        <w:rPr>
          <w:lang w:val="de-DE"/>
        </w:rPr>
      </w:pPr>
      <w:r>
        <w:rPr>
          <w:noProof/>
          <w:lang w:val="de-DE" w:eastAsia="de-DE"/>
        </w:rPr>
        <w:drawing>
          <wp:inline distT="0" distB="0" distL="0" distR="0" wp14:anchorId="56B2A3FB" wp14:editId="1E49C0E8">
            <wp:extent cx="4885690" cy="3207385"/>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5690" cy="3207385"/>
                    </a:xfrm>
                    <a:prstGeom prst="rect">
                      <a:avLst/>
                    </a:prstGeom>
                    <a:noFill/>
                  </pic:spPr>
                </pic:pic>
              </a:graphicData>
            </a:graphic>
          </wp:inline>
        </w:drawing>
      </w:r>
    </w:p>
    <w:p w14:paraId="0ECE0036" w14:textId="77777777" w:rsidR="00540190" w:rsidRDefault="00540190" w:rsidP="00CA291D">
      <w:pPr>
        <w:pStyle w:val="Mainbody"/>
        <w:keepNext/>
        <w:keepLines/>
      </w:pPr>
      <w:r w:rsidRPr="00540190">
        <w:t xml:space="preserve">Source: own calculations, GWS </w:t>
      </w:r>
    </w:p>
    <w:p w14:paraId="0FEAC1E1" w14:textId="254100EF" w:rsidR="00EE625A" w:rsidRDefault="00B67687" w:rsidP="00E00CDD">
      <w:pPr>
        <w:pStyle w:val="Mainbody"/>
      </w:pPr>
      <w:r>
        <w:t xml:space="preserve">The </w:t>
      </w:r>
      <w:r w:rsidR="003A3528">
        <w:t xml:space="preserve">largest </w:t>
      </w:r>
      <w:r>
        <w:t>impact on gross domestic product and employment is attributable to the investment in</w:t>
      </w:r>
      <w:r w:rsidR="00BA35CA">
        <w:t xml:space="preserve"> en</w:t>
      </w:r>
      <w:r w:rsidR="00BA514D">
        <w:t>ergy-related</w:t>
      </w:r>
      <w:r>
        <w:t xml:space="preserve"> building </w:t>
      </w:r>
      <w:r w:rsidR="00BA514D">
        <w:t>refurbishment</w:t>
      </w:r>
      <w:r>
        <w:t>. In 2030, GDP is almost two percent higher than in the reference scenario. The same applies to employment, which is also half a percent higher</w:t>
      </w:r>
      <w:r w:rsidR="00EE625A">
        <w:t xml:space="preserve"> in 2030</w:t>
      </w:r>
      <w:r>
        <w:t xml:space="preserve">, despite the </w:t>
      </w:r>
      <w:r w:rsidR="00540190">
        <w:t>nearly</w:t>
      </w:r>
      <w:r>
        <w:t xml:space="preserve"> exhausted </w:t>
      </w:r>
      <w:r w:rsidR="00E00CDD">
        <w:t xml:space="preserve">labor market </w:t>
      </w:r>
      <w:r>
        <w:t>potential.</w:t>
      </w:r>
      <w:r w:rsidR="005F6AD8">
        <w:t xml:space="preserve"> </w:t>
      </w:r>
      <w:r>
        <w:t xml:space="preserve">In all other </w:t>
      </w:r>
      <w:r w:rsidR="00E00CDD">
        <w:t>areas</w:t>
      </w:r>
      <w:r>
        <w:t xml:space="preserve">, the investment </w:t>
      </w:r>
      <w:r w:rsidR="00E00CDD">
        <w:t xml:space="preserve">impact </w:t>
      </w:r>
      <w:r>
        <w:t xml:space="preserve">and energy savings also lead to clearly positive effects. GDP is at least </w:t>
      </w:r>
      <w:r w:rsidR="00EE625A">
        <w:t>half a percent</w:t>
      </w:r>
      <w:r>
        <w:t xml:space="preserve"> higher than in the reference </w:t>
      </w:r>
      <w:r w:rsidR="00EE625A">
        <w:t xml:space="preserve">scenario in all years shown in </w:t>
      </w:r>
      <w:r w:rsidR="00EE625A">
        <w:fldChar w:fldCharType="begin"/>
      </w:r>
      <w:r w:rsidR="00EE625A">
        <w:instrText xml:space="preserve"> REF _Ref482341492 \h </w:instrText>
      </w:r>
      <w:r w:rsidR="00EE625A">
        <w:fldChar w:fldCharType="separate"/>
      </w:r>
      <w:r w:rsidR="00AC56D1">
        <w:t xml:space="preserve">Figure </w:t>
      </w:r>
      <w:r w:rsidR="00AC56D1">
        <w:rPr>
          <w:noProof/>
        </w:rPr>
        <w:t>4</w:t>
      </w:r>
      <w:r w:rsidR="00EE625A">
        <w:fldChar w:fldCharType="end"/>
      </w:r>
      <w:r>
        <w:t xml:space="preserve">. </w:t>
      </w:r>
      <w:r w:rsidR="00EE625A">
        <w:t>T</w:t>
      </w:r>
      <w:r>
        <w:t xml:space="preserve">he distance to the reference </w:t>
      </w:r>
      <w:r w:rsidR="00EE625A">
        <w:t xml:space="preserve">scenario </w:t>
      </w:r>
      <w:r>
        <w:t>also increase</w:t>
      </w:r>
      <w:r w:rsidR="00EE625A">
        <w:t>s</w:t>
      </w:r>
      <w:r>
        <w:t xml:space="preserve"> over time.</w:t>
      </w:r>
      <w:r w:rsidR="00BA35CA" w:rsidRPr="00BA35CA">
        <w:t xml:space="preserve"> </w:t>
      </w:r>
      <w:r w:rsidR="00C4644C">
        <w:t>In addition,</w:t>
      </w:r>
      <w:r w:rsidR="00BA35CA">
        <w:t xml:space="preserve"> e</w:t>
      </w:r>
      <w:r w:rsidR="00BA35CA" w:rsidRPr="00BA35CA">
        <w:t xml:space="preserve">mission reduction is highest </w:t>
      </w:r>
      <w:r w:rsidR="00E00CDD">
        <w:t>from</w:t>
      </w:r>
      <w:r w:rsidR="00BA35CA" w:rsidRPr="00BA35CA">
        <w:t xml:space="preserve"> </w:t>
      </w:r>
      <w:r w:rsidR="00BA35CA">
        <w:t>e</w:t>
      </w:r>
      <w:r w:rsidR="00BA514D">
        <w:t>nergy-related</w:t>
      </w:r>
      <w:r w:rsidR="00BA35CA" w:rsidRPr="00BA35CA">
        <w:t xml:space="preserve"> </w:t>
      </w:r>
      <w:r w:rsidR="00BA35CA">
        <w:t>b</w:t>
      </w:r>
      <w:r w:rsidR="00BA35CA" w:rsidRPr="00BA35CA">
        <w:t xml:space="preserve">uilding </w:t>
      </w:r>
      <w:r w:rsidR="00BA514D">
        <w:t>refurbishment</w:t>
      </w:r>
      <w:r w:rsidR="00BA35CA" w:rsidRPr="00BA35CA">
        <w:t xml:space="preserve">. The additional expansion of </w:t>
      </w:r>
      <w:r w:rsidR="00C16729">
        <w:t xml:space="preserve">renewable </w:t>
      </w:r>
      <w:r w:rsidR="00C4644C">
        <w:t>energy</w:t>
      </w:r>
      <w:r w:rsidR="00C4644C" w:rsidRPr="00BA35CA">
        <w:t xml:space="preserve"> has</w:t>
      </w:r>
      <w:r w:rsidR="00BA35CA" w:rsidRPr="00BA35CA">
        <w:t xml:space="preserve"> a similar effect as the measures in </w:t>
      </w:r>
      <w:r w:rsidR="00381A49">
        <w:t>“</w:t>
      </w:r>
      <w:r w:rsidR="00BA35CA" w:rsidRPr="00BA35CA">
        <w:t>sustainable mobility</w:t>
      </w:r>
      <w:r w:rsidR="00381A49">
        <w:t>”,</w:t>
      </w:r>
      <w:r w:rsidR="00BA35CA" w:rsidRPr="00BA35CA">
        <w:t xml:space="preserve"> </w:t>
      </w:r>
      <w:r w:rsidR="00E00CDD">
        <w:t>in</w:t>
      </w:r>
      <w:r w:rsidR="00BA35CA" w:rsidRPr="00BA35CA">
        <w:t xml:space="preserve"> </w:t>
      </w:r>
      <w:r w:rsidR="00381A49">
        <w:t>“</w:t>
      </w:r>
      <w:r w:rsidR="00BA514D">
        <w:t xml:space="preserve">energy </w:t>
      </w:r>
      <w:r w:rsidR="00BA35CA" w:rsidRPr="00BA35CA">
        <w:t>st</w:t>
      </w:r>
      <w:r w:rsidR="00381A49">
        <w:t xml:space="preserve">orage and electricity networks” and </w:t>
      </w:r>
      <w:r w:rsidR="00E00CDD">
        <w:t>in</w:t>
      </w:r>
      <w:r w:rsidR="00381A49">
        <w:t xml:space="preserve"> “energy efficient cross-sectional and process technologies”.</w:t>
      </w:r>
    </w:p>
    <w:p w14:paraId="3C1C994C" w14:textId="0655127D" w:rsidR="00EE625A" w:rsidRDefault="00C82D87" w:rsidP="00C82D87">
      <w:pPr>
        <w:pStyle w:val="Mainbody"/>
      </w:pPr>
      <w:r>
        <w:t>While the latter are investments by the private sector, the public sector could engage in refurbishment. Moreover, t</w:t>
      </w:r>
      <w:r w:rsidR="009A0326" w:rsidRPr="009A0326">
        <w:t>he energ</w:t>
      </w:r>
      <w:r w:rsidR="00BA514D">
        <w:t>y-related</w:t>
      </w:r>
      <w:r w:rsidR="009A0326" w:rsidRPr="009A0326">
        <w:t xml:space="preserve"> </w:t>
      </w:r>
      <w:r w:rsidR="009A0326">
        <w:t>refurbishment</w:t>
      </w:r>
      <w:r w:rsidR="009A0326" w:rsidRPr="009A0326">
        <w:t xml:space="preserve"> of schools, colleges, </w:t>
      </w:r>
      <w:r w:rsidRPr="009A0326">
        <w:t>kindergar</w:t>
      </w:r>
      <w:r>
        <w:t>t</w:t>
      </w:r>
      <w:r w:rsidRPr="009A0326">
        <w:t>ens</w:t>
      </w:r>
      <w:r w:rsidR="009A0326" w:rsidRPr="009A0326">
        <w:t xml:space="preserve"> and administrative buildings fulfills </w:t>
      </w:r>
      <w:r>
        <w:t>further relevant</w:t>
      </w:r>
      <w:r w:rsidR="009A0326" w:rsidRPr="009A0326">
        <w:t xml:space="preserve"> functions. The energetic refurbishment of public buildings </w:t>
      </w:r>
      <w:r w:rsidR="009A0326">
        <w:t>has a representative character</w:t>
      </w:r>
      <w:r w:rsidR="009A0326" w:rsidRPr="009A0326">
        <w:t xml:space="preserve">. In schools and hospitals, the benefits of such a </w:t>
      </w:r>
      <w:r w:rsidR="009A0326">
        <w:t>refurbishment</w:t>
      </w:r>
      <w:r w:rsidR="009A0326" w:rsidRPr="009A0326">
        <w:t xml:space="preserve"> are directly felt by all those who visit this institution. In addition, the energy savings relieve the public budgets and release funds for </w:t>
      </w:r>
      <w:r w:rsidR="009A0326">
        <w:t xml:space="preserve">other </w:t>
      </w:r>
      <w:r w:rsidR="009A0326" w:rsidRPr="009A0326">
        <w:t>purposes.</w:t>
      </w:r>
    </w:p>
    <w:p w14:paraId="3031DA2B" w14:textId="08B2F5D1" w:rsidR="00EE625A" w:rsidRDefault="003A2EDC" w:rsidP="00C82D87">
      <w:pPr>
        <w:pStyle w:val="Mainbody"/>
      </w:pPr>
      <w:r w:rsidRPr="003A2EDC">
        <w:t>Energy</w:t>
      </w:r>
      <w:r>
        <w:t xml:space="preserve"> </w:t>
      </w:r>
      <w:r w:rsidRPr="003A2EDC">
        <w:t xml:space="preserve">efficient cross-sectional and process technologies will be one of the inevitable components of a future industrial location in Germany. Targeted investments in networked technologies to exploit efficiency potentials have not yet been the focus of efforts. Therefore, the scenario considered here is </w:t>
      </w:r>
      <w:r w:rsidR="00C82D87">
        <w:t>relevant for the energy political discussion</w:t>
      </w:r>
      <w:r w:rsidRPr="003A2EDC">
        <w:t>. It shows how investments in energy-efficient digital technology have an impact on the economy as a whole.</w:t>
      </w:r>
    </w:p>
    <w:p w14:paraId="038B6A22" w14:textId="77777777" w:rsidR="005D5D5E" w:rsidRPr="003202C2" w:rsidRDefault="005D5D5E" w:rsidP="00CA291D">
      <w:pPr>
        <w:pStyle w:val="Beschriftung"/>
        <w:keepNext/>
        <w:keepLines/>
        <w:rPr>
          <w:highlight w:val="lightGray"/>
        </w:rPr>
      </w:pPr>
      <w:r>
        <w:t xml:space="preserve">Figure </w:t>
      </w:r>
      <w:r>
        <w:fldChar w:fldCharType="begin"/>
      </w:r>
      <w:r>
        <w:instrText xml:space="preserve"> SEQ Figure \* ARABIC </w:instrText>
      </w:r>
      <w:r>
        <w:fldChar w:fldCharType="separate"/>
      </w:r>
      <w:r w:rsidR="00AC56D1">
        <w:rPr>
          <w:noProof/>
        </w:rPr>
        <w:t>5</w:t>
      </w:r>
      <w:r>
        <w:fldChar w:fldCharType="end"/>
      </w:r>
      <w:r>
        <w:t xml:space="preserve">: </w:t>
      </w:r>
      <w:r w:rsidRPr="005D5D5E">
        <w:t xml:space="preserve">Comparison of scenarios - </w:t>
      </w:r>
      <w:r w:rsidR="005D44E2">
        <w:t>employment</w:t>
      </w:r>
      <w:r w:rsidRPr="005D5D5E">
        <w:t xml:space="preserve"> effects </w:t>
      </w:r>
      <w:r w:rsidR="005D44E2">
        <w:t>in the different sectors</w:t>
      </w:r>
    </w:p>
    <w:p w14:paraId="16734AE8" w14:textId="451543AA" w:rsidR="005D5D5E" w:rsidRDefault="009E561C" w:rsidP="00CA291D">
      <w:pPr>
        <w:pStyle w:val="Mainbody"/>
        <w:keepNext/>
        <w:keepLines/>
        <w:jc w:val="center"/>
        <w:rPr>
          <w:highlight w:val="lightGray"/>
          <w:lang w:val="de-DE"/>
        </w:rPr>
      </w:pPr>
      <w:r>
        <w:rPr>
          <w:noProof/>
          <w:highlight w:val="lightGray"/>
          <w:lang w:val="de-DE" w:eastAsia="de-DE"/>
        </w:rPr>
        <w:drawing>
          <wp:inline distT="0" distB="0" distL="0" distR="0" wp14:anchorId="4141C585" wp14:editId="294E8A1D">
            <wp:extent cx="5590540" cy="482219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0540" cy="4822190"/>
                    </a:xfrm>
                    <a:prstGeom prst="rect">
                      <a:avLst/>
                    </a:prstGeom>
                    <a:noFill/>
                  </pic:spPr>
                </pic:pic>
              </a:graphicData>
            </a:graphic>
          </wp:inline>
        </w:drawing>
      </w:r>
    </w:p>
    <w:p w14:paraId="600D74BB" w14:textId="77777777" w:rsidR="005D5D5E" w:rsidRDefault="005D5D5E" w:rsidP="00CA291D">
      <w:pPr>
        <w:pStyle w:val="Mainbody"/>
        <w:keepNext/>
        <w:keepLines/>
      </w:pPr>
      <w:r w:rsidRPr="00540190">
        <w:t xml:space="preserve">Source: own calculations, GWS </w:t>
      </w:r>
    </w:p>
    <w:p w14:paraId="7F440A96" w14:textId="548D1370" w:rsidR="00B10F06" w:rsidRPr="003202C2" w:rsidRDefault="00B10F06" w:rsidP="00B10F06">
      <w:pPr>
        <w:pStyle w:val="Mainbody"/>
      </w:pPr>
      <w:r w:rsidRPr="003202C2">
        <w:t>Employment in the various sectors reacts differently to the additional investment impulses.</w:t>
      </w:r>
      <w:r w:rsidR="005D44E2" w:rsidRPr="003202C2">
        <w:t xml:space="preserve"> </w:t>
      </w:r>
      <w:r w:rsidRPr="003202C2">
        <w:t>The construction sector receives the strongest impulse, followed by the services</w:t>
      </w:r>
      <w:r w:rsidR="005D44E2" w:rsidRPr="003202C2">
        <w:t xml:space="preserve"> sector, which is</w:t>
      </w:r>
      <w:r w:rsidRPr="003202C2">
        <w:t xml:space="preserve"> involved in any increase in economic activity through the </w:t>
      </w:r>
      <w:r w:rsidR="005D44E2" w:rsidRPr="003202C2">
        <w:t>intermediate goods</w:t>
      </w:r>
      <w:r w:rsidRPr="003202C2">
        <w:t xml:space="preserve"> structures. In addition to direct investment in construction, the construction industry is</w:t>
      </w:r>
      <w:r w:rsidR="005D44E2" w:rsidRPr="003202C2">
        <w:t xml:space="preserve"> also</w:t>
      </w:r>
      <w:r w:rsidRPr="003202C2">
        <w:t xml:space="preserve"> receiving additional increases in demand via the intermediate structures, such as the expansion of </w:t>
      </w:r>
      <w:r w:rsidR="00C82D87">
        <w:t>renewable energy</w:t>
      </w:r>
      <w:r w:rsidRPr="003202C2">
        <w:t>.</w:t>
      </w:r>
    </w:p>
    <w:p w14:paraId="705728D5" w14:textId="432F9896" w:rsidR="005D5D5E" w:rsidRPr="003202C2" w:rsidRDefault="00B10F06" w:rsidP="00B10F06">
      <w:pPr>
        <w:pStyle w:val="Mainbody"/>
        <w:rPr>
          <w:highlight w:val="lightGray"/>
        </w:rPr>
      </w:pPr>
      <w:r w:rsidRPr="003202C2">
        <w:t xml:space="preserve">The manufacturing sector receives mixed impulses. On the one hand, wages and salaries are rising as more people are employed than in the reference scenario. Moreover, the situation on the labor market is becoming </w:t>
      </w:r>
      <w:r w:rsidR="00C82D87" w:rsidRPr="003202C2">
        <w:t>tenser</w:t>
      </w:r>
      <w:r w:rsidRPr="003202C2">
        <w:t xml:space="preserve">. On the other hand, there is a growing demand for the products of some </w:t>
      </w:r>
      <w:r w:rsidR="005D44E2" w:rsidRPr="003202C2">
        <w:t>industries</w:t>
      </w:r>
      <w:r w:rsidRPr="003202C2">
        <w:t>, above all the demand for mechanical engineering.</w:t>
      </w:r>
    </w:p>
    <w:p w14:paraId="5AC65575" w14:textId="13FD97B9" w:rsidR="005D5D5E" w:rsidRPr="003202C2" w:rsidRDefault="003D0FE8" w:rsidP="00753441">
      <w:pPr>
        <w:pStyle w:val="Mainbody"/>
        <w:rPr>
          <w:highlight w:val="lightGray"/>
        </w:rPr>
      </w:pPr>
      <w:r w:rsidRPr="003202C2">
        <w:t xml:space="preserve">On the one hand, mechanical engineering is not reacting markedly to wage increases and is experiencing strong additional demand impulses in the process of digitization, efficiency investments and the expansion of </w:t>
      </w:r>
      <w:r w:rsidR="00C82D87">
        <w:t>renewable energy</w:t>
      </w:r>
      <w:r w:rsidRPr="003202C2">
        <w:t>. Indirectly, it benefits from the energy savings through energy-efficient cross-sectional and process technologies and by increasing the energy efficiency of buildings. Companies in the sectors glass, ceramics, stones and earth benefit from the additional demand for their products from the construction industry and to a lesser extent from supplies to the renewable energy companies. Metal production is also benefiting from the demand for input from the construction and renewable energy industry. On the one hand, vehicle construction reacts to rising wages. On the other hand, the sector receives no direct or indirect impulses from the scenario, as does the chemical industry. Overall, it must be borne in mind that the employment effects in the manufacturing sector are very small, among other things because the work processes there are already largely automated. This applies in particular to the chemical industry and vehicle construction.</w:t>
      </w:r>
    </w:p>
    <w:p w14:paraId="05C960DE" w14:textId="6B220015" w:rsidR="00753441" w:rsidRPr="003202C2" w:rsidRDefault="00753441" w:rsidP="00753441">
      <w:pPr>
        <w:pStyle w:val="Mainbody"/>
      </w:pPr>
      <w:r w:rsidRPr="003202C2">
        <w:t xml:space="preserve">If the results are compared with the current literature such as </w:t>
      </w:r>
      <w:r w:rsidR="00231533" w:rsidRPr="003202C2">
        <w:t>BMWi (2016),</w:t>
      </w:r>
      <w:r w:rsidRPr="003202C2">
        <w:t xml:space="preserve"> the effects fit well into the picture. </w:t>
      </w:r>
      <w:r w:rsidR="00231533" w:rsidRPr="003202C2">
        <w:t>In BMWi (2016)</w:t>
      </w:r>
      <w:r w:rsidR="00C82D87" w:rsidRPr="003202C2">
        <w:t>, between</w:t>
      </w:r>
      <w:r w:rsidRPr="003202C2">
        <w:t xml:space="preserve"> 2016 and 2020</w:t>
      </w:r>
      <w:r w:rsidR="00C82D87">
        <w:t>,</w:t>
      </w:r>
      <w:r w:rsidRPr="003202C2">
        <w:t xml:space="preserve"> an additional investment of around 100 billion </w:t>
      </w:r>
      <w:r w:rsidR="00C82D87">
        <w:t>E</w:t>
      </w:r>
      <w:r w:rsidRPr="003202C2">
        <w:t>uros</w:t>
      </w:r>
      <w:r w:rsidRPr="003202C2">
        <w:rPr>
          <w:vertAlign w:val="subscript"/>
        </w:rPr>
        <w:t>2005</w:t>
      </w:r>
      <w:r w:rsidRPr="003202C2">
        <w:t xml:space="preserve"> in energy efficiency will result in some 190</w:t>
      </w:r>
      <w:r w:rsidR="00231533" w:rsidRPr="003202C2">
        <w:t>.</w:t>
      </w:r>
      <w:r w:rsidRPr="003202C2">
        <w:t>000 additional jobs. The results calculated with the ASTRA model in climate protection scenarios show a smaller but slightly positive employment impulse. The results of the economic model calculations represent the overall economic responses to a scenario that is increasingly investing in climate protection. These are positive. The effects are also positive in the individual fields of action, but their effect partly differs significantly.</w:t>
      </w:r>
    </w:p>
    <w:p w14:paraId="1995E5B0" w14:textId="741815D6" w:rsidR="00231533" w:rsidRDefault="00231533" w:rsidP="00CA291D">
      <w:pPr>
        <w:pStyle w:val="Mainbody"/>
        <w:rPr>
          <w:lang w:eastAsia="de-DE"/>
        </w:rPr>
      </w:pPr>
      <w:r w:rsidRPr="00231533">
        <w:rPr>
          <w:lang w:eastAsia="de-DE"/>
        </w:rPr>
        <w:t xml:space="preserve">The effects of the </w:t>
      </w:r>
      <w:r>
        <w:rPr>
          <w:lang w:eastAsia="de-DE"/>
        </w:rPr>
        <w:t>investment in</w:t>
      </w:r>
      <w:r w:rsidRPr="00231533">
        <w:rPr>
          <w:lang w:eastAsia="de-DE"/>
        </w:rPr>
        <w:t xml:space="preserve"> </w:t>
      </w:r>
      <w:r w:rsidR="00C16729">
        <w:rPr>
          <w:lang w:eastAsia="de-DE"/>
        </w:rPr>
        <w:t>renewable energy</w:t>
      </w:r>
      <w:r w:rsidR="00C82D87">
        <w:rPr>
          <w:lang w:eastAsia="de-DE"/>
        </w:rPr>
        <w:t xml:space="preserve"> </w:t>
      </w:r>
      <w:r w:rsidRPr="00231533">
        <w:rPr>
          <w:lang w:eastAsia="de-DE"/>
        </w:rPr>
        <w:t xml:space="preserve">fit well with the results </w:t>
      </w:r>
      <w:r>
        <w:rPr>
          <w:lang w:eastAsia="de-DE"/>
        </w:rPr>
        <w:t>in</w:t>
      </w:r>
      <w:r w:rsidRPr="00231533">
        <w:rPr>
          <w:lang w:eastAsia="de-DE"/>
        </w:rPr>
        <w:t xml:space="preserve"> Lehr et al. (2015) or Dehne et al. (2015). </w:t>
      </w:r>
      <w:r>
        <w:rPr>
          <w:lang w:eastAsia="de-DE"/>
        </w:rPr>
        <w:t>T</w:t>
      </w:r>
      <w:r w:rsidRPr="00231533">
        <w:rPr>
          <w:lang w:eastAsia="de-DE"/>
        </w:rPr>
        <w:t xml:space="preserve">he expansion of </w:t>
      </w:r>
      <w:r w:rsidR="00C16729">
        <w:rPr>
          <w:lang w:eastAsia="de-DE"/>
        </w:rPr>
        <w:t>renewable energy</w:t>
      </w:r>
      <w:r w:rsidR="00C82D87">
        <w:rPr>
          <w:lang w:eastAsia="de-DE"/>
        </w:rPr>
        <w:t xml:space="preserve"> </w:t>
      </w:r>
      <w:r w:rsidR="00302743">
        <w:rPr>
          <w:lang w:eastAsia="de-DE"/>
        </w:rPr>
        <w:t>leads to positive economic effects respectively</w:t>
      </w:r>
      <w:r w:rsidRPr="00231533">
        <w:rPr>
          <w:lang w:eastAsia="de-DE"/>
        </w:rPr>
        <w:t>. It should be noted that</w:t>
      </w:r>
      <w:r w:rsidR="00302743">
        <w:rPr>
          <w:lang w:eastAsia="de-DE"/>
        </w:rPr>
        <w:t xml:space="preserve"> regulatory uncertainties affect the</w:t>
      </w:r>
      <w:r w:rsidRPr="00231533">
        <w:rPr>
          <w:lang w:eastAsia="de-DE"/>
        </w:rPr>
        <w:t xml:space="preserve"> investment </w:t>
      </w:r>
      <w:r w:rsidR="00302743">
        <w:rPr>
          <w:lang w:eastAsia="de-DE"/>
        </w:rPr>
        <w:t xml:space="preserve">in </w:t>
      </w:r>
      <w:r w:rsidR="00C16729">
        <w:rPr>
          <w:lang w:eastAsia="de-DE"/>
        </w:rPr>
        <w:t>renewable energy</w:t>
      </w:r>
      <w:r w:rsidR="00C82D87">
        <w:rPr>
          <w:lang w:eastAsia="de-DE"/>
        </w:rPr>
        <w:t xml:space="preserve"> </w:t>
      </w:r>
      <w:r w:rsidR="00302743">
        <w:rPr>
          <w:lang w:eastAsia="de-DE"/>
        </w:rPr>
        <w:t>negatively</w:t>
      </w:r>
      <w:r w:rsidRPr="00231533">
        <w:rPr>
          <w:lang w:eastAsia="de-DE"/>
        </w:rPr>
        <w:t xml:space="preserve">. The results presented here regarding the growth and employment impact of an additional expansion of </w:t>
      </w:r>
      <w:r w:rsidR="00C16729">
        <w:rPr>
          <w:lang w:eastAsia="de-DE"/>
        </w:rPr>
        <w:t>renewable energy</w:t>
      </w:r>
      <w:r w:rsidR="00C82D87">
        <w:rPr>
          <w:lang w:eastAsia="de-DE"/>
        </w:rPr>
        <w:t xml:space="preserve"> </w:t>
      </w:r>
      <w:r w:rsidRPr="00231533">
        <w:rPr>
          <w:lang w:eastAsia="de-DE"/>
        </w:rPr>
        <w:t>suggest that investors will now have a secure investment environment in which the additional demand can be effective.</w:t>
      </w:r>
    </w:p>
    <w:p w14:paraId="5E4828ED" w14:textId="77777777" w:rsidR="00910EB9" w:rsidRDefault="00C33EE0" w:rsidP="00EF7C7D">
      <w:pPr>
        <w:pStyle w:val="berschrift1"/>
      </w:pPr>
      <w:r>
        <w:t>Conclusion</w:t>
      </w:r>
      <w:r w:rsidR="0032746C">
        <w:t xml:space="preserve"> and outlook</w:t>
      </w:r>
    </w:p>
    <w:p w14:paraId="395AFF54" w14:textId="32E32341" w:rsidR="00E2034D" w:rsidRPr="00BA077E" w:rsidRDefault="00E2034D" w:rsidP="0032746C">
      <w:pPr>
        <w:pStyle w:val="Mainbody"/>
      </w:pPr>
      <w:r w:rsidRPr="00BA077E">
        <w:t xml:space="preserve">The results of the economic model calculations </w:t>
      </w:r>
      <w:r w:rsidR="0032746C">
        <w:t>show</w:t>
      </w:r>
      <w:r w:rsidR="0032746C" w:rsidRPr="00BA077E">
        <w:t xml:space="preserve"> </w:t>
      </w:r>
      <w:r w:rsidR="0032746C">
        <w:t>positive</w:t>
      </w:r>
      <w:r w:rsidR="0032746C" w:rsidRPr="00BA077E">
        <w:t xml:space="preserve"> </w:t>
      </w:r>
      <w:r w:rsidRPr="00BA077E">
        <w:t>overall economic responses to a scenario that is increasingly investing in climate protection</w:t>
      </w:r>
      <w:r w:rsidR="0032746C">
        <w:t xml:space="preserve"> measures</w:t>
      </w:r>
      <w:r w:rsidRPr="00BA077E">
        <w:t xml:space="preserve">. </w:t>
      </w:r>
      <w:r w:rsidR="00FE6CA2" w:rsidRPr="00BA077E">
        <w:t>Moreover, t</w:t>
      </w:r>
      <w:r w:rsidRPr="00BA077E">
        <w:t xml:space="preserve">he effects </w:t>
      </w:r>
      <w:r w:rsidR="00FE6CA2" w:rsidRPr="00BA077E">
        <w:t>are positive for each single measure</w:t>
      </w:r>
      <w:r w:rsidRPr="00BA077E">
        <w:t>, but their effect</w:t>
      </w:r>
      <w:r w:rsidR="00FB1902">
        <w:t>s differ</w:t>
      </w:r>
      <w:r w:rsidRPr="00BA077E">
        <w:t xml:space="preserve"> significantly.</w:t>
      </w:r>
    </w:p>
    <w:p w14:paraId="73020B1C" w14:textId="264E8511" w:rsidR="00E2034D" w:rsidRPr="00BA077E" w:rsidRDefault="00FE6CA2" w:rsidP="0032746C">
      <w:pPr>
        <w:pStyle w:val="Mainbody"/>
      </w:pPr>
      <w:r w:rsidRPr="00BA077E">
        <w:t>The resulting growth effects are not particularly large</w:t>
      </w:r>
      <w:r w:rsidR="00E2034D" w:rsidRPr="00BA077E">
        <w:t xml:space="preserve">, expressed </w:t>
      </w:r>
      <w:r w:rsidR="0032746C">
        <w:t>as</w:t>
      </w:r>
      <w:r w:rsidR="0032746C" w:rsidRPr="00BA077E">
        <w:t xml:space="preserve"> </w:t>
      </w:r>
      <w:r w:rsidR="00E2034D" w:rsidRPr="00BA077E">
        <w:t xml:space="preserve">changes in GDP. </w:t>
      </w:r>
      <w:r w:rsidRPr="00BA077E">
        <w:t xml:space="preserve">The largest specific impact is found in efficiency increases, in particular in industry. This is due to two effects: firstly, many efficient technologies are produced in </w:t>
      </w:r>
      <w:r w:rsidR="00C82D87" w:rsidRPr="00BA077E">
        <w:t>Germany;</w:t>
      </w:r>
      <w:r w:rsidRPr="00BA077E">
        <w:t xml:space="preserve"> </w:t>
      </w:r>
      <w:r w:rsidR="00C82D87" w:rsidRPr="00BA077E">
        <w:t>therefore,</w:t>
      </w:r>
      <w:r w:rsidRPr="00BA077E">
        <w:t xml:space="preserve"> additional investment directly increases domestic demand and production. Secondly, most efficient technology have a rather short payback period and are actually economically efficient. The barriers lie somewhere else. </w:t>
      </w:r>
      <w:r w:rsidR="00E2034D" w:rsidRPr="00BA077E">
        <w:t xml:space="preserve">The increase in energy efficiency by means of cross-sectional and process technologies leads to energy savings. The latter </w:t>
      </w:r>
      <w:r w:rsidRPr="00BA077E">
        <w:t>enhances</w:t>
      </w:r>
      <w:r w:rsidR="00E2034D" w:rsidRPr="00BA077E">
        <w:t xml:space="preserve"> in the positive effects in the economic cycle, since what is saved in energy expenditure can be spent again for other purposes. The energetic building renovation pays for itself in the long term, so the savings are also used for the counter-financing of the investment over a longer period. </w:t>
      </w:r>
      <w:r w:rsidRPr="00BA077E">
        <w:t xml:space="preserve">Renewable energy </w:t>
      </w:r>
      <w:r w:rsidR="00E2034D" w:rsidRPr="00BA077E">
        <w:t>lead</w:t>
      </w:r>
      <w:r w:rsidRPr="00BA077E">
        <w:t>s</w:t>
      </w:r>
      <w:r w:rsidR="00E2034D" w:rsidRPr="00BA077E">
        <w:t xml:space="preserve"> to revenues from the operators, but in the short to medium </w:t>
      </w:r>
      <w:r w:rsidR="00C82D87" w:rsidRPr="00BA077E">
        <w:t>term,</w:t>
      </w:r>
      <w:r w:rsidR="00E2034D" w:rsidRPr="00BA077E">
        <w:t xml:space="preserve"> they increase the prices for those consumers who are burdened with them. This reduces the effect on GDP.</w:t>
      </w:r>
    </w:p>
    <w:p w14:paraId="307129F5" w14:textId="7BCCB239" w:rsidR="00C33EE0" w:rsidRDefault="00E2034D" w:rsidP="0032746C">
      <w:pPr>
        <w:pStyle w:val="Mainbody"/>
      </w:pPr>
      <w:r w:rsidRPr="00BA077E">
        <w:t xml:space="preserve">In terms of employment, labor intensity in the construction industry overlays all other effects. Infrastructure investment in the "Sustainable Mobility" area therefore has the </w:t>
      </w:r>
      <w:r w:rsidR="0032746C">
        <w:t>largest</w:t>
      </w:r>
      <w:r w:rsidR="0032746C" w:rsidRPr="00BA077E">
        <w:t xml:space="preserve"> </w:t>
      </w:r>
      <w:r w:rsidRPr="00BA077E">
        <w:t>impact on employment, followed by the energetic building renovation. Also with regard to employment, the expansion of renewable energy has relatively little effect.</w:t>
      </w:r>
    </w:p>
    <w:p w14:paraId="00636E5B" w14:textId="77777777" w:rsidR="0032746C" w:rsidRDefault="0032746C" w:rsidP="0032746C">
      <w:pPr>
        <w:pStyle w:val="Mainbody"/>
      </w:pPr>
      <w:r>
        <w:t xml:space="preserve">The literature on economic effects of climate change mitigation often focuses on one instrument, most often a carbon price, or selected economic sectors and selected measures. This paper contributes a cross sectional view and brings together bottom-up analyses of different measures, the discussion on the benefits of industry 4.0 and digitalization and the debate on raising the investment rate in Germany. </w:t>
      </w:r>
    </w:p>
    <w:p w14:paraId="0EB3D0A4" w14:textId="15DC4B41" w:rsidR="001C5C8D" w:rsidRDefault="0032746C" w:rsidP="0032746C">
      <w:pPr>
        <w:pStyle w:val="Mainbody"/>
      </w:pPr>
      <w:r>
        <w:t xml:space="preserve">However, the limits of the current analysis points at further research needs: </w:t>
      </w:r>
      <w:r w:rsidR="0034486D">
        <w:t xml:space="preserve">As stated earlier, this study only </w:t>
      </w:r>
      <w:r w:rsidR="004B59B0">
        <w:t>focused</w:t>
      </w:r>
      <w:r w:rsidR="0034486D">
        <w:t xml:space="preserve"> on a selection of those lead</w:t>
      </w:r>
      <w:r w:rsidR="001C5C8D">
        <w:t xml:space="preserve"> </w:t>
      </w:r>
      <w:r w:rsidR="0034486D">
        <w:t>markets that are expected to attract large future infrastruct</w:t>
      </w:r>
      <w:r w:rsidR="001C5C8D">
        <w:t>u</w:t>
      </w:r>
      <w:r w:rsidR="0034486D">
        <w:t xml:space="preserve">re </w:t>
      </w:r>
      <w:r w:rsidR="004B59B0">
        <w:t>investments</w:t>
      </w:r>
      <w:r w:rsidR="0034486D">
        <w:t xml:space="preserve"> due to their high contributions to Germanys GHG emissions. Other lead markets such as agriculture were not taken into account. Additionally, we do not make any suggestions on policy instrument to attract such large amounts of capital. This will be an important direction of future research. </w:t>
      </w:r>
      <w:r w:rsidR="001C5C8D">
        <w:t xml:space="preserve">For instance, it can be observed that refurbishment rates </w:t>
      </w:r>
      <w:r w:rsidR="004B59B0">
        <w:t>cannot</w:t>
      </w:r>
      <w:r w:rsidR="001C5C8D">
        <w:t xml:space="preserve"> keep up with expectations. However, to meet climate change mitigation</w:t>
      </w:r>
      <w:r>
        <w:t>,</w:t>
      </w:r>
      <w:r w:rsidR="001C5C8D">
        <w:t xml:space="preserve"> </w:t>
      </w:r>
      <w:r w:rsidR="004B59B0">
        <w:t>commitment</w:t>
      </w:r>
      <w:r>
        <w:t xml:space="preserve"> to </w:t>
      </w:r>
      <w:r w:rsidR="004B59B0">
        <w:t xml:space="preserve">energy efficiency plays </w:t>
      </w:r>
      <w:r>
        <w:t>a</w:t>
      </w:r>
      <w:r w:rsidR="004B59B0">
        <w:t xml:space="preserve"> central rule. </w:t>
      </w:r>
    </w:p>
    <w:p w14:paraId="7EC7A463" w14:textId="77777777" w:rsidR="00C33EE0" w:rsidRPr="00BA077E" w:rsidRDefault="00C33EE0" w:rsidP="00BA077E">
      <w:pPr>
        <w:pStyle w:val="berschrift1"/>
      </w:pPr>
      <w:r w:rsidRPr="00BA077E">
        <w:t>References</w:t>
      </w:r>
    </w:p>
    <w:p w14:paraId="1EF19E07" w14:textId="77777777" w:rsidR="00CA291D" w:rsidRDefault="00CA291D" w:rsidP="00CA291D">
      <w:pPr>
        <w:pStyle w:val="Mainbody"/>
        <w:ind w:left="567" w:hanging="567"/>
      </w:pPr>
      <w:r w:rsidRPr="00CA291D">
        <w:rPr>
          <w:lang w:val="de-DE"/>
        </w:rPr>
        <w:t xml:space="preserve">Doll, C.; Hartwig, J.; Senger, F.; SchadeI, W.; Maibach, M.; Sutter, D.; Bertschmann, D.; Lambrecht, U.; Knörr, W., and Dünnebeil, F. (2012): Wirtschaftliche Aspekte nichttechnischer Maßnahmen zur Emissionsminderung im Verkehr. </w:t>
      </w:r>
      <w:r>
        <w:t>Schlussbericht. Dessau-Roßlau: Umweltbundesamt.</w:t>
      </w:r>
    </w:p>
    <w:p w14:paraId="36483AA0" w14:textId="77777777" w:rsidR="00CA291D" w:rsidRDefault="00CA291D" w:rsidP="00CA291D">
      <w:pPr>
        <w:pStyle w:val="Mainbody"/>
        <w:ind w:left="567" w:hanging="567"/>
      </w:pPr>
      <w:r w:rsidRPr="00BA077E">
        <w:t>Alm, B, Meurers, M. (2015)</w:t>
      </w:r>
      <w:r>
        <w:t>,</w:t>
      </w:r>
      <w:r w:rsidRPr="00BA077E">
        <w:t xml:space="preserve"> Essential Facts on Weak Investment Levels in G</w:t>
      </w:r>
      <w:r>
        <w:t>ermany, Wirtschaftsdienst 2015.</w:t>
      </w:r>
    </w:p>
    <w:p w14:paraId="0BFDDBED" w14:textId="77777777" w:rsidR="00CA291D" w:rsidRPr="00CA291D" w:rsidRDefault="00CA291D" w:rsidP="00CA291D">
      <w:pPr>
        <w:pStyle w:val="Mainbody"/>
        <w:ind w:left="567" w:hanging="567"/>
      </w:pPr>
      <w:r w:rsidRPr="00CA291D">
        <w:t>Frankfurt School-UNEP Centre/BNEF. 2017. Global Trends in Renewable Energy Investment 2017, http://www.fs-unep-centre.org (Frankfurt am Main)</w:t>
      </w:r>
    </w:p>
    <w:p w14:paraId="24EAD7BC" w14:textId="77777777" w:rsidR="00CA291D" w:rsidRDefault="00CA291D" w:rsidP="00CA291D">
      <w:pPr>
        <w:pStyle w:val="Mainbody"/>
        <w:ind w:left="567" w:hanging="567"/>
      </w:pPr>
      <w:r w:rsidRPr="004E394B">
        <w:t>Lutz, C., Meyer, B., Nathani, C. &amp; Schleich, J. (2005), Endogenous technological change and emissions: The case of the German steel industry. Energy Policy 33 (9), 1143-1154.</w:t>
      </w:r>
    </w:p>
    <w:p w14:paraId="60630975" w14:textId="77777777" w:rsidR="00CA291D" w:rsidRDefault="00CA291D" w:rsidP="00CA291D">
      <w:pPr>
        <w:pStyle w:val="Mainbody"/>
        <w:ind w:left="567" w:hanging="567"/>
      </w:pPr>
      <w:r w:rsidRPr="000778DB">
        <w:t>Lehr, U., Nitsch, J., Kratzat, M., Lutz, C., Edler, D. (2008), Renewable energy and employment in Germany. Energy Policy 36, 108-117.</w:t>
      </w:r>
    </w:p>
    <w:p w14:paraId="526EB641" w14:textId="77777777" w:rsidR="00CA291D" w:rsidRDefault="00CA291D" w:rsidP="00CA291D">
      <w:pPr>
        <w:pStyle w:val="Mainbody"/>
        <w:ind w:left="567" w:hanging="567"/>
      </w:pPr>
      <w:r w:rsidRPr="000778DB">
        <w:t>Meyer, B., Meyer, M., Distelkamp M. (2012), Modeling Green Growth and Resource Efficiency: New Results. Mineral Economics 25, 145-154.</w:t>
      </w:r>
    </w:p>
    <w:p w14:paraId="7C52B2E7" w14:textId="77777777" w:rsidR="00CA291D" w:rsidRDefault="00CA291D" w:rsidP="00CA291D">
      <w:pPr>
        <w:pStyle w:val="Mainbody"/>
        <w:ind w:left="567" w:hanging="567"/>
      </w:pPr>
      <w:r w:rsidRPr="000778DB">
        <w:t>Maier, T., Mönnig, A. &amp; Zika, G. (2015), Labour demand in Germany by industrial sector, occupational field and qualification until 2025 - model calculations using the IAB/INFORGE model. Economic Systems Research 27, 19-42. DOI: 10.1080/09535314.2014.997678</w:t>
      </w:r>
    </w:p>
    <w:p w14:paraId="0BA63937" w14:textId="77777777" w:rsidR="00CA291D" w:rsidRDefault="00CA291D" w:rsidP="00CA291D">
      <w:pPr>
        <w:pStyle w:val="Mainbody"/>
        <w:ind w:left="567" w:hanging="567"/>
      </w:pPr>
      <w:r w:rsidRPr="000778DB">
        <w:t>Lutz, C. (2011), Energy scenarios for Germany: simulations with the model PANTA RHEI. In: Mullins, D., Viljoen, J., Leeuwner, H. (eds) Interindustry based analysis of macroeconomic forecasting. Proceedings from the 19th INFORUM World Conference, Pretoria, 203–224.</w:t>
      </w:r>
    </w:p>
    <w:p w14:paraId="02ED98AC" w14:textId="77777777" w:rsidR="00CA291D" w:rsidRDefault="00CA291D" w:rsidP="00CA291D">
      <w:pPr>
        <w:pStyle w:val="Mainbody"/>
        <w:ind w:left="567" w:hanging="567"/>
      </w:pPr>
      <w:r w:rsidRPr="000778DB">
        <w:t>Welfens, P. J. J., Lutz, C. (2012), Green ICT dynamics: key issues and findings for Germany. Mineral Economics 24, 155–163.</w:t>
      </w:r>
    </w:p>
    <w:p w14:paraId="7006BFF8" w14:textId="77777777" w:rsidR="00CA291D" w:rsidRDefault="00CA291D" w:rsidP="00CA291D">
      <w:pPr>
        <w:pStyle w:val="Mainbody"/>
        <w:ind w:left="567" w:hanging="567"/>
      </w:pPr>
      <w:r w:rsidRPr="000778DB">
        <w:t>Lehr, U., Lutz, C., Edler, D. (2012), Green jobs? Economic imp</w:t>
      </w:r>
      <w:bookmarkStart w:id="5" w:name="_GoBack"/>
      <w:bookmarkEnd w:id="5"/>
      <w:r w:rsidRPr="000778DB">
        <w:t>acts of renewable energy in Germany. Energy Policy 47, 358-364.</w:t>
      </w:r>
    </w:p>
    <w:p w14:paraId="4DFF83DB" w14:textId="77777777" w:rsidR="00CA291D" w:rsidRDefault="00CA291D" w:rsidP="00CA291D">
      <w:pPr>
        <w:pStyle w:val="Mainbody"/>
        <w:ind w:left="567" w:hanging="567"/>
      </w:pPr>
      <w:r w:rsidRPr="000778DB">
        <w:t>Lutz, C., Lehr, U. &amp; Ulrich, P. (2014), Economic Evaluation of Climate Protection Measures in Germany. International Journal of Energy Economics and Policy 4(4), 693-705.</w:t>
      </w:r>
    </w:p>
    <w:p w14:paraId="5E725594" w14:textId="77777777" w:rsidR="00CA291D" w:rsidRDefault="00CA291D" w:rsidP="00CA291D">
      <w:pPr>
        <w:pStyle w:val="Mainbody"/>
        <w:ind w:left="567" w:hanging="567"/>
      </w:pPr>
      <w:r w:rsidRPr="000778DB">
        <w:t>Lehr, U., Nieters, A. &amp; Drosdowski, T. (2016), Extreme Weather Events and the German Economy: The Potential for Climate Change Adaptation. In: Leal Filho, W., Musa, H., Cavan, G., O'Hare, P., Seixas, J. (eds): Climate Change, Adaptation, Resilience and Hazards, 125-141, Springer.</w:t>
      </w:r>
    </w:p>
    <w:p w14:paraId="6349F39E" w14:textId="77777777" w:rsidR="00CA291D" w:rsidRPr="00CA291D" w:rsidRDefault="00CA291D" w:rsidP="00CA291D">
      <w:pPr>
        <w:pStyle w:val="Mainbody"/>
        <w:ind w:left="567" w:hanging="567"/>
      </w:pPr>
      <w:r w:rsidRPr="00CA291D">
        <w:t>BMWi (2016), Grünbuch Energieeffizienz. Diskussionspapier des Bundesministeriums für Wirtschaft und Energie. Berlin.</w:t>
      </w:r>
    </w:p>
    <w:p w14:paraId="2713E0F9" w14:textId="77777777" w:rsidR="00CA291D" w:rsidRPr="00CA291D" w:rsidRDefault="00CA291D" w:rsidP="00CA291D">
      <w:pPr>
        <w:pStyle w:val="Mainbody"/>
        <w:ind w:left="567" w:hanging="567"/>
      </w:pPr>
      <w:r w:rsidRPr="00CA291D">
        <w:rPr>
          <w:lang w:val="de-DE"/>
        </w:rPr>
        <w:t xml:space="preserve">Dehne, N.; Mattes, A.; Traber, T. 2015: Die Beschäftigungseffekte der Energiewende. </w:t>
      </w:r>
      <w:r w:rsidRPr="00CA291D">
        <w:t xml:space="preserve">Eine Expertise für den BWE und die Deutsche Messe. Berlin: DIW Econ GmbH. </w:t>
      </w:r>
    </w:p>
    <w:p w14:paraId="40AA6B80" w14:textId="77777777" w:rsidR="00CA291D" w:rsidRPr="00CA291D" w:rsidRDefault="00CA291D" w:rsidP="00CA291D">
      <w:pPr>
        <w:pStyle w:val="Mainbody"/>
        <w:ind w:left="567" w:hanging="567"/>
      </w:pPr>
      <w:r w:rsidRPr="00CA291D">
        <w:rPr>
          <w:lang w:val="de-DE"/>
        </w:rPr>
        <w:t xml:space="preserve">Lehr, U.; Ulrich, P; Lutz, C.; Thobe, I.; Edler, D.; O'Sullivan, M.; Simon, S.; Naegler, T.; Pfenning, U.; Peter, F.; Sakowski, F.; Bickel, P. 2015: Beschäftigung durch erneuerbare Energien in Deutschland: Ausbau und Betrieb, heute und morgen. </w:t>
      </w:r>
      <w:r w:rsidRPr="00CA291D">
        <w:t>Studie im Auftrag des BMWi. Osnabrück, Berlin, Stuttgart: GWS, DIW, DLR, Prognos AG, ZSK.</w:t>
      </w:r>
    </w:p>
    <w:p w14:paraId="64EAEC6F" w14:textId="77777777" w:rsidR="00CA291D" w:rsidRPr="00CA291D" w:rsidRDefault="00CA291D" w:rsidP="00CA291D">
      <w:pPr>
        <w:pStyle w:val="Mainbody"/>
        <w:ind w:left="567" w:hanging="567"/>
      </w:pPr>
      <w:r w:rsidRPr="00CA291D">
        <w:rPr>
          <w:lang w:val="de-DE"/>
        </w:rPr>
        <w:t xml:space="preserve">Böhmer, M.; and Thamling, N. 2013: Ermittlung der Wachstumswirkungen der KfW-Programme zum Energieeffizienten Bauen und Sanieren. </w:t>
      </w:r>
      <w:r w:rsidRPr="00CA291D">
        <w:t>Im Auftrag der KfW Bankengruppe. Basel: Prognos AG.</w:t>
      </w:r>
    </w:p>
    <w:p w14:paraId="237D3D7C" w14:textId="77777777" w:rsidR="00CA291D" w:rsidRPr="00CA291D" w:rsidRDefault="00CA291D" w:rsidP="00CA291D">
      <w:pPr>
        <w:pStyle w:val="Mainbody"/>
        <w:ind w:left="567" w:hanging="567"/>
      </w:pPr>
      <w:r w:rsidRPr="00CA291D">
        <w:t>Repenning, J., Emele, L., Blanck, R., Dehoust, G., Förster, H., Greiner, B., Harthan, R., Hennenberg, K., Hermann, H., Jörß, W., Ludig, S., Loreck, C., Scheffler, M., Schumacher, K., Wiegmann, K., Zell-Ziegler, C., Braungardt, S., Eichhammer, W., Elsland, R., Fleiter, T., Hartwig, J., Kockat, J., Pfluger, B., Schade, W., Schlomann, B., Sensfuß F. and Ziesing, H. (2015): Klimaschutzszenario 2050.</w:t>
      </w:r>
    </w:p>
    <w:p w14:paraId="16AC8BC0" w14:textId="77777777" w:rsidR="00CA291D" w:rsidRPr="00CA291D" w:rsidRDefault="00CA291D" w:rsidP="00CA291D">
      <w:pPr>
        <w:pStyle w:val="Mainbody"/>
        <w:ind w:left="567" w:hanging="567"/>
      </w:pPr>
      <w:r w:rsidRPr="00CA291D">
        <w:rPr>
          <w:lang w:val="de-DE"/>
        </w:rPr>
        <w:t xml:space="preserve">Schlesinger, M., Lindenberger, D. and Lutz, C. (2014): Entwicklung der Energiemärkte – Energierefe-renzprognose. </w:t>
      </w:r>
      <w:r w:rsidRPr="00CA291D">
        <w:t>Endbericht. Projekt Nr. 57/12. Studie im Auftrag des BMWi. Basel: Prognos AG; Köln: EWI; Osnabrück: GWS.</w:t>
      </w:r>
    </w:p>
    <w:p w14:paraId="747A0616" w14:textId="77777777" w:rsidR="00CA291D" w:rsidRDefault="00CA291D" w:rsidP="00CA291D">
      <w:pPr>
        <w:pStyle w:val="Mainbody"/>
        <w:ind w:left="567" w:hanging="567"/>
      </w:pPr>
      <w:r w:rsidRPr="00CA291D">
        <w:t>IEA (2016), World Energy Outlook, Paris November 2016.</w:t>
      </w:r>
    </w:p>
    <w:p w14:paraId="128A4E40" w14:textId="5EE8A020" w:rsidR="00CA291D" w:rsidRPr="00CA291D" w:rsidRDefault="00CA291D" w:rsidP="00CA291D">
      <w:pPr>
        <w:pStyle w:val="Mainbody"/>
        <w:ind w:left="567" w:hanging="567"/>
      </w:pPr>
      <w:r>
        <w:t>INTERNET:</w:t>
      </w:r>
    </w:p>
    <w:p w14:paraId="7E129A72" w14:textId="77777777" w:rsidR="00CA291D" w:rsidRPr="00CA291D" w:rsidRDefault="00CA291D" w:rsidP="00CA291D">
      <w:pPr>
        <w:pStyle w:val="Mainbody"/>
      </w:pPr>
      <w:r w:rsidRPr="00CA291D">
        <w:t>http://www.fvee.de/fileadmin/publikationen/Politische_Papiere_FVEE/14.IWES_Roadmap-Speicher/14_IWES-etal_Roadmap_Speicher_Langfassung.pdf</w:t>
      </w:r>
    </w:p>
    <w:p w14:paraId="2ABBFBA1" w14:textId="77777777" w:rsidR="00CA291D" w:rsidRPr="00CA291D" w:rsidRDefault="00CA291D" w:rsidP="00CA291D">
      <w:pPr>
        <w:pStyle w:val="Mainbody"/>
      </w:pPr>
      <w:r w:rsidRPr="00CA291D">
        <w:t>http://www.fvee.de/fileadmin/publikationen/Politische_Papiere_FVEE/14.IWES_Roadmap-Speicher/14_IWES-etal_Roadmap_Speicher_Langfassung.pdf</w:t>
      </w:r>
    </w:p>
    <w:p w14:paraId="08B11ED7" w14:textId="77777777" w:rsidR="00CA291D" w:rsidRPr="00CA291D" w:rsidRDefault="00CA291D" w:rsidP="00356422">
      <w:pPr>
        <w:pStyle w:val="Mainbody"/>
      </w:pPr>
      <w:r w:rsidRPr="00CA291D">
        <w:t>https://www.smartgrid.gov/document/smart_grid_race_worth_winning_report_economic_benefits_smart_grid</w:t>
      </w:r>
    </w:p>
    <w:p w14:paraId="0DF8DF4C" w14:textId="77777777" w:rsidR="00CA291D" w:rsidRPr="00CA291D" w:rsidRDefault="00CA291D" w:rsidP="00356422">
      <w:pPr>
        <w:pStyle w:val="Mainbody"/>
      </w:pPr>
      <w:r w:rsidRPr="00CA291D">
        <w:t>http://industrie40.vdma.org/documents/4214230/5356229/IWU%20Vortrag%20Mark%20Richter/d1060b17-9c8b-450b-8dcf-cb66ddfa95be</w:t>
      </w:r>
    </w:p>
    <w:p w14:paraId="1F9B1B23" w14:textId="77777777" w:rsidR="00CA291D" w:rsidRPr="00CA291D" w:rsidRDefault="00CA291D" w:rsidP="00356422">
      <w:pPr>
        <w:pStyle w:val="Mainbody"/>
        <w:rPr>
          <w:rFonts w:ascii="Arial" w:eastAsia="Times New Roman" w:hAnsi="Arial" w:cs="Arial"/>
          <w:color w:val="000000"/>
          <w:sz w:val="20"/>
          <w:szCs w:val="20"/>
        </w:rPr>
      </w:pPr>
      <w:r w:rsidRPr="00CA291D">
        <w:rPr>
          <w:rFonts w:ascii="Arial" w:eastAsia="Times New Roman" w:hAnsi="Arial" w:cs="Arial"/>
          <w:color w:val="000000"/>
          <w:sz w:val="20"/>
          <w:szCs w:val="20"/>
        </w:rPr>
        <w:t>https://www.ensys.tu-berlin.de/fileadmin/fg8/Downloads/NeueEntwicklungen/SS2014/Schmitt__Jonas_-_Industrie_4.0.pdf</w:t>
      </w:r>
    </w:p>
    <w:p w14:paraId="1C6CCDDB" w14:textId="77777777" w:rsidR="00CA291D" w:rsidRPr="00CA291D" w:rsidRDefault="00CA291D" w:rsidP="00356422">
      <w:pPr>
        <w:pStyle w:val="Mainbody"/>
        <w:rPr>
          <w:rFonts w:ascii="Arial" w:eastAsia="Times New Roman" w:hAnsi="Arial" w:cs="Arial"/>
          <w:color w:val="000000"/>
          <w:sz w:val="20"/>
          <w:szCs w:val="20"/>
        </w:rPr>
      </w:pPr>
      <w:r w:rsidRPr="00CA291D">
        <w:rPr>
          <w:rFonts w:ascii="Arial" w:eastAsia="Times New Roman" w:hAnsi="Arial" w:cs="Arial"/>
          <w:color w:val="000000"/>
          <w:sz w:val="20"/>
          <w:szCs w:val="20"/>
        </w:rPr>
        <w:t>http://www.energy.siemens.com/de/de/energiewende-deutschland/energieeffizienz.htm</w:t>
      </w:r>
    </w:p>
    <w:p w14:paraId="1522109F" w14:textId="77777777" w:rsidR="00CA291D" w:rsidRPr="00CA291D" w:rsidRDefault="00CA291D" w:rsidP="00356422">
      <w:pPr>
        <w:pStyle w:val="Mainbody"/>
        <w:rPr>
          <w:rFonts w:ascii="Arial" w:eastAsia="Times New Roman" w:hAnsi="Arial" w:cs="Arial"/>
          <w:color w:val="000000"/>
          <w:sz w:val="20"/>
          <w:szCs w:val="20"/>
        </w:rPr>
      </w:pPr>
      <w:r w:rsidRPr="00CA291D">
        <w:rPr>
          <w:rFonts w:ascii="Arial" w:eastAsia="Times New Roman" w:hAnsi="Arial" w:cs="Arial"/>
          <w:color w:val="000000"/>
          <w:sz w:val="20"/>
          <w:szCs w:val="20"/>
        </w:rPr>
        <w:t>http://www.fraunhofer.de/content/dam/zv/de/forschungsthemen/energie/Studie_Energieeffizienz-in-der-Produktion.pdf</w:t>
      </w:r>
    </w:p>
    <w:p w14:paraId="56E450DE" w14:textId="77777777" w:rsidR="00CA291D" w:rsidRPr="00CA291D" w:rsidRDefault="00CA291D" w:rsidP="00356422">
      <w:pPr>
        <w:pStyle w:val="Mainbody"/>
        <w:rPr>
          <w:rFonts w:ascii="Arial" w:eastAsia="Times New Roman" w:hAnsi="Arial" w:cs="Arial"/>
          <w:color w:val="000000"/>
          <w:sz w:val="20"/>
          <w:szCs w:val="20"/>
        </w:rPr>
      </w:pPr>
      <w:r w:rsidRPr="00CA291D">
        <w:rPr>
          <w:rFonts w:ascii="Arial" w:eastAsia="Times New Roman" w:hAnsi="Arial" w:cs="Arial"/>
          <w:color w:val="000000"/>
          <w:sz w:val="20"/>
          <w:szCs w:val="20"/>
        </w:rPr>
        <w:t>http://wissenschaftstag.metropolregionnuernberg.de/fileadmin/wissenschaftstag/WT15/Praesentationen/WT15_Zukunftswelten_Plessing_Energieeffizienz.pdf</w:t>
      </w:r>
    </w:p>
    <w:p w14:paraId="0FFF3BD4" w14:textId="77777777" w:rsidR="00CA291D" w:rsidRPr="00CA291D" w:rsidRDefault="00CA291D" w:rsidP="00356422">
      <w:pPr>
        <w:pStyle w:val="Mainbody"/>
        <w:rPr>
          <w:rFonts w:ascii="Arial" w:eastAsia="Times New Roman" w:hAnsi="Arial" w:cs="Arial"/>
          <w:color w:val="000000"/>
          <w:sz w:val="20"/>
          <w:szCs w:val="20"/>
        </w:rPr>
      </w:pPr>
      <w:r w:rsidRPr="00CA291D">
        <w:rPr>
          <w:rFonts w:ascii="Arial" w:eastAsia="Times New Roman" w:hAnsi="Arial" w:cs="Arial"/>
          <w:color w:val="000000"/>
          <w:sz w:val="20"/>
          <w:szCs w:val="20"/>
        </w:rPr>
        <w:t>https://www.ensys.tu-berlin.de/fileadmin/fg8/Downloads/NeueEntwicklungen/SS2014/Schmitt__Jonas_-_Industrie_4.0.pdf</w:t>
      </w:r>
    </w:p>
    <w:p w14:paraId="4DA6EC10" w14:textId="77777777" w:rsidR="00CA291D" w:rsidRPr="00CA291D" w:rsidRDefault="00CA291D" w:rsidP="00356422">
      <w:pPr>
        <w:pStyle w:val="Mainbody"/>
        <w:rPr>
          <w:rFonts w:ascii="Arial" w:eastAsia="Times New Roman" w:hAnsi="Arial" w:cs="Arial"/>
          <w:color w:val="000000"/>
          <w:sz w:val="20"/>
          <w:szCs w:val="20"/>
        </w:rPr>
      </w:pPr>
      <w:r w:rsidRPr="00CA291D">
        <w:rPr>
          <w:rFonts w:ascii="Arial" w:eastAsia="Times New Roman" w:hAnsi="Arial" w:cs="Arial"/>
          <w:color w:val="000000"/>
          <w:sz w:val="20"/>
          <w:szCs w:val="20"/>
        </w:rPr>
        <w:t>http://www.energy.siemens.com/de/de/energiewende-deutschland/energieeffizienz.htm</w:t>
      </w:r>
    </w:p>
    <w:p w14:paraId="17BAF68F" w14:textId="77777777" w:rsidR="00CA291D" w:rsidRPr="00CA291D" w:rsidRDefault="00CA291D" w:rsidP="00356422">
      <w:pPr>
        <w:pStyle w:val="Mainbody"/>
        <w:rPr>
          <w:rFonts w:ascii="Arial" w:eastAsia="Times New Roman" w:hAnsi="Arial" w:cs="Arial"/>
          <w:color w:val="000000"/>
          <w:sz w:val="20"/>
          <w:szCs w:val="20"/>
        </w:rPr>
      </w:pPr>
      <w:r w:rsidRPr="00CA291D">
        <w:rPr>
          <w:rFonts w:ascii="Arial" w:eastAsia="Times New Roman" w:hAnsi="Arial" w:cs="Arial"/>
          <w:color w:val="000000"/>
          <w:sz w:val="20"/>
          <w:szCs w:val="20"/>
        </w:rPr>
        <w:t>http://www.fraunhofer.de/content/dam/zv/de/forschungsthemen/energie/Studie_Energieeffizienz-in-der-Produktion.pdf</w:t>
      </w:r>
    </w:p>
    <w:p w14:paraId="7A919021" w14:textId="77777777" w:rsidR="00CA291D" w:rsidRPr="00CA291D" w:rsidRDefault="00CA291D" w:rsidP="00356422">
      <w:pPr>
        <w:pStyle w:val="Mainbody"/>
        <w:rPr>
          <w:rFonts w:ascii="Arial" w:eastAsia="Times New Roman" w:hAnsi="Arial" w:cs="Arial"/>
          <w:color w:val="000000"/>
          <w:sz w:val="20"/>
          <w:szCs w:val="20"/>
        </w:rPr>
      </w:pPr>
      <w:r w:rsidRPr="00CA291D">
        <w:rPr>
          <w:rFonts w:ascii="Arial" w:eastAsia="Times New Roman" w:hAnsi="Arial" w:cs="Arial"/>
          <w:color w:val="000000"/>
          <w:sz w:val="20"/>
          <w:szCs w:val="20"/>
        </w:rPr>
        <w:t>http://wissenschaftstag.metropolregionnuernberg.de/fileadmin/wissenschaftstag/WT15/Praesentationen/WT15_Zukunftswelten_Plessing_Energieeffizienz.pdf</w:t>
      </w:r>
    </w:p>
    <w:p w14:paraId="3D534D6E" w14:textId="77777777" w:rsidR="00CA291D" w:rsidRPr="00CA291D" w:rsidRDefault="00CA291D" w:rsidP="00356422">
      <w:pPr>
        <w:pStyle w:val="Mainbody"/>
        <w:rPr>
          <w:rFonts w:ascii="Arial" w:eastAsia="Times New Roman" w:hAnsi="Arial" w:cs="Arial"/>
          <w:color w:val="000000"/>
          <w:sz w:val="20"/>
          <w:szCs w:val="20"/>
        </w:rPr>
      </w:pPr>
      <w:r w:rsidRPr="00CA291D">
        <w:rPr>
          <w:rFonts w:ascii="Arial" w:eastAsia="Times New Roman" w:hAnsi="Arial" w:cs="Arial"/>
          <w:color w:val="000000"/>
          <w:sz w:val="20"/>
          <w:szCs w:val="20"/>
        </w:rPr>
        <w:t>https://www.agora-energiewende.de/fr/themen/-agothem-/Produkt/produkt/231/Get+Ready+for+150+Gigawatts+of+Solar+Capacity+and+40+Gigawatts+of+Storage+in+Germany/</w:t>
      </w:r>
    </w:p>
    <w:p w14:paraId="3FCE5026" w14:textId="77777777" w:rsidR="00CA291D" w:rsidRPr="00CA291D" w:rsidRDefault="00CA291D" w:rsidP="00356422">
      <w:pPr>
        <w:pStyle w:val="Mainbody"/>
        <w:rPr>
          <w:rFonts w:ascii="Arial" w:eastAsia="Times New Roman" w:hAnsi="Arial" w:cs="Arial"/>
          <w:color w:val="000000"/>
          <w:sz w:val="20"/>
          <w:szCs w:val="20"/>
        </w:rPr>
      </w:pPr>
      <w:r w:rsidRPr="00CA291D">
        <w:rPr>
          <w:rFonts w:ascii="Arial" w:eastAsia="Times New Roman" w:hAnsi="Arial" w:cs="Arial"/>
          <w:color w:val="000000"/>
          <w:sz w:val="20"/>
          <w:szCs w:val="20"/>
        </w:rPr>
        <w:t>https://www.diw.de/documents/publikationen/73/diw_01.c.497941.de/diw_econ_bull_2015-10.pdf</w:t>
      </w:r>
    </w:p>
    <w:p w14:paraId="68E59DD1" w14:textId="77777777" w:rsidR="00CA291D" w:rsidRPr="00CA291D" w:rsidRDefault="00CA291D" w:rsidP="00356422">
      <w:pPr>
        <w:pStyle w:val="Mainbody"/>
      </w:pPr>
      <w:hyperlink r:id="rId15" w:history="1">
        <w:r w:rsidRPr="00CA291D">
          <w:rPr>
            <w:rStyle w:val="Hyperlink"/>
          </w:rPr>
          <w:t>http://www.dihk.de/ressourcen/downloads/faktenpapier-stromnetze-2015/</w:t>
        </w:r>
      </w:hyperlink>
    </w:p>
    <w:p w14:paraId="4BE436DD" w14:textId="77777777" w:rsidR="00CA291D" w:rsidRPr="00CA291D" w:rsidRDefault="00CA291D" w:rsidP="00356422">
      <w:pPr>
        <w:pStyle w:val="Mainbody"/>
      </w:pPr>
      <w:r w:rsidRPr="00CA291D">
        <w:rPr>
          <w:rFonts w:ascii="Arial" w:eastAsia="Times New Roman" w:hAnsi="Arial" w:cs="Arial"/>
          <w:color w:val="000000"/>
          <w:sz w:val="20"/>
          <w:szCs w:val="20"/>
        </w:rPr>
        <w:t>https://www.agora-energiewende.de/fr/themen/-agothem-/Produkt/produkt/231/Get+Ready+for+150+Gigawatts+of+Solar+Capacity+and+40+Gigawatts+of+Storage+in+Germany/</w:t>
      </w:r>
    </w:p>
    <w:p w14:paraId="0E5F2C0B" w14:textId="77777777" w:rsidR="00CA291D" w:rsidRPr="00CA291D" w:rsidRDefault="00CA291D" w:rsidP="00CA291D">
      <w:pPr>
        <w:pStyle w:val="Mainbody"/>
      </w:pPr>
    </w:p>
    <w:p w14:paraId="324378A3" w14:textId="77777777" w:rsidR="007753ED" w:rsidRPr="00CA291D" w:rsidRDefault="007753ED" w:rsidP="00BA077E">
      <w:pPr>
        <w:pStyle w:val="Mainbody"/>
      </w:pPr>
    </w:p>
    <w:sectPr w:rsidR="007753ED" w:rsidRPr="00CA291D" w:rsidSect="008A0D49">
      <w:headerReference w:type="default" r:id="rId16"/>
      <w:footerReference w:type="default" r:id="rId17"/>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94694" w14:textId="77777777" w:rsidR="00FB49D4" w:rsidRDefault="00FB49D4" w:rsidP="00D8367D">
      <w:pPr>
        <w:spacing w:after="0" w:line="240" w:lineRule="auto"/>
      </w:pPr>
      <w:r>
        <w:separator/>
      </w:r>
    </w:p>
  </w:endnote>
  <w:endnote w:type="continuationSeparator" w:id="0">
    <w:p w14:paraId="02F84FC6" w14:textId="77777777" w:rsidR="00FB49D4" w:rsidRDefault="00FB49D4" w:rsidP="00D8367D">
      <w:pPr>
        <w:spacing w:after="0" w:line="240" w:lineRule="auto"/>
      </w:pPr>
      <w:r>
        <w:continuationSeparator/>
      </w:r>
    </w:p>
  </w:endnote>
  <w:endnote w:type="continuationNotice" w:id="1">
    <w:p w14:paraId="5B3A5916" w14:textId="77777777" w:rsidR="00FB49D4" w:rsidRDefault="00FB4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terstate-RegularCondensed">
    <w:altName w:val="Times New Roman"/>
    <w:panose1 w:val="00000000000000000000"/>
    <w:charset w:val="00"/>
    <w:family w:val="auto"/>
    <w:notTrueType/>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ArialNarrow">
    <w:altName w:val="Times New Roman"/>
    <w:panose1 w:val="00000000000000000000"/>
    <w:charset w:val="4D"/>
    <w:family w:val="auto"/>
    <w:notTrueType/>
    <w:pitch w:val="default"/>
    <w:sig w:usb0="03000000"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DemosEF-Medium">
    <w:altName w:val="Courier New"/>
    <w:charset w:val="00"/>
    <w:family w:val="auto"/>
    <w:pitch w:val="variable"/>
    <w:sig w:usb0="03000003" w:usb1="00000000" w:usb2="00000000" w:usb3="00000000" w:csb0="00000001" w:csb1="00000000"/>
  </w:font>
  <w:font w:name="Interstate-BoldCondensed">
    <w:altName w:val="Courier New"/>
    <w:panose1 w:val="00000000000000000000"/>
    <w:charset w:val="00"/>
    <w:family w:val="auto"/>
    <w:notTrueType/>
    <w:pitch w:val="variable"/>
    <w:sig w:usb0="00000083" w:usb1="00000000" w:usb2="00000000" w:usb3="00000000" w:csb0="00000009" w:csb1="00000000"/>
  </w:font>
  <w:font w:name="Arial">
    <w:altName w:val="Arial"/>
    <w:panose1 w:val="020B0604020202020204"/>
    <w:charset w:val="00"/>
    <w:family w:val="swiss"/>
    <w:pitch w:val="variable"/>
    <w:sig w:usb0="E0002AFF" w:usb1="C0007843" w:usb2="00000009" w:usb3="00000000" w:csb0="000001FF" w:csb1="00000000"/>
  </w:font>
  <w:font w:name="Frutiger 57Cn">
    <w:altName w:val="Frutiger 57Cn"/>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E11BE" w14:textId="77777777" w:rsidR="00C82D87" w:rsidRDefault="00C82D87">
    <w:pPr>
      <w:pStyle w:val="Fuzeile"/>
    </w:pPr>
    <w:r>
      <w:fldChar w:fldCharType="begin"/>
    </w:r>
    <w:r>
      <w:instrText xml:space="preserve"> PAGE   \* MERGEFORMAT </w:instrText>
    </w:r>
    <w:r>
      <w:fldChar w:fldCharType="separate"/>
    </w:r>
    <w:r w:rsidR="00027260">
      <w:rPr>
        <w:noProof/>
      </w:rPr>
      <w:t>14</w:t>
    </w:r>
    <w:r>
      <w:fldChar w:fldCharType="end"/>
    </w:r>
  </w:p>
  <w:p w14:paraId="393B4AF7" w14:textId="77777777" w:rsidR="00C82D87" w:rsidRDefault="00C82D8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03DE7" w14:textId="77777777" w:rsidR="00FB49D4" w:rsidRDefault="00FB49D4" w:rsidP="00D8367D">
      <w:pPr>
        <w:spacing w:after="0" w:line="240" w:lineRule="auto"/>
      </w:pPr>
      <w:r>
        <w:separator/>
      </w:r>
    </w:p>
  </w:footnote>
  <w:footnote w:type="continuationSeparator" w:id="0">
    <w:p w14:paraId="3B8E9A90" w14:textId="77777777" w:rsidR="00FB49D4" w:rsidRDefault="00FB49D4" w:rsidP="00D8367D">
      <w:pPr>
        <w:spacing w:after="0" w:line="240" w:lineRule="auto"/>
      </w:pPr>
      <w:r>
        <w:continuationSeparator/>
      </w:r>
    </w:p>
  </w:footnote>
  <w:footnote w:type="continuationNotice" w:id="1">
    <w:p w14:paraId="02CE12A3" w14:textId="77777777" w:rsidR="00FB49D4" w:rsidRDefault="00FB49D4">
      <w:pPr>
        <w:spacing w:after="0" w:line="240" w:lineRule="auto"/>
      </w:pPr>
    </w:p>
  </w:footnote>
  <w:footnote w:id="2">
    <w:p w14:paraId="3A8BF9D3" w14:textId="77777777" w:rsidR="00C82D87" w:rsidRPr="00CA291D" w:rsidRDefault="00C82D87">
      <w:pPr>
        <w:pStyle w:val="Funotentext"/>
        <w:rPr>
          <w:lang w:val="en-US"/>
        </w:rPr>
      </w:pPr>
      <w:r>
        <w:rPr>
          <w:rStyle w:val="Funotenzeichen"/>
        </w:rPr>
        <w:footnoteRef/>
      </w:r>
      <w:r w:rsidRPr="00CA291D">
        <w:rPr>
          <w:lang w:val="en-US"/>
        </w:rPr>
        <w:t xml:space="preserve"> </w:t>
      </w:r>
      <w:r>
        <w:rPr>
          <w:lang w:val="en-US"/>
        </w:rPr>
        <w:t xml:space="preserve">It remains to be seen what the US withdrawal from the Paris Agreement actually will mean for global mitigation efforts. </w:t>
      </w:r>
    </w:p>
  </w:footnote>
  <w:footnote w:id="3">
    <w:p w14:paraId="26FBE926" w14:textId="77777777" w:rsidR="00C82D87" w:rsidRPr="00CA291D" w:rsidRDefault="00C82D87">
      <w:pPr>
        <w:pStyle w:val="Funotentext"/>
        <w:rPr>
          <w:lang w:val="en-US"/>
        </w:rPr>
      </w:pPr>
      <w:r>
        <w:rPr>
          <w:rStyle w:val="Funotenzeichen"/>
        </w:rPr>
        <w:footnoteRef/>
      </w:r>
      <w:r w:rsidRPr="00CA291D">
        <w:rPr>
          <w:lang w:val="en-US"/>
        </w:rPr>
        <w:t xml:space="preserve"> </w:t>
      </w:r>
      <w:r w:rsidRPr="00C50973">
        <w:rPr>
          <w:rFonts w:ascii="Calibri" w:hAnsi="Calibri"/>
          <w:sz w:val="22"/>
          <w:szCs w:val="22"/>
          <w:lang w:val="en-US" w:eastAsia="en-US"/>
        </w:rPr>
        <w:t>excluding large hydro</w:t>
      </w:r>
    </w:p>
  </w:footnote>
  <w:footnote w:id="4">
    <w:p w14:paraId="292C13F3" w14:textId="02407013" w:rsidR="00C82D87" w:rsidRPr="00CA291D" w:rsidRDefault="00C82D87" w:rsidP="00CA291D">
      <w:pPr>
        <w:pStyle w:val="Funotentext"/>
        <w:rPr>
          <w:lang w:val="en-US"/>
        </w:rPr>
      </w:pPr>
      <w:r>
        <w:rPr>
          <w:rStyle w:val="Funotenzeichen"/>
        </w:rPr>
        <w:footnoteRef/>
      </w:r>
      <w:r w:rsidRPr="00CA291D">
        <w:rPr>
          <w:lang w:val="en-US"/>
        </w:rPr>
        <w:t xml:space="preserve"> Variant 2 of the population </w:t>
      </w:r>
      <w:r w:rsidR="00CA291D">
        <w:rPr>
          <w:lang w:val="en-US"/>
        </w:rPr>
        <w:t>projection</w:t>
      </w:r>
      <w:r w:rsidRPr="00CA291D">
        <w:rPr>
          <w:lang w:val="en-US"/>
        </w:rPr>
        <w:t xml:space="preserve"> of the Federal Statistical Office is implemented, which already contains a higher migration.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DEFFC" w14:textId="3863D0DE" w:rsidR="00C82D87" w:rsidRPr="009D1BF4" w:rsidRDefault="00EF6294" w:rsidP="00571C67">
    <w:pPr>
      <w:pBdr>
        <w:bottom w:val="single" w:sz="4" w:space="1" w:color="auto"/>
      </w:pBdr>
      <w:spacing w:after="0" w:line="240" w:lineRule="auto"/>
      <w:rPr>
        <w:rFonts w:ascii="Times New Roman" w:hAnsi="Times New Roman"/>
        <w:i/>
        <w:lang w:val="sv-SE"/>
      </w:rPr>
    </w:pPr>
    <w:r>
      <w:rPr>
        <w:rFonts w:ascii="Times New Roman" w:hAnsi="Times New Roman"/>
        <w:i/>
      </w:rPr>
      <w:t>EcoMod Conference, Ljubljana</w:t>
    </w:r>
    <w:r w:rsidR="00C82D87">
      <w:rPr>
        <w:rFonts w:ascii="Times New Roman" w:hAnsi="Times New Roman"/>
        <w:i/>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5144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426A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C89D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2AF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DE16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9222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D82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B62C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8857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E2FD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D0CCD"/>
    <w:multiLevelType w:val="hybridMultilevel"/>
    <w:tmpl w:val="86CE31C0"/>
    <w:lvl w:ilvl="0" w:tplc="3844D082">
      <w:start w:val="2"/>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B974FFC"/>
    <w:multiLevelType w:val="hybridMultilevel"/>
    <w:tmpl w:val="A74E0B84"/>
    <w:lvl w:ilvl="0" w:tplc="3D8C9618">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D9F2CD6"/>
    <w:multiLevelType w:val="hybridMultilevel"/>
    <w:tmpl w:val="A586A02E"/>
    <w:lvl w:ilvl="0" w:tplc="469AE290">
      <w:start w:val="1"/>
      <w:numFmt w:val="decimal"/>
      <w:pStyle w:val="Referencelist"/>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14006813"/>
    <w:multiLevelType w:val="multilevel"/>
    <w:tmpl w:val="4A2E397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184B3B6A"/>
    <w:multiLevelType w:val="hybridMultilevel"/>
    <w:tmpl w:val="0A4AFBDE"/>
    <w:lvl w:ilvl="0" w:tplc="0407000F">
      <w:start w:val="1"/>
      <w:numFmt w:val="decimal"/>
      <w:lvlText w:val="%1."/>
      <w:lvlJc w:val="left"/>
      <w:pPr>
        <w:ind w:left="720" w:hanging="360"/>
      </w:pPr>
      <w:rPr>
        <w:rFonts w:hint="default"/>
      </w:rPr>
    </w:lvl>
    <w:lvl w:ilvl="1" w:tplc="04070019">
      <w:start w:val="1"/>
      <w:numFmt w:val="lowerLetter"/>
      <w:lvlText w:val="%2."/>
      <w:lvlJc w:val="left"/>
      <w:pPr>
        <w:ind w:left="928"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651AAF"/>
    <w:multiLevelType w:val="hybridMultilevel"/>
    <w:tmpl w:val="DE5E446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C911F3"/>
    <w:multiLevelType w:val="multilevel"/>
    <w:tmpl w:val="9D3EFD0C"/>
    <w:lvl w:ilvl="0">
      <w:start w:val="1"/>
      <w:numFmt w:val="decimal"/>
      <w:pStyle w:val="AufzhlungPfeilGW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94F03B7"/>
    <w:multiLevelType w:val="hybridMultilevel"/>
    <w:tmpl w:val="696E31C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8" w15:restartNumberingAfterBreak="0">
    <w:nsid w:val="3D9F47F1"/>
    <w:multiLevelType w:val="hybridMultilevel"/>
    <w:tmpl w:val="75943548"/>
    <w:lvl w:ilvl="0" w:tplc="494EA4E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37C37DA"/>
    <w:multiLevelType w:val="hybridMultilevel"/>
    <w:tmpl w:val="CC545646"/>
    <w:lvl w:ilvl="0" w:tplc="0407000F">
      <w:start w:val="1"/>
      <w:numFmt w:val="decimal"/>
      <w:lvlText w:val="%1."/>
      <w:lvlJc w:val="left"/>
      <w:pPr>
        <w:ind w:left="720" w:hanging="360"/>
      </w:pPr>
      <w:rPr>
        <w:rFonts w:hint="default"/>
      </w:rPr>
    </w:lvl>
    <w:lvl w:ilvl="1" w:tplc="04070019">
      <w:start w:val="1"/>
      <w:numFmt w:val="lowerLetter"/>
      <w:lvlText w:val="%2."/>
      <w:lvlJc w:val="left"/>
      <w:pPr>
        <w:ind w:left="928"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924578"/>
    <w:multiLevelType w:val="hybridMultilevel"/>
    <w:tmpl w:val="569AA9CE"/>
    <w:lvl w:ilvl="0" w:tplc="7A4640D4">
      <w:start w:val="2"/>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8475C4"/>
    <w:multiLevelType w:val="multilevel"/>
    <w:tmpl w:val="0F1625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AB25494"/>
    <w:multiLevelType w:val="multilevel"/>
    <w:tmpl w:val="EAB8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0638AB"/>
    <w:multiLevelType w:val="hybridMultilevel"/>
    <w:tmpl w:val="8526A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B46B95"/>
    <w:multiLevelType w:val="multilevel"/>
    <w:tmpl w:val="C43E2EC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2FE7724"/>
    <w:multiLevelType w:val="hybridMultilevel"/>
    <w:tmpl w:val="F8B86740"/>
    <w:lvl w:ilvl="0" w:tplc="FC3411D2">
      <w:start w:val="1"/>
      <w:numFmt w:val="decimal"/>
      <w:lvlText w:val="%1."/>
      <w:lvlJc w:val="left"/>
      <w:pPr>
        <w:tabs>
          <w:tab w:val="num" w:pos="357"/>
        </w:tabs>
        <w:ind w:left="360"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26" w15:restartNumberingAfterBreak="0">
    <w:nsid w:val="6B2958A0"/>
    <w:multiLevelType w:val="hybridMultilevel"/>
    <w:tmpl w:val="88128A4E"/>
    <w:lvl w:ilvl="0" w:tplc="4C0A8344">
      <w:start w:val="1"/>
      <w:numFmt w:val="bullet"/>
      <w:pStyle w:val="Lists"/>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01F2BA6"/>
    <w:multiLevelType w:val="multilevel"/>
    <w:tmpl w:val="4924683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47B6EFD"/>
    <w:multiLevelType w:val="multilevel"/>
    <w:tmpl w:val="0A34DA82"/>
    <w:lvl w:ilvl="0">
      <w:start w:val="1"/>
      <w:numFmt w:val="decimal"/>
      <w:pStyle w:val="berschrift1"/>
      <w:lvlText w:val="%1."/>
      <w:lvlJc w:val="left"/>
      <w:pPr>
        <w:ind w:left="340" w:hanging="340"/>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9" w15:restartNumberingAfterBreak="0">
    <w:nsid w:val="78A060DA"/>
    <w:multiLevelType w:val="hybridMultilevel"/>
    <w:tmpl w:val="B95EF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0"/>
  </w:num>
  <w:num w:numId="4">
    <w:abstractNumId w:val="18"/>
  </w:num>
  <w:num w:numId="5">
    <w:abstractNumId w:val="27"/>
  </w:num>
  <w:num w:numId="6">
    <w:abstractNumId w:val="24"/>
  </w:num>
  <w:num w:numId="7">
    <w:abstractNumId w:val="26"/>
  </w:num>
  <w:num w:numId="8">
    <w:abstractNumId w:val="12"/>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1"/>
  </w:num>
  <w:num w:numId="2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7"/>
  </w:num>
  <w:num w:numId="23">
    <w:abstractNumId w:val="23"/>
  </w:num>
  <w:num w:numId="24">
    <w:abstractNumId w:val="15"/>
  </w:num>
  <w:num w:numId="25">
    <w:abstractNumId w:val="19"/>
  </w:num>
  <w:num w:numId="26">
    <w:abstractNumId w:val="25"/>
  </w:num>
  <w:num w:numId="27">
    <w:abstractNumId w:val="14"/>
  </w:num>
  <w:num w:numId="28">
    <w:abstractNumId w:val="13"/>
  </w:num>
  <w:num w:numId="29">
    <w:abstractNumId w:val="29"/>
  </w:num>
  <w:num w:numId="30">
    <w:abstractNumId w:val="16"/>
  </w:num>
  <w:num w:numId="31">
    <w:abstractNumId w:val="2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1"/>
  <w:activeWritingStyle w:appName="MSWord" w:lang="fr-BE" w:vendorID="64" w:dllVersion="131078" w:nlCheck="1" w:checkStyle="1"/>
  <w:activeWritingStyle w:appName="MSWord" w:lang="de-DE" w:vendorID="64" w:dllVersion="131078" w:nlCheck="1" w:checkStyle="1"/>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B3"/>
    <w:rsid w:val="00002829"/>
    <w:rsid w:val="000047C6"/>
    <w:rsid w:val="000077F1"/>
    <w:rsid w:val="00007864"/>
    <w:rsid w:val="00010A5D"/>
    <w:rsid w:val="00012191"/>
    <w:rsid w:val="00015C02"/>
    <w:rsid w:val="00015F69"/>
    <w:rsid w:val="00020BDC"/>
    <w:rsid w:val="0002190C"/>
    <w:rsid w:val="00027260"/>
    <w:rsid w:val="00027F7A"/>
    <w:rsid w:val="000353BC"/>
    <w:rsid w:val="0003590F"/>
    <w:rsid w:val="00035D61"/>
    <w:rsid w:val="00037150"/>
    <w:rsid w:val="000377FB"/>
    <w:rsid w:val="000449E3"/>
    <w:rsid w:val="00044B5F"/>
    <w:rsid w:val="00052C53"/>
    <w:rsid w:val="0006399F"/>
    <w:rsid w:val="000778DB"/>
    <w:rsid w:val="00084AD6"/>
    <w:rsid w:val="000852A4"/>
    <w:rsid w:val="00086BB9"/>
    <w:rsid w:val="000872B3"/>
    <w:rsid w:val="0008745A"/>
    <w:rsid w:val="000A5BBF"/>
    <w:rsid w:val="000A5DF4"/>
    <w:rsid w:val="000B50D2"/>
    <w:rsid w:val="000C04A5"/>
    <w:rsid w:val="000C0D05"/>
    <w:rsid w:val="000C4088"/>
    <w:rsid w:val="000C5F94"/>
    <w:rsid w:val="000C65A1"/>
    <w:rsid w:val="000C7D5C"/>
    <w:rsid w:val="000D1AE3"/>
    <w:rsid w:val="000D23C9"/>
    <w:rsid w:val="000D2F46"/>
    <w:rsid w:val="000D45A2"/>
    <w:rsid w:val="000D4E58"/>
    <w:rsid w:val="000D66F8"/>
    <w:rsid w:val="000D6D28"/>
    <w:rsid w:val="000D78EB"/>
    <w:rsid w:val="000E0C84"/>
    <w:rsid w:val="000E2226"/>
    <w:rsid w:val="00100013"/>
    <w:rsid w:val="00101639"/>
    <w:rsid w:val="001138B9"/>
    <w:rsid w:val="00115DD2"/>
    <w:rsid w:val="00116293"/>
    <w:rsid w:val="00120DFA"/>
    <w:rsid w:val="0012526D"/>
    <w:rsid w:val="001301E1"/>
    <w:rsid w:val="0014129B"/>
    <w:rsid w:val="00142155"/>
    <w:rsid w:val="001441AA"/>
    <w:rsid w:val="00145E76"/>
    <w:rsid w:val="001536FE"/>
    <w:rsid w:val="00155456"/>
    <w:rsid w:val="0016243F"/>
    <w:rsid w:val="00163BE0"/>
    <w:rsid w:val="00163DD1"/>
    <w:rsid w:val="00167971"/>
    <w:rsid w:val="001709F6"/>
    <w:rsid w:val="00181B29"/>
    <w:rsid w:val="001830CB"/>
    <w:rsid w:val="00183871"/>
    <w:rsid w:val="00191FA3"/>
    <w:rsid w:val="00193EA5"/>
    <w:rsid w:val="001A0EC8"/>
    <w:rsid w:val="001A25CF"/>
    <w:rsid w:val="001A4964"/>
    <w:rsid w:val="001A51D2"/>
    <w:rsid w:val="001B1DBD"/>
    <w:rsid w:val="001B3BA6"/>
    <w:rsid w:val="001B4CB7"/>
    <w:rsid w:val="001C09C6"/>
    <w:rsid w:val="001C1403"/>
    <w:rsid w:val="001C5C8D"/>
    <w:rsid w:val="001C798E"/>
    <w:rsid w:val="001D4661"/>
    <w:rsid w:val="001D4748"/>
    <w:rsid w:val="001E2FDC"/>
    <w:rsid w:val="001E5C8D"/>
    <w:rsid w:val="001F05B8"/>
    <w:rsid w:val="001F062C"/>
    <w:rsid w:val="001F13E8"/>
    <w:rsid w:val="001F1DF1"/>
    <w:rsid w:val="001F51DB"/>
    <w:rsid w:val="001F55AE"/>
    <w:rsid w:val="001F7061"/>
    <w:rsid w:val="00205DA9"/>
    <w:rsid w:val="00221CDF"/>
    <w:rsid w:val="0022213E"/>
    <w:rsid w:val="00227AD9"/>
    <w:rsid w:val="00231533"/>
    <w:rsid w:val="00232247"/>
    <w:rsid w:val="002331E9"/>
    <w:rsid w:val="002404D9"/>
    <w:rsid w:val="0024389F"/>
    <w:rsid w:val="00244724"/>
    <w:rsid w:val="002466DB"/>
    <w:rsid w:val="00266D2C"/>
    <w:rsid w:val="0026729E"/>
    <w:rsid w:val="002679FF"/>
    <w:rsid w:val="00271851"/>
    <w:rsid w:val="00275C56"/>
    <w:rsid w:val="002776B7"/>
    <w:rsid w:val="00285B68"/>
    <w:rsid w:val="00287F19"/>
    <w:rsid w:val="00291349"/>
    <w:rsid w:val="002913B4"/>
    <w:rsid w:val="00297A7B"/>
    <w:rsid w:val="002A0BE3"/>
    <w:rsid w:val="002B5322"/>
    <w:rsid w:val="002C3EB0"/>
    <w:rsid w:val="002D42F2"/>
    <w:rsid w:val="002E009B"/>
    <w:rsid w:val="002E3845"/>
    <w:rsid w:val="002E4BC1"/>
    <w:rsid w:val="002E5563"/>
    <w:rsid w:val="002E6671"/>
    <w:rsid w:val="002F1D0F"/>
    <w:rsid w:val="002F460C"/>
    <w:rsid w:val="002F711C"/>
    <w:rsid w:val="00300EFE"/>
    <w:rsid w:val="00302743"/>
    <w:rsid w:val="003043A3"/>
    <w:rsid w:val="0031321A"/>
    <w:rsid w:val="00313466"/>
    <w:rsid w:val="003202C2"/>
    <w:rsid w:val="0032040F"/>
    <w:rsid w:val="0032194C"/>
    <w:rsid w:val="0032346B"/>
    <w:rsid w:val="003271A8"/>
    <w:rsid w:val="0032746C"/>
    <w:rsid w:val="00327D33"/>
    <w:rsid w:val="0033018E"/>
    <w:rsid w:val="00333C38"/>
    <w:rsid w:val="003379FE"/>
    <w:rsid w:val="00341148"/>
    <w:rsid w:val="0034486D"/>
    <w:rsid w:val="00345706"/>
    <w:rsid w:val="00350A91"/>
    <w:rsid w:val="0035263C"/>
    <w:rsid w:val="00364150"/>
    <w:rsid w:val="00364936"/>
    <w:rsid w:val="00365F05"/>
    <w:rsid w:val="00366276"/>
    <w:rsid w:val="003679F2"/>
    <w:rsid w:val="00371FCC"/>
    <w:rsid w:val="00372A0F"/>
    <w:rsid w:val="00372D74"/>
    <w:rsid w:val="003735E5"/>
    <w:rsid w:val="0037598B"/>
    <w:rsid w:val="00380329"/>
    <w:rsid w:val="00380F6C"/>
    <w:rsid w:val="00381A49"/>
    <w:rsid w:val="00383961"/>
    <w:rsid w:val="00383CD2"/>
    <w:rsid w:val="0039084C"/>
    <w:rsid w:val="00391556"/>
    <w:rsid w:val="0039207F"/>
    <w:rsid w:val="003934C8"/>
    <w:rsid w:val="00396C09"/>
    <w:rsid w:val="003A1256"/>
    <w:rsid w:val="003A1E12"/>
    <w:rsid w:val="003A2E84"/>
    <w:rsid w:val="003A2EDC"/>
    <w:rsid w:val="003A3528"/>
    <w:rsid w:val="003A37B7"/>
    <w:rsid w:val="003A650D"/>
    <w:rsid w:val="003B2417"/>
    <w:rsid w:val="003B3631"/>
    <w:rsid w:val="003B3C1B"/>
    <w:rsid w:val="003B4E46"/>
    <w:rsid w:val="003B6703"/>
    <w:rsid w:val="003B71BA"/>
    <w:rsid w:val="003B73F9"/>
    <w:rsid w:val="003C1949"/>
    <w:rsid w:val="003C29CF"/>
    <w:rsid w:val="003C4C59"/>
    <w:rsid w:val="003D0FE8"/>
    <w:rsid w:val="003D1E84"/>
    <w:rsid w:val="003D541D"/>
    <w:rsid w:val="003D5E42"/>
    <w:rsid w:val="003D757C"/>
    <w:rsid w:val="003E1AFB"/>
    <w:rsid w:val="003E39B4"/>
    <w:rsid w:val="003E4471"/>
    <w:rsid w:val="003E4D50"/>
    <w:rsid w:val="003E7804"/>
    <w:rsid w:val="003F0598"/>
    <w:rsid w:val="003F15C9"/>
    <w:rsid w:val="003F2C87"/>
    <w:rsid w:val="003F4F65"/>
    <w:rsid w:val="003F6515"/>
    <w:rsid w:val="004055CC"/>
    <w:rsid w:val="0040780F"/>
    <w:rsid w:val="004127EE"/>
    <w:rsid w:val="004174A9"/>
    <w:rsid w:val="004268A3"/>
    <w:rsid w:val="00432752"/>
    <w:rsid w:val="004334B8"/>
    <w:rsid w:val="00437B3E"/>
    <w:rsid w:val="004476B0"/>
    <w:rsid w:val="004507B1"/>
    <w:rsid w:val="004537A5"/>
    <w:rsid w:val="00455386"/>
    <w:rsid w:val="00461C75"/>
    <w:rsid w:val="00461FBF"/>
    <w:rsid w:val="00465F15"/>
    <w:rsid w:val="00482CB2"/>
    <w:rsid w:val="00490615"/>
    <w:rsid w:val="004978BE"/>
    <w:rsid w:val="004A4C02"/>
    <w:rsid w:val="004A67D9"/>
    <w:rsid w:val="004A7109"/>
    <w:rsid w:val="004B3E43"/>
    <w:rsid w:val="004B59B0"/>
    <w:rsid w:val="004C437E"/>
    <w:rsid w:val="004C4D66"/>
    <w:rsid w:val="004C5A4C"/>
    <w:rsid w:val="004D5CE3"/>
    <w:rsid w:val="004E2D5E"/>
    <w:rsid w:val="004E394B"/>
    <w:rsid w:val="004E785C"/>
    <w:rsid w:val="004F2B6B"/>
    <w:rsid w:val="004F2C37"/>
    <w:rsid w:val="005002D9"/>
    <w:rsid w:val="005049F2"/>
    <w:rsid w:val="00512A8E"/>
    <w:rsid w:val="00514D5D"/>
    <w:rsid w:val="005241EC"/>
    <w:rsid w:val="005256FA"/>
    <w:rsid w:val="00530DD1"/>
    <w:rsid w:val="0053488E"/>
    <w:rsid w:val="005357D1"/>
    <w:rsid w:val="00540190"/>
    <w:rsid w:val="00541573"/>
    <w:rsid w:val="005439E1"/>
    <w:rsid w:val="00545F9C"/>
    <w:rsid w:val="005461B2"/>
    <w:rsid w:val="005516CA"/>
    <w:rsid w:val="005529C9"/>
    <w:rsid w:val="005555E3"/>
    <w:rsid w:val="005616D0"/>
    <w:rsid w:val="00564F93"/>
    <w:rsid w:val="00571C67"/>
    <w:rsid w:val="0057225B"/>
    <w:rsid w:val="00572303"/>
    <w:rsid w:val="005825E9"/>
    <w:rsid w:val="00582D68"/>
    <w:rsid w:val="00595003"/>
    <w:rsid w:val="005960FD"/>
    <w:rsid w:val="005A0F9C"/>
    <w:rsid w:val="005A39B1"/>
    <w:rsid w:val="005A496C"/>
    <w:rsid w:val="005A7AC3"/>
    <w:rsid w:val="005A7C25"/>
    <w:rsid w:val="005B360B"/>
    <w:rsid w:val="005B5957"/>
    <w:rsid w:val="005D26D3"/>
    <w:rsid w:val="005D2B01"/>
    <w:rsid w:val="005D44E2"/>
    <w:rsid w:val="005D5D5E"/>
    <w:rsid w:val="005E0538"/>
    <w:rsid w:val="005E1EC7"/>
    <w:rsid w:val="005F02DC"/>
    <w:rsid w:val="005F0D64"/>
    <w:rsid w:val="005F2849"/>
    <w:rsid w:val="005F5969"/>
    <w:rsid w:val="005F6AD8"/>
    <w:rsid w:val="00601207"/>
    <w:rsid w:val="0060155D"/>
    <w:rsid w:val="0060523A"/>
    <w:rsid w:val="006071D9"/>
    <w:rsid w:val="00610AB1"/>
    <w:rsid w:val="00611DAF"/>
    <w:rsid w:val="006144CE"/>
    <w:rsid w:val="0062069F"/>
    <w:rsid w:val="00622D5B"/>
    <w:rsid w:val="00623C38"/>
    <w:rsid w:val="00630618"/>
    <w:rsid w:val="00630CD4"/>
    <w:rsid w:val="006334F8"/>
    <w:rsid w:val="0063743D"/>
    <w:rsid w:val="0065431C"/>
    <w:rsid w:val="00657BF9"/>
    <w:rsid w:val="006623B2"/>
    <w:rsid w:val="00664FCB"/>
    <w:rsid w:val="00666617"/>
    <w:rsid w:val="00667D39"/>
    <w:rsid w:val="006721BB"/>
    <w:rsid w:val="00677A33"/>
    <w:rsid w:val="0068196E"/>
    <w:rsid w:val="00682B16"/>
    <w:rsid w:val="006833CB"/>
    <w:rsid w:val="0068390D"/>
    <w:rsid w:val="00696321"/>
    <w:rsid w:val="006A25C7"/>
    <w:rsid w:val="006A3B07"/>
    <w:rsid w:val="006B1692"/>
    <w:rsid w:val="006B2DDE"/>
    <w:rsid w:val="006B48B0"/>
    <w:rsid w:val="006C0749"/>
    <w:rsid w:val="006C0C97"/>
    <w:rsid w:val="006C61E8"/>
    <w:rsid w:val="006D7CD8"/>
    <w:rsid w:val="006E6D69"/>
    <w:rsid w:val="006F2522"/>
    <w:rsid w:val="006F25BE"/>
    <w:rsid w:val="006F4E4A"/>
    <w:rsid w:val="006F6949"/>
    <w:rsid w:val="00702975"/>
    <w:rsid w:val="007057C9"/>
    <w:rsid w:val="00711020"/>
    <w:rsid w:val="00711A87"/>
    <w:rsid w:val="00712023"/>
    <w:rsid w:val="00712331"/>
    <w:rsid w:val="007145E0"/>
    <w:rsid w:val="00717740"/>
    <w:rsid w:val="007216C9"/>
    <w:rsid w:val="00723619"/>
    <w:rsid w:val="00727148"/>
    <w:rsid w:val="0073149A"/>
    <w:rsid w:val="00734673"/>
    <w:rsid w:val="0073667E"/>
    <w:rsid w:val="00743689"/>
    <w:rsid w:val="0074500F"/>
    <w:rsid w:val="00747C6E"/>
    <w:rsid w:val="00747CD5"/>
    <w:rsid w:val="00753101"/>
    <w:rsid w:val="00753441"/>
    <w:rsid w:val="00757FE2"/>
    <w:rsid w:val="00761C0B"/>
    <w:rsid w:val="00762D20"/>
    <w:rsid w:val="00763F1C"/>
    <w:rsid w:val="00766AB1"/>
    <w:rsid w:val="007753ED"/>
    <w:rsid w:val="007810D9"/>
    <w:rsid w:val="00793E52"/>
    <w:rsid w:val="007A1E29"/>
    <w:rsid w:val="007A2AF5"/>
    <w:rsid w:val="007A6ED8"/>
    <w:rsid w:val="007C0C92"/>
    <w:rsid w:val="007C49FD"/>
    <w:rsid w:val="007C7801"/>
    <w:rsid w:val="007C7C06"/>
    <w:rsid w:val="007D2E2A"/>
    <w:rsid w:val="007E3059"/>
    <w:rsid w:val="007E31B1"/>
    <w:rsid w:val="007E6418"/>
    <w:rsid w:val="007F0074"/>
    <w:rsid w:val="007F066B"/>
    <w:rsid w:val="00803A1A"/>
    <w:rsid w:val="00807979"/>
    <w:rsid w:val="00807C0C"/>
    <w:rsid w:val="0081010D"/>
    <w:rsid w:val="008175EF"/>
    <w:rsid w:val="00821405"/>
    <w:rsid w:val="0082197D"/>
    <w:rsid w:val="008238D3"/>
    <w:rsid w:val="008251C8"/>
    <w:rsid w:val="0082703C"/>
    <w:rsid w:val="00827710"/>
    <w:rsid w:val="008301C2"/>
    <w:rsid w:val="008324E8"/>
    <w:rsid w:val="00833501"/>
    <w:rsid w:val="008352F1"/>
    <w:rsid w:val="00836528"/>
    <w:rsid w:val="008414AB"/>
    <w:rsid w:val="00846464"/>
    <w:rsid w:val="0085684A"/>
    <w:rsid w:val="00861723"/>
    <w:rsid w:val="00866E37"/>
    <w:rsid w:val="00870B26"/>
    <w:rsid w:val="00875FFA"/>
    <w:rsid w:val="0088025C"/>
    <w:rsid w:val="00885C29"/>
    <w:rsid w:val="008A0D49"/>
    <w:rsid w:val="008A20E5"/>
    <w:rsid w:val="008A406E"/>
    <w:rsid w:val="008A5D2B"/>
    <w:rsid w:val="008A788B"/>
    <w:rsid w:val="008A7E76"/>
    <w:rsid w:val="008B04C1"/>
    <w:rsid w:val="008B1608"/>
    <w:rsid w:val="008B5AD4"/>
    <w:rsid w:val="008B5B3E"/>
    <w:rsid w:val="008C0A56"/>
    <w:rsid w:val="008C17AD"/>
    <w:rsid w:val="008C17D4"/>
    <w:rsid w:val="008C2B4B"/>
    <w:rsid w:val="008C41BD"/>
    <w:rsid w:val="008C6C58"/>
    <w:rsid w:val="008D185D"/>
    <w:rsid w:val="008D318E"/>
    <w:rsid w:val="008D4D90"/>
    <w:rsid w:val="008D693C"/>
    <w:rsid w:val="008E0097"/>
    <w:rsid w:val="008E01E2"/>
    <w:rsid w:val="008E550E"/>
    <w:rsid w:val="008F06C0"/>
    <w:rsid w:val="008F73E1"/>
    <w:rsid w:val="00900A42"/>
    <w:rsid w:val="0091020C"/>
    <w:rsid w:val="009106DF"/>
    <w:rsid w:val="00910EB9"/>
    <w:rsid w:val="009117EF"/>
    <w:rsid w:val="00913C12"/>
    <w:rsid w:val="00916425"/>
    <w:rsid w:val="00924390"/>
    <w:rsid w:val="0092670C"/>
    <w:rsid w:val="0092729A"/>
    <w:rsid w:val="0093188C"/>
    <w:rsid w:val="00931D38"/>
    <w:rsid w:val="009407F8"/>
    <w:rsid w:val="00944D39"/>
    <w:rsid w:val="00955777"/>
    <w:rsid w:val="009565E2"/>
    <w:rsid w:val="00962680"/>
    <w:rsid w:val="00964668"/>
    <w:rsid w:val="00972699"/>
    <w:rsid w:val="009741FC"/>
    <w:rsid w:val="009765E4"/>
    <w:rsid w:val="00984E76"/>
    <w:rsid w:val="0099166C"/>
    <w:rsid w:val="00992798"/>
    <w:rsid w:val="00996DEA"/>
    <w:rsid w:val="00997997"/>
    <w:rsid w:val="009A0326"/>
    <w:rsid w:val="009A205E"/>
    <w:rsid w:val="009A53E2"/>
    <w:rsid w:val="009B1B81"/>
    <w:rsid w:val="009B2106"/>
    <w:rsid w:val="009B3A3A"/>
    <w:rsid w:val="009B7F51"/>
    <w:rsid w:val="009C0955"/>
    <w:rsid w:val="009C2B3D"/>
    <w:rsid w:val="009C39B1"/>
    <w:rsid w:val="009C3D41"/>
    <w:rsid w:val="009C4318"/>
    <w:rsid w:val="009C7FF3"/>
    <w:rsid w:val="009D1BF4"/>
    <w:rsid w:val="009D527D"/>
    <w:rsid w:val="009D7A09"/>
    <w:rsid w:val="009D7C74"/>
    <w:rsid w:val="009E2B9B"/>
    <w:rsid w:val="009E43BF"/>
    <w:rsid w:val="009E55FC"/>
    <w:rsid w:val="009E561C"/>
    <w:rsid w:val="009F2E13"/>
    <w:rsid w:val="009F51AB"/>
    <w:rsid w:val="00A0254A"/>
    <w:rsid w:val="00A117E2"/>
    <w:rsid w:val="00A11C85"/>
    <w:rsid w:val="00A13E22"/>
    <w:rsid w:val="00A14DCD"/>
    <w:rsid w:val="00A16EC3"/>
    <w:rsid w:val="00A17BC0"/>
    <w:rsid w:val="00A21712"/>
    <w:rsid w:val="00A22C56"/>
    <w:rsid w:val="00A317D8"/>
    <w:rsid w:val="00A3396F"/>
    <w:rsid w:val="00A33AC8"/>
    <w:rsid w:val="00A34528"/>
    <w:rsid w:val="00A36FFC"/>
    <w:rsid w:val="00A37031"/>
    <w:rsid w:val="00A44291"/>
    <w:rsid w:val="00A521C4"/>
    <w:rsid w:val="00A57476"/>
    <w:rsid w:val="00A57C7A"/>
    <w:rsid w:val="00A80230"/>
    <w:rsid w:val="00A82ACC"/>
    <w:rsid w:val="00A85828"/>
    <w:rsid w:val="00A93F2A"/>
    <w:rsid w:val="00A96C91"/>
    <w:rsid w:val="00A97846"/>
    <w:rsid w:val="00AA00AC"/>
    <w:rsid w:val="00AA2235"/>
    <w:rsid w:val="00AA4A04"/>
    <w:rsid w:val="00AB5D71"/>
    <w:rsid w:val="00AB71CD"/>
    <w:rsid w:val="00AC0550"/>
    <w:rsid w:val="00AC2B7E"/>
    <w:rsid w:val="00AC56D1"/>
    <w:rsid w:val="00AC7718"/>
    <w:rsid w:val="00AD3DBB"/>
    <w:rsid w:val="00AD3DF0"/>
    <w:rsid w:val="00AD5D77"/>
    <w:rsid w:val="00AD6B1D"/>
    <w:rsid w:val="00AE1521"/>
    <w:rsid w:val="00AE7B6F"/>
    <w:rsid w:val="00AF0CB3"/>
    <w:rsid w:val="00AF1593"/>
    <w:rsid w:val="00AF555C"/>
    <w:rsid w:val="00AF67C1"/>
    <w:rsid w:val="00AF6CA3"/>
    <w:rsid w:val="00B10D8B"/>
    <w:rsid w:val="00B10F06"/>
    <w:rsid w:val="00B13276"/>
    <w:rsid w:val="00B164AE"/>
    <w:rsid w:val="00B20804"/>
    <w:rsid w:val="00B2415E"/>
    <w:rsid w:val="00B25018"/>
    <w:rsid w:val="00B27317"/>
    <w:rsid w:val="00B320F9"/>
    <w:rsid w:val="00B42515"/>
    <w:rsid w:val="00B44E96"/>
    <w:rsid w:val="00B51A35"/>
    <w:rsid w:val="00B55589"/>
    <w:rsid w:val="00B55851"/>
    <w:rsid w:val="00B63736"/>
    <w:rsid w:val="00B647BE"/>
    <w:rsid w:val="00B66372"/>
    <w:rsid w:val="00B6679F"/>
    <w:rsid w:val="00B67687"/>
    <w:rsid w:val="00B70C3C"/>
    <w:rsid w:val="00B741AD"/>
    <w:rsid w:val="00BA077E"/>
    <w:rsid w:val="00BA0E5B"/>
    <w:rsid w:val="00BA217A"/>
    <w:rsid w:val="00BA2350"/>
    <w:rsid w:val="00BA35CA"/>
    <w:rsid w:val="00BA514D"/>
    <w:rsid w:val="00BA6D93"/>
    <w:rsid w:val="00BB04D8"/>
    <w:rsid w:val="00BB182B"/>
    <w:rsid w:val="00BB1E68"/>
    <w:rsid w:val="00BB5DF5"/>
    <w:rsid w:val="00BB6E34"/>
    <w:rsid w:val="00BB7915"/>
    <w:rsid w:val="00BC37E9"/>
    <w:rsid w:val="00BC4402"/>
    <w:rsid w:val="00BC621A"/>
    <w:rsid w:val="00BD3BA4"/>
    <w:rsid w:val="00BE01B8"/>
    <w:rsid w:val="00BE3172"/>
    <w:rsid w:val="00BE644A"/>
    <w:rsid w:val="00BF02C6"/>
    <w:rsid w:val="00BF3A61"/>
    <w:rsid w:val="00BF5020"/>
    <w:rsid w:val="00BF6608"/>
    <w:rsid w:val="00BF7AF4"/>
    <w:rsid w:val="00C00C3E"/>
    <w:rsid w:val="00C01429"/>
    <w:rsid w:val="00C05002"/>
    <w:rsid w:val="00C1019B"/>
    <w:rsid w:val="00C132D2"/>
    <w:rsid w:val="00C13A9A"/>
    <w:rsid w:val="00C16729"/>
    <w:rsid w:val="00C26428"/>
    <w:rsid w:val="00C31778"/>
    <w:rsid w:val="00C33EE0"/>
    <w:rsid w:val="00C417B2"/>
    <w:rsid w:val="00C4637A"/>
    <w:rsid w:val="00C4644C"/>
    <w:rsid w:val="00C518D6"/>
    <w:rsid w:val="00C53046"/>
    <w:rsid w:val="00C5546E"/>
    <w:rsid w:val="00C571E1"/>
    <w:rsid w:val="00C60E1B"/>
    <w:rsid w:val="00C6368E"/>
    <w:rsid w:val="00C644AE"/>
    <w:rsid w:val="00C67C3F"/>
    <w:rsid w:val="00C71014"/>
    <w:rsid w:val="00C75468"/>
    <w:rsid w:val="00C7752C"/>
    <w:rsid w:val="00C802EB"/>
    <w:rsid w:val="00C81D84"/>
    <w:rsid w:val="00C822C5"/>
    <w:rsid w:val="00C82D87"/>
    <w:rsid w:val="00C86CA7"/>
    <w:rsid w:val="00C92A26"/>
    <w:rsid w:val="00CA10CC"/>
    <w:rsid w:val="00CA291D"/>
    <w:rsid w:val="00CA5779"/>
    <w:rsid w:val="00CB03C8"/>
    <w:rsid w:val="00CB130A"/>
    <w:rsid w:val="00CB4976"/>
    <w:rsid w:val="00CB4AA2"/>
    <w:rsid w:val="00CC1C7D"/>
    <w:rsid w:val="00CD2611"/>
    <w:rsid w:val="00CE1E2B"/>
    <w:rsid w:val="00CE7454"/>
    <w:rsid w:val="00CF01C1"/>
    <w:rsid w:val="00D00D59"/>
    <w:rsid w:val="00D047A1"/>
    <w:rsid w:val="00D1433E"/>
    <w:rsid w:val="00D24E4E"/>
    <w:rsid w:val="00D26A38"/>
    <w:rsid w:val="00D44F57"/>
    <w:rsid w:val="00D4655F"/>
    <w:rsid w:val="00D503D9"/>
    <w:rsid w:val="00D604DD"/>
    <w:rsid w:val="00D61836"/>
    <w:rsid w:val="00D63B9B"/>
    <w:rsid w:val="00D63D25"/>
    <w:rsid w:val="00D7060D"/>
    <w:rsid w:val="00D722EB"/>
    <w:rsid w:val="00D73BB6"/>
    <w:rsid w:val="00D7735D"/>
    <w:rsid w:val="00D77727"/>
    <w:rsid w:val="00D83182"/>
    <w:rsid w:val="00D8367D"/>
    <w:rsid w:val="00D84F6E"/>
    <w:rsid w:val="00D87161"/>
    <w:rsid w:val="00D87B04"/>
    <w:rsid w:val="00D90716"/>
    <w:rsid w:val="00D9094E"/>
    <w:rsid w:val="00D92A2A"/>
    <w:rsid w:val="00D938FE"/>
    <w:rsid w:val="00DA65A1"/>
    <w:rsid w:val="00DB46B9"/>
    <w:rsid w:val="00DB6611"/>
    <w:rsid w:val="00DC3C3A"/>
    <w:rsid w:val="00DD6C8F"/>
    <w:rsid w:val="00DE059E"/>
    <w:rsid w:val="00DE1745"/>
    <w:rsid w:val="00DE2BD2"/>
    <w:rsid w:val="00DE3CFD"/>
    <w:rsid w:val="00DE53B3"/>
    <w:rsid w:val="00DE6DCC"/>
    <w:rsid w:val="00DE7639"/>
    <w:rsid w:val="00DE7958"/>
    <w:rsid w:val="00DF06DC"/>
    <w:rsid w:val="00DF2EAA"/>
    <w:rsid w:val="00DF3BD5"/>
    <w:rsid w:val="00E00CDD"/>
    <w:rsid w:val="00E11756"/>
    <w:rsid w:val="00E1201F"/>
    <w:rsid w:val="00E133E0"/>
    <w:rsid w:val="00E2034D"/>
    <w:rsid w:val="00E21443"/>
    <w:rsid w:val="00E232B9"/>
    <w:rsid w:val="00E23545"/>
    <w:rsid w:val="00E3059C"/>
    <w:rsid w:val="00E34EF9"/>
    <w:rsid w:val="00E36B3F"/>
    <w:rsid w:val="00E37950"/>
    <w:rsid w:val="00E37E0F"/>
    <w:rsid w:val="00E43DC1"/>
    <w:rsid w:val="00E52037"/>
    <w:rsid w:val="00E52416"/>
    <w:rsid w:val="00E52FED"/>
    <w:rsid w:val="00E56226"/>
    <w:rsid w:val="00E56655"/>
    <w:rsid w:val="00E61BF2"/>
    <w:rsid w:val="00E65D06"/>
    <w:rsid w:val="00E66995"/>
    <w:rsid w:val="00E67CC0"/>
    <w:rsid w:val="00E741D8"/>
    <w:rsid w:val="00E752F9"/>
    <w:rsid w:val="00E76215"/>
    <w:rsid w:val="00E7699E"/>
    <w:rsid w:val="00E76B25"/>
    <w:rsid w:val="00E80070"/>
    <w:rsid w:val="00E80F34"/>
    <w:rsid w:val="00E82923"/>
    <w:rsid w:val="00E8452B"/>
    <w:rsid w:val="00E86164"/>
    <w:rsid w:val="00E906BD"/>
    <w:rsid w:val="00E91F24"/>
    <w:rsid w:val="00E937AA"/>
    <w:rsid w:val="00E9457B"/>
    <w:rsid w:val="00EA206E"/>
    <w:rsid w:val="00EA42F6"/>
    <w:rsid w:val="00EB0F11"/>
    <w:rsid w:val="00EB3160"/>
    <w:rsid w:val="00EB55AF"/>
    <w:rsid w:val="00EB6966"/>
    <w:rsid w:val="00EB7F6D"/>
    <w:rsid w:val="00EC6BCC"/>
    <w:rsid w:val="00ED14C5"/>
    <w:rsid w:val="00ED26A2"/>
    <w:rsid w:val="00ED481C"/>
    <w:rsid w:val="00ED634D"/>
    <w:rsid w:val="00EE211B"/>
    <w:rsid w:val="00EE625A"/>
    <w:rsid w:val="00EF2486"/>
    <w:rsid w:val="00EF3047"/>
    <w:rsid w:val="00EF6294"/>
    <w:rsid w:val="00EF6B49"/>
    <w:rsid w:val="00EF7C7D"/>
    <w:rsid w:val="00F12782"/>
    <w:rsid w:val="00F13390"/>
    <w:rsid w:val="00F13725"/>
    <w:rsid w:val="00F252F3"/>
    <w:rsid w:val="00F263E1"/>
    <w:rsid w:val="00F3035C"/>
    <w:rsid w:val="00F3074B"/>
    <w:rsid w:val="00F31956"/>
    <w:rsid w:val="00F4081D"/>
    <w:rsid w:val="00F439AB"/>
    <w:rsid w:val="00F44993"/>
    <w:rsid w:val="00F4522C"/>
    <w:rsid w:val="00F47E4B"/>
    <w:rsid w:val="00F60142"/>
    <w:rsid w:val="00F6098B"/>
    <w:rsid w:val="00F62475"/>
    <w:rsid w:val="00F70879"/>
    <w:rsid w:val="00F719AB"/>
    <w:rsid w:val="00F72AAD"/>
    <w:rsid w:val="00F75036"/>
    <w:rsid w:val="00F75E87"/>
    <w:rsid w:val="00F81525"/>
    <w:rsid w:val="00F83C95"/>
    <w:rsid w:val="00F85CA3"/>
    <w:rsid w:val="00F928AC"/>
    <w:rsid w:val="00F92BEA"/>
    <w:rsid w:val="00F939AC"/>
    <w:rsid w:val="00FA455F"/>
    <w:rsid w:val="00FA4753"/>
    <w:rsid w:val="00FA53C2"/>
    <w:rsid w:val="00FB1902"/>
    <w:rsid w:val="00FB27D3"/>
    <w:rsid w:val="00FB49D4"/>
    <w:rsid w:val="00FC155C"/>
    <w:rsid w:val="00FC1A63"/>
    <w:rsid w:val="00FC2741"/>
    <w:rsid w:val="00FC518E"/>
    <w:rsid w:val="00FD09F6"/>
    <w:rsid w:val="00FD12E8"/>
    <w:rsid w:val="00FE032D"/>
    <w:rsid w:val="00FE1080"/>
    <w:rsid w:val="00FE2E5C"/>
    <w:rsid w:val="00FE65C8"/>
    <w:rsid w:val="00FE6CA2"/>
    <w:rsid w:val="00FF0313"/>
    <w:rsid w:val="00FF14A7"/>
    <w:rsid w:val="00FF647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E192B"/>
  <w15:chartTrackingRefBased/>
  <w15:docId w15:val="{BF9C4F64-9D0B-4358-B31F-9DA1FC46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1DAF"/>
    <w:pPr>
      <w:spacing w:after="200" w:line="276" w:lineRule="auto"/>
    </w:pPr>
    <w:rPr>
      <w:sz w:val="22"/>
      <w:szCs w:val="22"/>
      <w:lang w:val="en-US" w:eastAsia="en-US"/>
    </w:rPr>
  </w:style>
  <w:style w:type="paragraph" w:styleId="berschrift1">
    <w:name w:val="heading 1"/>
    <w:aliases w:val="Main_heading"/>
    <w:next w:val="Mainbody"/>
    <w:link w:val="berschrift1Zchn"/>
    <w:uiPriority w:val="9"/>
    <w:qFormat/>
    <w:rsid w:val="005002D9"/>
    <w:pPr>
      <w:keepNext/>
      <w:numPr>
        <w:numId w:val="21"/>
      </w:numPr>
      <w:spacing w:after="120"/>
      <w:outlineLvl w:val="0"/>
    </w:pPr>
    <w:rPr>
      <w:rFonts w:ascii="Times New Roman" w:eastAsia="Times New Roman" w:hAnsi="Times New Roman"/>
      <w:b/>
      <w:bCs/>
      <w:kern w:val="32"/>
      <w:sz w:val="24"/>
      <w:szCs w:val="32"/>
      <w:lang w:val="en-US" w:eastAsia="en-US"/>
    </w:rPr>
  </w:style>
  <w:style w:type="paragraph" w:styleId="berschrift2">
    <w:name w:val="heading 2"/>
    <w:aliases w:val="Subheading_1"/>
    <w:next w:val="Mainbody"/>
    <w:link w:val="berschrift2Zchn"/>
    <w:uiPriority w:val="9"/>
    <w:qFormat/>
    <w:rsid w:val="00116293"/>
    <w:pPr>
      <w:keepNext/>
      <w:numPr>
        <w:ilvl w:val="1"/>
        <w:numId w:val="21"/>
      </w:numPr>
      <w:spacing w:after="60"/>
      <w:outlineLvl w:val="1"/>
    </w:pPr>
    <w:rPr>
      <w:rFonts w:ascii="Times New Roman" w:eastAsia="Times New Roman" w:hAnsi="Times New Roman"/>
      <w:b/>
      <w:bCs/>
      <w:i/>
      <w:iCs/>
      <w:sz w:val="24"/>
      <w:szCs w:val="28"/>
      <w:lang w:val="en-US" w:eastAsia="en-US"/>
    </w:rPr>
  </w:style>
  <w:style w:type="paragraph" w:styleId="berschrift3">
    <w:name w:val="heading 3"/>
    <w:aliases w:val="Subheading_2"/>
    <w:basedOn w:val="Standard"/>
    <w:next w:val="Mainbody"/>
    <w:link w:val="berschrift3Zchn"/>
    <w:uiPriority w:val="9"/>
    <w:qFormat/>
    <w:rsid w:val="005002D9"/>
    <w:pPr>
      <w:keepNext/>
      <w:numPr>
        <w:ilvl w:val="2"/>
        <w:numId w:val="21"/>
      </w:numPr>
      <w:spacing w:after="60" w:line="240" w:lineRule="auto"/>
      <w:outlineLvl w:val="2"/>
    </w:pPr>
    <w:rPr>
      <w:rFonts w:ascii="Times New Roman" w:eastAsia="Times New Roman" w:hAnsi="Times New Roman"/>
      <w:bCs/>
      <w:i/>
      <w:sz w:val="24"/>
    </w:rPr>
  </w:style>
  <w:style w:type="paragraph" w:styleId="berschrift4">
    <w:name w:val="heading 4"/>
    <w:basedOn w:val="Standard"/>
    <w:next w:val="Standard"/>
    <w:link w:val="berschrift4Zchn"/>
    <w:uiPriority w:val="9"/>
    <w:qFormat/>
    <w:rsid w:val="0062069F"/>
    <w:pPr>
      <w:keepNext/>
      <w:numPr>
        <w:ilvl w:val="3"/>
        <w:numId w:val="21"/>
      </w:numPr>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qFormat/>
    <w:rsid w:val="0062069F"/>
    <w:pPr>
      <w:numPr>
        <w:ilvl w:val="4"/>
        <w:numId w:val="21"/>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qFormat/>
    <w:rsid w:val="0062069F"/>
    <w:pPr>
      <w:numPr>
        <w:ilvl w:val="5"/>
        <w:numId w:val="21"/>
      </w:numPr>
      <w:spacing w:before="240" w:after="60"/>
      <w:outlineLvl w:val="5"/>
    </w:pPr>
    <w:rPr>
      <w:rFonts w:eastAsia="Times New Roman"/>
      <w:b/>
      <w:bCs/>
    </w:rPr>
  </w:style>
  <w:style w:type="paragraph" w:styleId="berschrift7">
    <w:name w:val="heading 7"/>
    <w:basedOn w:val="Standard"/>
    <w:next w:val="Standard"/>
    <w:link w:val="berschrift7Zchn"/>
    <w:uiPriority w:val="9"/>
    <w:qFormat/>
    <w:rsid w:val="0062069F"/>
    <w:pPr>
      <w:numPr>
        <w:ilvl w:val="6"/>
        <w:numId w:val="21"/>
      </w:numPr>
      <w:spacing w:before="240" w:after="60"/>
      <w:outlineLvl w:val="6"/>
    </w:pPr>
    <w:rPr>
      <w:rFonts w:eastAsia="Times New Roman"/>
      <w:sz w:val="24"/>
      <w:szCs w:val="24"/>
    </w:rPr>
  </w:style>
  <w:style w:type="paragraph" w:styleId="berschrift8">
    <w:name w:val="heading 8"/>
    <w:basedOn w:val="Standard"/>
    <w:next w:val="Standard"/>
    <w:link w:val="berschrift8Zchn"/>
    <w:uiPriority w:val="9"/>
    <w:qFormat/>
    <w:rsid w:val="0062069F"/>
    <w:pPr>
      <w:numPr>
        <w:ilvl w:val="7"/>
        <w:numId w:val="21"/>
      </w:numPr>
      <w:spacing w:before="240" w:after="60"/>
      <w:outlineLvl w:val="7"/>
    </w:pPr>
    <w:rPr>
      <w:rFonts w:eastAsia="Times New Roman"/>
      <w:i/>
      <w:iCs/>
      <w:sz w:val="24"/>
      <w:szCs w:val="24"/>
    </w:rPr>
  </w:style>
  <w:style w:type="paragraph" w:styleId="berschrift9">
    <w:name w:val="heading 9"/>
    <w:basedOn w:val="Standard"/>
    <w:next w:val="Standard"/>
    <w:link w:val="berschrift9Zchn"/>
    <w:uiPriority w:val="9"/>
    <w:qFormat/>
    <w:rsid w:val="0062069F"/>
    <w:pPr>
      <w:numPr>
        <w:ilvl w:val="8"/>
        <w:numId w:val="21"/>
      </w:numPr>
      <w:spacing w:before="240" w:after="60"/>
      <w:outlineLvl w:val="8"/>
    </w:pPr>
    <w:rPr>
      <w:rFonts w:ascii="Cambria" w:eastAsia="Times New Roman"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inbody">
    <w:name w:val="Main_body"/>
    <w:link w:val="MainbodyChar"/>
    <w:qFormat/>
    <w:rsid w:val="00BA077E"/>
    <w:pPr>
      <w:tabs>
        <w:tab w:val="right" w:pos="4252"/>
      </w:tabs>
      <w:spacing w:before="120" w:after="120" w:line="260" w:lineRule="atLeast"/>
      <w:jc w:val="both"/>
    </w:pPr>
    <w:rPr>
      <w:sz w:val="22"/>
      <w:szCs w:val="22"/>
      <w:lang w:val="en-US" w:eastAsia="en-US"/>
    </w:rPr>
  </w:style>
  <w:style w:type="character" w:customStyle="1" w:styleId="MainbodyChar">
    <w:name w:val="Main_body Char"/>
    <w:link w:val="Mainbody"/>
    <w:rsid w:val="00BA077E"/>
    <w:rPr>
      <w:rFonts w:ascii="Calibri" w:hAnsi="Calibri"/>
      <w:sz w:val="22"/>
      <w:szCs w:val="22"/>
      <w:lang w:val="en-US" w:eastAsia="en-US"/>
    </w:rPr>
  </w:style>
  <w:style w:type="character" w:customStyle="1" w:styleId="berschrift1Zchn">
    <w:name w:val="Überschrift 1 Zchn"/>
    <w:aliases w:val="Main_heading Zchn"/>
    <w:link w:val="berschrift1"/>
    <w:uiPriority w:val="9"/>
    <w:rsid w:val="005002D9"/>
    <w:rPr>
      <w:rFonts w:ascii="Times New Roman" w:eastAsia="Times New Roman" w:hAnsi="Times New Roman"/>
      <w:b/>
      <w:bCs/>
      <w:kern w:val="32"/>
      <w:sz w:val="24"/>
      <w:szCs w:val="32"/>
      <w:lang w:val="en-US" w:eastAsia="en-US" w:bidi="ar-SA"/>
    </w:rPr>
  </w:style>
  <w:style w:type="character" w:customStyle="1" w:styleId="berschrift2Zchn">
    <w:name w:val="Überschrift 2 Zchn"/>
    <w:aliases w:val="Subheading_1 Zchn"/>
    <w:link w:val="berschrift2"/>
    <w:uiPriority w:val="9"/>
    <w:rsid w:val="00116293"/>
    <w:rPr>
      <w:rFonts w:ascii="Times New Roman" w:eastAsia="Times New Roman" w:hAnsi="Times New Roman"/>
      <w:b/>
      <w:bCs/>
      <w:i/>
      <w:iCs/>
      <w:sz w:val="24"/>
      <w:szCs w:val="28"/>
      <w:lang w:val="en-US" w:eastAsia="en-US" w:bidi="ar-SA"/>
    </w:rPr>
  </w:style>
  <w:style w:type="character" w:customStyle="1" w:styleId="berschrift3Zchn">
    <w:name w:val="Überschrift 3 Zchn"/>
    <w:aliases w:val="Subheading_2 Zchn"/>
    <w:link w:val="berschrift3"/>
    <w:uiPriority w:val="9"/>
    <w:rsid w:val="005002D9"/>
    <w:rPr>
      <w:rFonts w:ascii="Times New Roman" w:eastAsia="Times New Roman" w:hAnsi="Times New Roman"/>
      <w:bCs/>
      <w:i/>
      <w:sz w:val="24"/>
      <w:szCs w:val="22"/>
      <w:lang w:val="en-US" w:eastAsia="en-US"/>
    </w:rPr>
  </w:style>
  <w:style w:type="character" w:customStyle="1" w:styleId="berschrift4Zchn">
    <w:name w:val="Überschrift 4 Zchn"/>
    <w:link w:val="berschrift4"/>
    <w:uiPriority w:val="9"/>
    <w:rsid w:val="0062069F"/>
    <w:rPr>
      <w:rFonts w:eastAsia="Times New Roman"/>
      <w:b/>
      <w:bCs/>
      <w:sz w:val="28"/>
      <w:szCs w:val="28"/>
      <w:lang w:val="en-US" w:eastAsia="en-US"/>
    </w:rPr>
  </w:style>
  <w:style w:type="character" w:customStyle="1" w:styleId="berschrift5Zchn">
    <w:name w:val="Überschrift 5 Zchn"/>
    <w:link w:val="berschrift5"/>
    <w:uiPriority w:val="9"/>
    <w:rsid w:val="0062069F"/>
    <w:rPr>
      <w:rFonts w:eastAsia="Times New Roman"/>
      <w:b/>
      <w:bCs/>
      <w:i/>
      <w:iCs/>
      <w:sz w:val="26"/>
      <w:szCs w:val="26"/>
      <w:lang w:val="en-US" w:eastAsia="en-US"/>
    </w:rPr>
  </w:style>
  <w:style w:type="character" w:customStyle="1" w:styleId="berschrift6Zchn">
    <w:name w:val="Überschrift 6 Zchn"/>
    <w:link w:val="berschrift6"/>
    <w:uiPriority w:val="9"/>
    <w:rsid w:val="0062069F"/>
    <w:rPr>
      <w:rFonts w:eastAsia="Times New Roman"/>
      <w:b/>
      <w:bCs/>
      <w:sz w:val="22"/>
      <w:szCs w:val="22"/>
      <w:lang w:val="en-US" w:eastAsia="en-US"/>
    </w:rPr>
  </w:style>
  <w:style w:type="character" w:customStyle="1" w:styleId="berschrift7Zchn">
    <w:name w:val="Überschrift 7 Zchn"/>
    <w:link w:val="berschrift7"/>
    <w:uiPriority w:val="9"/>
    <w:rsid w:val="0062069F"/>
    <w:rPr>
      <w:rFonts w:eastAsia="Times New Roman"/>
      <w:sz w:val="24"/>
      <w:szCs w:val="24"/>
      <w:lang w:val="en-US" w:eastAsia="en-US"/>
    </w:rPr>
  </w:style>
  <w:style w:type="character" w:customStyle="1" w:styleId="berschrift8Zchn">
    <w:name w:val="Überschrift 8 Zchn"/>
    <w:link w:val="berschrift8"/>
    <w:uiPriority w:val="9"/>
    <w:rsid w:val="0062069F"/>
    <w:rPr>
      <w:rFonts w:eastAsia="Times New Roman"/>
      <w:i/>
      <w:iCs/>
      <w:sz w:val="24"/>
      <w:szCs w:val="24"/>
      <w:lang w:val="en-US" w:eastAsia="en-US"/>
    </w:rPr>
  </w:style>
  <w:style w:type="character" w:customStyle="1" w:styleId="berschrift9Zchn">
    <w:name w:val="Überschrift 9 Zchn"/>
    <w:link w:val="berschrift9"/>
    <w:uiPriority w:val="9"/>
    <w:rsid w:val="0062069F"/>
    <w:rPr>
      <w:rFonts w:ascii="Cambria" w:eastAsia="Times New Roman" w:hAnsi="Cambria"/>
      <w:sz w:val="22"/>
      <w:szCs w:val="22"/>
      <w:lang w:val="en-US" w:eastAsia="en-US"/>
    </w:rPr>
  </w:style>
  <w:style w:type="paragraph" w:customStyle="1" w:styleId="Papertitle">
    <w:name w:val="Paper_title"/>
    <w:basedOn w:val="Standard"/>
    <w:link w:val="PapertitleChar"/>
    <w:qFormat/>
    <w:rsid w:val="00B320F9"/>
    <w:pPr>
      <w:spacing w:after="240"/>
      <w:jc w:val="center"/>
    </w:pPr>
    <w:rPr>
      <w:rFonts w:ascii="Times New Roman" w:hAnsi="Times New Roman"/>
      <w:b/>
      <w:sz w:val="28"/>
      <w:szCs w:val="28"/>
    </w:rPr>
  </w:style>
  <w:style w:type="character" w:customStyle="1" w:styleId="PapertitleChar">
    <w:name w:val="Paper_title Char"/>
    <w:link w:val="Papertitle"/>
    <w:rsid w:val="00B320F9"/>
    <w:rPr>
      <w:rFonts w:ascii="Times New Roman" w:hAnsi="Times New Roman" w:cs="Times New Roman"/>
      <w:b/>
      <w:sz w:val="28"/>
      <w:szCs w:val="28"/>
      <w:lang w:val="en-US"/>
    </w:rPr>
  </w:style>
  <w:style w:type="paragraph" w:customStyle="1" w:styleId="Corrauthor">
    <w:name w:val="Corr_author"/>
    <w:next w:val="Abstrbody"/>
    <w:qFormat/>
    <w:rsid w:val="00F12782"/>
    <w:pPr>
      <w:spacing w:after="480"/>
      <w:jc w:val="center"/>
    </w:pPr>
    <w:rPr>
      <w:rFonts w:ascii="Times New Roman" w:hAnsi="Times New Roman"/>
      <w:i/>
      <w:szCs w:val="22"/>
      <w:lang w:val="en-GB" w:eastAsia="en-US"/>
    </w:rPr>
  </w:style>
  <w:style w:type="paragraph" w:customStyle="1" w:styleId="Abstrbody">
    <w:name w:val="Abstr_body"/>
    <w:basedOn w:val="Mainbody"/>
    <w:link w:val="AbstrbodyChar"/>
    <w:qFormat/>
    <w:rsid w:val="00E8452B"/>
    <w:pPr>
      <w:pBdr>
        <w:top w:val="single" w:sz="4" w:space="4" w:color="auto"/>
      </w:pBdr>
    </w:pPr>
    <w:rPr>
      <w:sz w:val="20"/>
      <w:szCs w:val="20"/>
    </w:rPr>
  </w:style>
  <w:style w:type="character" w:customStyle="1" w:styleId="AbstrbodyChar">
    <w:name w:val="Abstr_body Char"/>
    <w:basedOn w:val="MainbodyChar"/>
    <w:link w:val="Abstrbody"/>
    <w:rsid w:val="00E8452B"/>
    <w:rPr>
      <w:rFonts w:ascii="Calibri" w:hAnsi="Calibri"/>
      <w:sz w:val="22"/>
      <w:szCs w:val="22"/>
      <w:lang w:val="en-US" w:eastAsia="en-US"/>
    </w:rPr>
  </w:style>
  <w:style w:type="paragraph" w:customStyle="1" w:styleId="Affiliations">
    <w:name w:val="Affiliations"/>
    <w:basedOn w:val="Standard"/>
    <w:link w:val="AffiliationsChar"/>
    <w:qFormat/>
    <w:rsid w:val="00437B3E"/>
    <w:pPr>
      <w:spacing w:after="0" w:line="240" w:lineRule="auto"/>
      <w:ind w:left="357"/>
      <w:jc w:val="center"/>
    </w:pPr>
    <w:rPr>
      <w:rFonts w:ascii="Times New Roman" w:hAnsi="Times New Roman"/>
      <w:i/>
      <w:sz w:val="20"/>
      <w:szCs w:val="20"/>
    </w:rPr>
  </w:style>
  <w:style w:type="character" w:customStyle="1" w:styleId="AffiliationsChar">
    <w:name w:val="Affiliations Char"/>
    <w:link w:val="Affiliations"/>
    <w:rsid w:val="00437B3E"/>
    <w:rPr>
      <w:rFonts w:ascii="Times New Roman" w:hAnsi="Times New Roman"/>
      <w:i/>
      <w:lang w:val="en-US" w:eastAsia="en-US"/>
    </w:rPr>
  </w:style>
  <w:style w:type="paragraph" w:customStyle="1" w:styleId="Authornames">
    <w:name w:val="Author_names"/>
    <w:basedOn w:val="Standard"/>
    <w:link w:val="AuthornamesChar"/>
    <w:qFormat/>
    <w:rsid w:val="00B164AE"/>
    <w:pPr>
      <w:spacing w:after="220"/>
      <w:ind w:left="357"/>
      <w:jc w:val="center"/>
    </w:pPr>
    <w:rPr>
      <w:rFonts w:ascii="Times New Roman" w:hAnsi="Times New Roman"/>
      <w:sz w:val="24"/>
      <w:szCs w:val="24"/>
    </w:rPr>
  </w:style>
  <w:style w:type="character" w:customStyle="1" w:styleId="AuthornamesChar">
    <w:name w:val="Author_names Char"/>
    <w:link w:val="Authornames"/>
    <w:rsid w:val="00B164AE"/>
    <w:rPr>
      <w:rFonts w:ascii="Times New Roman" w:hAnsi="Times New Roman"/>
      <w:sz w:val="24"/>
      <w:szCs w:val="24"/>
      <w:lang w:val="en-US" w:eastAsia="en-US"/>
    </w:rPr>
  </w:style>
  <w:style w:type="paragraph" w:styleId="Beschriftung">
    <w:name w:val="caption"/>
    <w:basedOn w:val="Standard"/>
    <w:next w:val="Standard"/>
    <w:link w:val="BeschriftungZchn"/>
    <w:uiPriority w:val="35"/>
    <w:qFormat/>
    <w:rsid w:val="00A14DCD"/>
    <w:pPr>
      <w:spacing w:after="0"/>
      <w:jc w:val="both"/>
    </w:pPr>
    <w:rPr>
      <w:rFonts w:ascii="Times New Roman" w:hAnsi="Times New Roman"/>
      <w:bCs/>
      <w:i/>
      <w:szCs w:val="20"/>
    </w:rPr>
  </w:style>
  <w:style w:type="character" w:customStyle="1" w:styleId="BeschriftungZchn">
    <w:name w:val="Beschriftung Zchn"/>
    <w:link w:val="Beschriftung"/>
    <w:uiPriority w:val="35"/>
    <w:rsid w:val="00A14DCD"/>
    <w:rPr>
      <w:rFonts w:ascii="Times New Roman" w:hAnsi="Times New Roman"/>
      <w:bCs/>
      <w:i/>
      <w:sz w:val="22"/>
      <w:lang w:val="en-US" w:eastAsia="en-US"/>
    </w:rPr>
  </w:style>
  <w:style w:type="paragraph" w:customStyle="1" w:styleId="Lists">
    <w:name w:val="Lists"/>
    <w:basedOn w:val="Mainbody"/>
    <w:link w:val="ListsChar"/>
    <w:rsid w:val="00035D61"/>
    <w:pPr>
      <w:numPr>
        <w:numId w:val="7"/>
      </w:numPr>
      <w:ind w:left="714" w:hanging="357"/>
      <w:contextualSpacing/>
    </w:pPr>
  </w:style>
  <w:style w:type="character" w:customStyle="1" w:styleId="ListsChar">
    <w:name w:val="Lists Char"/>
    <w:link w:val="Lists"/>
    <w:rsid w:val="00035D61"/>
    <w:rPr>
      <w:rFonts w:ascii="Times New Roman" w:hAnsi="Times New Roman"/>
      <w:sz w:val="24"/>
      <w:szCs w:val="22"/>
      <w:lang w:val="en-US" w:eastAsia="en-US" w:bidi="ar-SA"/>
    </w:rPr>
  </w:style>
  <w:style w:type="table" w:styleId="Tabellenraster">
    <w:name w:val="Table Grid"/>
    <w:aliases w:val="Tabellengitternetz"/>
    <w:basedOn w:val="NormaleTabelle"/>
    <w:rsid w:val="00761C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eywords">
    <w:name w:val="Keywords"/>
    <w:basedOn w:val="Abstrbody"/>
    <w:link w:val="KeywordsChar"/>
    <w:qFormat/>
    <w:rsid w:val="00E3059C"/>
    <w:pPr>
      <w:pBdr>
        <w:top w:val="none" w:sz="0" w:space="0" w:color="auto"/>
        <w:bottom w:val="single" w:sz="4" w:space="4" w:color="auto"/>
      </w:pBdr>
      <w:spacing w:after="240"/>
    </w:pPr>
    <w:rPr>
      <w:i/>
    </w:rPr>
  </w:style>
  <w:style w:type="character" w:customStyle="1" w:styleId="KeywordsChar">
    <w:name w:val="Keywords Char"/>
    <w:link w:val="Keywords"/>
    <w:rsid w:val="00E3059C"/>
    <w:rPr>
      <w:rFonts w:ascii="Times New Roman" w:hAnsi="Times New Roman"/>
      <w:i/>
      <w:sz w:val="24"/>
      <w:szCs w:val="22"/>
      <w:lang w:val="en-US" w:eastAsia="en-US" w:bidi="ar-SA"/>
    </w:rPr>
  </w:style>
  <w:style w:type="paragraph" w:styleId="Endnotentext">
    <w:name w:val="endnote text"/>
    <w:basedOn w:val="Standard"/>
    <w:link w:val="EndnotentextZchn"/>
    <w:semiHidden/>
    <w:unhideWhenUsed/>
    <w:rsid w:val="00D8367D"/>
    <w:rPr>
      <w:sz w:val="20"/>
      <w:szCs w:val="20"/>
    </w:rPr>
  </w:style>
  <w:style w:type="character" w:customStyle="1" w:styleId="EndnotentextZchn">
    <w:name w:val="Endnotentext Zchn"/>
    <w:link w:val="Endnotentext"/>
    <w:uiPriority w:val="99"/>
    <w:semiHidden/>
    <w:rsid w:val="00D8367D"/>
    <w:rPr>
      <w:lang w:eastAsia="en-US"/>
    </w:rPr>
  </w:style>
  <w:style w:type="character" w:styleId="Endnotenzeichen">
    <w:name w:val="endnote reference"/>
    <w:semiHidden/>
    <w:unhideWhenUsed/>
    <w:rsid w:val="00D8367D"/>
    <w:rPr>
      <w:vertAlign w:val="superscript"/>
    </w:rPr>
  </w:style>
  <w:style w:type="paragraph" w:customStyle="1" w:styleId="Referencelist">
    <w:name w:val="Reference list"/>
    <w:basedOn w:val="Mainbody"/>
    <w:link w:val="ReferencelistChar"/>
    <w:qFormat/>
    <w:rsid w:val="008B5B3E"/>
    <w:pPr>
      <w:numPr>
        <w:numId w:val="8"/>
      </w:numPr>
      <w:tabs>
        <w:tab w:val="clear" w:pos="4252"/>
      </w:tabs>
      <w:ind w:left="425" w:hanging="425"/>
    </w:pPr>
  </w:style>
  <w:style w:type="character" w:customStyle="1" w:styleId="ReferencelistChar">
    <w:name w:val="Reference list Char"/>
    <w:basedOn w:val="MainbodyChar"/>
    <w:link w:val="Referencelist"/>
    <w:rsid w:val="008B5B3E"/>
    <w:rPr>
      <w:rFonts w:ascii="Calibri" w:hAnsi="Calibri"/>
      <w:sz w:val="22"/>
      <w:szCs w:val="22"/>
      <w:lang w:val="en-US" w:eastAsia="en-US"/>
    </w:rPr>
  </w:style>
  <w:style w:type="paragraph" w:customStyle="1" w:styleId="Headingunnumbered">
    <w:name w:val="Heading_unnumbered"/>
    <w:next w:val="Mainbody"/>
    <w:rsid w:val="008B5B3E"/>
    <w:pPr>
      <w:spacing w:after="120"/>
      <w:ind w:left="340" w:hanging="340"/>
    </w:pPr>
    <w:rPr>
      <w:rFonts w:ascii="Times New Roman" w:eastAsia="Times New Roman" w:hAnsi="Times New Roman"/>
      <w:b/>
      <w:bCs/>
      <w:kern w:val="32"/>
      <w:sz w:val="24"/>
      <w:szCs w:val="32"/>
      <w:lang w:val="en-US" w:eastAsia="en-US"/>
    </w:rPr>
  </w:style>
  <w:style w:type="character" w:styleId="Kommentarzeichen">
    <w:name w:val="annotation reference"/>
    <w:unhideWhenUsed/>
    <w:rsid w:val="00747CD5"/>
    <w:rPr>
      <w:sz w:val="16"/>
      <w:szCs w:val="16"/>
    </w:rPr>
  </w:style>
  <w:style w:type="paragraph" w:styleId="Kommentartext">
    <w:name w:val="annotation text"/>
    <w:basedOn w:val="Standard"/>
    <w:link w:val="KommentartextZchn"/>
    <w:unhideWhenUsed/>
    <w:rsid w:val="0040780F"/>
    <w:rPr>
      <w:sz w:val="20"/>
      <w:szCs w:val="20"/>
    </w:rPr>
  </w:style>
  <w:style w:type="character" w:customStyle="1" w:styleId="KommentartextZchn">
    <w:name w:val="Kommentartext Zchn"/>
    <w:link w:val="Kommentartext"/>
    <w:rsid w:val="00747CD5"/>
    <w:rPr>
      <w:lang w:val="en-US" w:eastAsia="en-US"/>
    </w:rPr>
  </w:style>
  <w:style w:type="paragraph" w:styleId="Kommentarthema">
    <w:name w:val="annotation subject"/>
    <w:basedOn w:val="Kommentartext"/>
    <w:next w:val="Kommentartext"/>
    <w:link w:val="KommentarthemaZchn"/>
    <w:uiPriority w:val="99"/>
    <w:semiHidden/>
    <w:unhideWhenUsed/>
    <w:rsid w:val="00747CD5"/>
    <w:rPr>
      <w:b/>
      <w:bCs/>
    </w:rPr>
  </w:style>
  <w:style w:type="character" w:customStyle="1" w:styleId="KommentarthemaZchn">
    <w:name w:val="Kommentarthema Zchn"/>
    <w:link w:val="Kommentarthema"/>
    <w:uiPriority w:val="99"/>
    <w:semiHidden/>
    <w:rsid w:val="00747CD5"/>
    <w:rPr>
      <w:b/>
      <w:bCs/>
      <w:lang w:eastAsia="en-US"/>
    </w:rPr>
  </w:style>
  <w:style w:type="paragraph" w:styleId="Sprechblasentext">
    <w:name w:val="Balloon Text"/>
    <w:basedOn w:val="Standard"/>
    <w:link w:val="SprechblasentextZchn"/>
    <w:uiPriority w:val="99"/>
    <w:semiHidden/>
    <w:unhideWhenUsed/>
    <w:rsid w:val="00747CD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47CD5"/>
    <w:rPr>
      <w:rFonts w:ascii="Tahoma" w:hAnsi="Tahoma" w:cs="Tahoma"/>
      <w:sz w:val="16"/>
      <w:szCs w:val="16"/>
      <w:lang w:eastAsia="en-US"/>
    </w:rPr>
  </w:style>
  <w:style w:type="paragraph" w:styleId="Fuzeile">
    <w:name w:val="footer"/>
    <w:basedOn w:val="Standard"/>
    <w:link w:val="FuzeileZchn"/>
    <w:uiPriority w:val="99"/>
    <w:unhideWhenUsed/>
    <w:rsid w:val="00CF01C1"/>
    <w:pPr>
      <w:tabs>
        <w:tab w:val="center" w:pos="4536"/>
        <w:tab w:val="right" w:pos="9072"/>
      </w:tabs>
    </w:pPr>
  </w:style>
  <w:style w:type="character" w:customStyle="1" w:styleId="FuzeileZchn">
    <w:name w:val="Fußzeile Zchn"/>
    <w:link w:val="Fuzeile"/>
    <w:uiPriority w:val="99"/>
    <w:rsid w:val="00CF01C1"/>
    <w:rPr>
      <w:sz w:val="22"/>
      <w:szCs w:val="22"/>
      <w:lang w:val="en-US" w:eastAsia="en-US"/>
    </w:rPr>
  </w:style>
  <w:style w:type="paragraph" w:customStyle="1" w:styleId="Nomenclature">
    <w:name w:val="Nomenclature"/>
    <w:basedOn w:val="Mainbody"/>
    <w:link w:val="NomenclatureChar"/>
    <w:qFormat/>
    <w:rsid w:val="005F5969"/>
    <w:pPr>
      <w:tabs>
        <w:tab w:val="left" w:pos="426"/>
        <w:tab w:val="right" w:leader="dot" w:pos="4252"/>
      </w:tabs>
      <w:jc w:val="left"/>
    </w:pPr>
    <w:rPr>
      <w:i/>
    </w:rPr>
  </w:style>
  <w:style w:type="character" w:customStyle="1" w:styleId="NomenclatureChar">
    <w:name w:val="Nomenclature Char"/>
    <w:link w:val="Nomenclature"/>
    <w:rsid w:val="005F5969"/>
    <w:rPr>
      <w:rFonts w:ascii="Times New Roman" w:hAnsi="Times New Roman"/>
      <w:i/>
      <w:sz w:val="22"/>
      <w:szCs w:val="22"/>
      <w:lang w:val="en-US" w:eastAsia="en-US" w:bidi="ar-SA"/>
    </w:rPr>
  </w:style>
  <w:style w:type="paragraph" w:styleId="Kopfzeile">
    <w:name w:val="header"/>
    <w:basedOn w:val="Standard"/>
    <w:link w:val="KopfzeileZchn"/>
    <w:uiPriority w:val="99"/>
    <w:unhideWhenUsed/>
    <w:rsid w:val="002C3EB0"/>
    <w:pPr>
      <w:tabs>
        <w:tab w:val="center" w:pos="4536"/>
        <w:tab w:val="right" w:pos="9072"/>
      </w:tabs>
    </w:pPr>
  </w:style>
  <w:style w:type="character" w:customStyle="1" w:styleId="KopfzeileZchn">
    <w:name w:val="Kopfzeile Zchn"/>
    <w:link w:val="Kopfzeile"/>
    <w:uiPriority w:val="99"/>
    <w:rsid w:val="002C3EB0"/>
    <w:rPr>
      <w:sz w:val="22"/>
      <w:szCs w:val="22"/>
      <w:lang w:val="en-US" w:eastAsia="en-US"/>
    </w:rPr>
  </w:style>
  <w:style w:type="paragraph" w:customStyle="1" w:styleId="Authnames">
    <w:name w:val="Auth_names"/>
    <w:qFormat/>
    <w:rsid w:val="004476B0"/>
    <w:pPr>
      <w:spacing w:after="240"/>
      <w:jc w:val="center"/>
    </w:pPr>
    <w:rPr>
      <w:rFonts w:ascii="Times New Roman" w:hAnsi="Times New Roman"/>
      <w:sz w:val="24"/>
      <w:szCs w:val="22"/>
      <w:lang w:val="en-GB" w:eastAsia="en-US"/>
    </w:rPr>
  </w:style>
  <w:style w:type="paragraph" w:customStyle="1" w:styleId="Affiliation">
    <w:name w:val="Affiliation"/>
    <w:qFormat/>
    <w:rsid w:val="004476B0"/>
    <w:pPr>
      <w:jc w:val="center"/>
    </w:pPr>
    <w:rPr>
      <w:rFonts w:ascii="Times New Roman" w:hAnsi="Times New Roman"/>
      <w:i/>
      <w:szCs w:val="22"/>
      <w:lang w:val="en-GB" w:eastAsia="en-US"/>
    </w:rPr>
  </w:style>
  <w:style w:type="paragraph" w:styleId="Funotentext">
    <w:name w:val="footnote text"/>
    <w:aliases w:val="Fußnote,-E Fußnotentext,Fußnotentext Ursprung,(Diplomarbeit),(Diplomarbeit)1,(Diplomarbeit)2,(Diplomarbeit)3,(Diplomarbeit)4,(Diplomarbeit)5,(Diplomarbeit)6,(Diplomarbeit)7,(Diplomarbeit)8,(Diplomarbeit)9,Fußnotentext Urspru"/>
    <w:basedOn w:val="Standard"/>
    <w:link w:val="FunotentextZchn1"/>
    <w:semiHidden/>
    <w:rsid w:val="00EB7F6D"/>
    <w:pPr>
      <w:tabs>
        <w:tab w:val="left" w:pos="284"/>
        <w:tab w:val="left" w:pos="567"/>
        <w:tab w:val="left" w:pos="851"/>
        <w:tab w:val="left" w:pos="1134"/>
      </w:tabs>
      <w:spacing w:after="60" w:line="270" w:lineRule="exact"/>
      <w:ind w:left="284" w:hanging="284"/>
      <w:jc w:val="both"/>
    </w:pPr>
    <w:rPr>
      <w:rFonts w:ascii="Times New Roman" w:eastAsia="Times New Roman" w:hAnsi="Times New Roman"/>
      <w:sz w:val="20"/>
      <w:szCs w:val="20"/>
      <w:lang w:val="de-DE" w:eastAsia="de-DE"/>
    </w:rPr>
  </w:style>
  <w:style w:type="character" w:customStyle="1" w:styleId="FunotentextZchn">
    <w:name w:val="Fußnotentext Zchn"/>
    <w:uiPriority w:val="99"/>
    <w:semiHidden/>
    <w:rsid w:val="00EB7F6D"/>
    <w:rPr>
      <w:lang w:val="en-US" w:eastAsia="en-US"/>
    </w:rPr>
  </w:style>
  <w:style w:type="character" w:styleId="Funotenzeichen">
    <w:name w:val="footnote reference"/>
    <w:aliases w:val="-E Fußnotenzeichen"/>
    <w:semiHidden/>
    <w:rsid w:val="00EB7F6D"/>
    <w:rPr>
      <w:sz w:val="20"/>
      <w:szCs w:val="20"/>
      <w:vertAlign w:val="superscript"/>
    </w:rPr>
  </w:style>
  <w:style w:type="character" w:customStyle="1" w:styleId="FunotentextZchn1">
    <w:name w:val="Fußnotentext Zchn1"/>
    <w:aliases w:val="Fußnote Zchn,-E Fußnotentext Zchn,Fußnotentext Ursprung Zchn,(Diplomarbeit) Zchn,(Diplomarbeit)1 Zchn,(Diplomarbeit)2 Zchn,(Diplomarbeit)3 Zchn,(Diplomarbeit)4 Zchn,(Diplomarbeit)5 Zchn,(Diplomarbeit)6 Zchn,(Diplomarbeit)7 Zchn"/>
    <w:link w:val="Funotentext"/>
    <w:uiPriority w:val="99"/>
    <w:semiHidden/>
    <w:locked/>
    <w:rsid w:val="00EB7F6D"/>
    <w:rPr>
      <w:rFonts w:ascii="Times New Roman" w:eastAsia="Times New Roman" w:hAnsi="Times New Roman"/>
    </w:rPr>
  </w:style>
  <w:style w:type="paragraph" w:customStyle="1" w:styleId="KeinAbsatzformat">
    <w:name w:val="[Kein Absatzformat]"/>
    <w:rsid w:val="00A21712"/>
    <w:pPr>
      <w:widowControl w:val="0"/>
      <w:autoSpaceDE w:val="0"/>
      <w:autoSpaceDN w:val="0"/>
      <w:adjustRightInd w:val="0"/>
      <w:spacing w:line="288" w:lineRule="auto"/>
      <w:textAlignment w:val="center"/>
    </w:pPr>
    <w:rPr>
      <w:rFonts w:ascii="Interstate-RegularCondensed" w:eastAsia="Times" w:hAnsi="Interstate-RegularCondensed"/>
      <w:color w:val="000000"/>
      <w:sz w:val="24"/>
      <w:lang w:eastAsia="ko-KR"/>
    </w:rPr>
  </w:style>
  <w:style w:type="paragraph" w:customStyle="1" w:styleId="TabelleZahlenzentriertfett">
    <w:name w:val="Tabelle Zahlen zentriert fett"/>
    <w:basedOn w:val="KeinAbsatzformat"/>
    <w:rsid w:val="00A21712"/>
    <w:pPr>
      <w:spacing w:line="220" w:lineRule="atLeast"/>
      <w:jc w:val="center"/>
    </w:pPr>
    <w:rPr>
      <w:b/>
      <w:sz w:val="18"/>
      <w:lang w:val="en-US"/>
    </w:rPr>
  </w:style>
  <w:style w:type="paragraph" w:customStyle="1" w:styleId="TabelleZahlenArialnarrow8pt">
    <w:name w:val="Tabelle Zahlen Arial narrow 8pt"/>
    <w:basedOn w:val="KeinAbsatzformat"/>
    <w:rsid w:val="00A21712"/>
    <w:pPr>
      <w:spacing w:line="180" w:lineRule="atLeast"/>
      <w:jc w:val="center"/>
    </w:pPr>
    <w:rPr>
      <w:rFonts w:ascii="ArialNarrow" w:hAnsi="ArialNarrow"/>
      <w:sz w:val="16"/>
      <w:lang w:val="en-US"/>
    </w:rPr>
  </w:style>
  <w:style w:type="paragraph" w:customStyle="1" w:styleId="EinfacherAbsatz">
    <w:name w:val="[Einfacher Absatz]"/>
    <w:basedOn w:val="Standard"/>
    <w:rsid w:val="00FD09F6"/>
    <w:pPr>
      <w:widowControl w:val="0"/>
      <w:autoSpaceDE w:val="0"/>
      <w:autoSpaceDN w:val="0"/>
      <w:adjustRightInd w:val="0"/>
      <w:spacing w:after="0" w:line="288" w:lineRule="auto"/>
      <w:textAlignment w:val="center"/>
    </w:pPr>
    <w:rPr>
      <w:rFonts w:ascii="Times-Roman" w:eastAsia="Times" w:hAnsi="Times-Roman"/>
      <w:color w:val="000000"/>
      <w:sz w:val="24"/>
      <w:szCs w:val="20"/>
      <w:lang w:val="de-DE" w:eastAsia="ko-KR"/>
    </w:rPr>
  </w:style>
  <w:style w:type="paragraph" w:customStyle="1" w:styleId="Flietext">
    <w:name w:val="Fließtext"/>
    <w:basedOn w:val="Standard"/>
    <w:rsid w:val="00FD09F6"/>
    <w:pPr>
      <w:widowControl w:val="0"/>
      <w:autoSpaceDE w:val="0"/>
      <w:autoSpaceDN w:val="0"/>
      <w:adjustRightInd w:val="0"/>
      <w:spacing w:after="0" w:line="250" w:lineRule="atLeast"/>
      <w:textAlignment w:val="baseline"/>
    </w:pPr>
    <w:rPr>
      <w:rFonts w:ascii="DemosEF-Medium" w:eastAsia="Times" w:hAnsi="DemosEF-Medium"/>
      <w:color w:val="000000"/>
      <w:sz w:val="19"/>
      <w:szCs w:val="20"/>
      <w:lang w:val="de-DE" w:eastAsia="ko-KR"/>
    </w:rPr>
  </w:style>
  <w:style w:type="character" w:customStyle="1" w:styleId="ZahlAufzhlungfett">
    <w:name w:val="Zahl Aufzählung fett"/>
    <w:rsid w:val="00FD09F6"/>
    <w:rPr>
      <w:b/>
    </w:rPr>
  </w:style>
  <w:style w:type="paragraph" w:customStyle="1" w:styleId="GrafikrechtsIntregcon">
    <w:name w:val="Grafik rechts Int reg con"/>
    <w:basedOn w:val="KeinAbsatzformat"/>
    <w:rsid w:val="00FD09F6"/>
    <w:pPr>
      <w:spacing w:line="200" w:lineRule="atLeast"/>
      <w:ind w:right="142"/>
      <w:jc w:val="right"/>
      <w:textAlignment w:val="baseline"/>
    </w:pPr>
    <w:rPr>
      <w:sz w:val="17"/>
    </w:rPr>
  </w:style>
  <w:style w:type="paragraph" w:customStyle="1" w:styleId="Kastentext">
    <w:name w:val="Kastentext"/>
    <w:basedOn w:val="KeinAbsatzformat"/>
    <w:rsid w:val="00FD09F6"/>
    <w:pPr>
      <w:spacing w:line="250" w:lineRule="atLeast"/>
      <w:ind w:left="113" w:right="113"/>
    </w:pPr>
    <w:rPr>
      <w:sz w:val="19"/>
    </w:rPr>
  </w:style>
  <w:style w:type="paragraph" w:customStyle="1" w:styleId="Grafikheadline">
    <w:name w:val="Grafikheadline"/>
    <w:basedOn w:val="KeinAbsatzformat"/>
    <w:rsid w:val="00FD09F6"/>
    <w:pPr>
      <w:spacing w:line="260" w:lineRule="atLeast"/>
    </w:pPr>
    <w:rPr>
      <w:rFonts w:ascii="Interstate-BoldCondensed" w:hAnsi="Interstate-BoldCondensed"/>
      <w:b/>
    </w:rPr>
  </w:style>
  <w:style w:type="paragraph" w:customStyle="1" w:styleId="QuelleFunote">
    <w:name w:val="Quelle Fußnote"/>
    <w:basedOn w:val="Standard"/>
    <w:rsid w:val="00FD09F6"/>
    <w:pPr>
      <w:widowControl w:val="0"/>
      <w:autoSpaceDE w:val="0"/>
      <w:autoSpaceDN w:val="0"/>
      <w:adjustRightInd w:val="0"/>
      <w:spacing w:after="0" w:line="180" w:lineRule="atLeast"/>
      <w:ind w:left="113" w:hanging="113"/>
      <w:textAlignment w:val="center"/>
    </w:pPr>
    <w:rPr>
      <w:rFonts w:ascii="DemosEF-Medium" w:eastAsia="Times" w:hAnsi="DemosEF-Medium"/>
      <w:color w:val="000000"/>
      <w:sz w:val="14"/>
      <w:szCs w:val="20"/>
      <w:lang w:val="de-DE" w:eastAsia="ko-KR"/>
    </w:rPr>
  </w:style>
  <w:style w:type="paragraph" w:customStyle="1" w:styleId="Subline2Ebene">
    <w:name w:val="Subline 2. Ebene"/>
    <w:basedOn w:val="KeinAbsatzformat"/>
    <w:rsid w:val="00FD09F6"/>
    <w:pPr>
      <w:tabs>
        <w:tab w:val="left" w:pos="680"/>
      </w:tabs>
      <w:spacing w:line="250" w:lineRule="atLeast"/>
      <w:textAlignment w:val="baseline"/>
    </w:pPr>
    <w:rPr>
      <w:rFonts w:ascii="Interstate-BoldCondensed" w:hAnsi="Interstate-BoldCondensed"/>
      <w:b/>
      <w:color w:val="D57E1C"/>
      <w:sz w:val="28"/>
    </w:rPr>
  </w:style>
  <w:style w:type="paragraph" w:customStyle="1" w:styleId="Default">
    <w:name w:val="Default"/>
    <w:rsid w:val="00CD2611"/>
    <w:pPr>
      <w:autoSpaceDE w:val="0"/>
      <w:autoSpaceDN w:val="0"/>
      <w:adjustRightInd w:val="0"/>
    </w:pPr>
    <w:rPr>
      <w:rFonts w:ascii="Arial" w:hAnsi="Arial" w:cs="Arial"/>
      <w:color w:val="000000"/>
      <w:sz w:val="24"/>
      <w:szCs w:val="24"/>
    </w:rPr>
  </w:style>
  <w:style w:type="paragraph" w:customStyle="1" w:styleId="Deckblatt-Autor">
    <w:name w:val="Deckblatt-Autor"/>
    <w:basedOn w:val="Default"/>
    <w:next w:val="Default"/>
    <w:uiPriority w:val="99"/>
    <w:rsid w:val="00E43DC1"/>
    <w:rPr>
      <w:rFonts w:ascii="Times New Roman" w:hAnsi="Times New Roman" w:cs="Times New Roman"/>
      <w:color w:val="auto"/>
    </w:rPr>
  </w:style>
  <w:style w:type="paragraph" w:customStyle="1" w:styleId="Deckblatt-Haupttitel">
    <w:name w:val="Deckblatt-Haupttitel"/>
    <w:basedOn w:val="Default"/>
    <w:next w:val="Default"/>
    <w:uiPriority w:val="99"/>
    <w:rsid w:val="00E43DC1"/>
    <w:rPr>
      <w:rFonts w:ascii="Times New Roman" w:hAnsi="Times New Roman" w:cs="Times New Roman"/>
      <w:color w:val="auto"/>
    </w:rPr>
  </w:style>
  <w:style w:type="character" w:styleId="Hyperlink">
    <w:name w:val="Hyperlink"/>
    <w:rsid w:val="00266D2C"/>
    <w:rPr>
      <w:color w:val="0000FF"/>
      <w:u w:val="single"/>
    </w:rPr>
  </w:style>
  <w:style w:type="paragraph" w:customStyle="1" w:styleId="AufzhlungPfeilGWS">
    <w:name w:val="Aufzählung (Pfeil) GWS"/>
    <w:basedOn w:val="Standard"/>
    <w:link w:val="AufzhlungPfeilGWSZchn"/>
    <w:autoRedefine/>
    <w:rsid w:val="009407F8"/>
    <w:pPr>
      <w:widowControl w:val="0"/>
      <w:numPr>
        <w:numId w:val="30"/>
      </w:numPr>
      <w:spacing w:after="0" w:line="300" w:lineRule="exact"/>
      <w:ind w:left="284" w:hanging="284"/>
    </w:pPr>
    <w:rPr>
      <w:rFonts w:ascii="Arial" w:hAnsi="Arial" w:cs="Arial"/>
      <w:color w:val="364A64"/>
    </w:rPr>
  </w:style>
  <w:style w:type="character" w:customStyle="1" w:styleId="AufzhlungPfeilGWSZchn">
    <w:name w:val="Aufzählung (Pfeil) GWS Zchn"/>
    <w:link w:val="AufzhlungPfeilGWS"/>
    <w:rsid w:val="009407F8"/>
    <w:rPr>
      <w:rFonts w:ascii="Arial" w:hAnsi="Arial" w:cs="Arial"/>
      <w:color w:val="364A64"/>
      <w:sz w:val="22"/>
      <w:szCs w:val="22"/>
      <w:lang w:val="en-US" w:eastAsia="en-US"/>
    </w:rPr>
  </w:style>
  <w:style w:type="character" w:styleId="Fett">
    <w:name w:val="Strong"/>
    <w:uiPriority w:val="22"/>
    <w:qFormat/>
    <w:rsid w:val="00FE1080"/>
    <w:rPr>
      <w:b/>
      <w:bCs/>
    </w:rPr>
  </w:style>
  <w:style w:type="character" w:styleId="BesuchterHyperlink">
    <w:name w:val="FollowedHyperlink"/>
    <w:uiPriority w:val="99"/>
    <w:semiHidden/>
    <w:unhideWhenUsed/>
    <w:rsid w:val="00FE1080"/>
    <w:rPr>
      <w:color w:val="954F72"/>
      <w:u w:val="single"/>
    </w:rPr>
  </w:style>
  <w:style w:type="table" w:customStyle="1" w:styleId="Gitternetztabelle1hell1">
    <w:name w:val="Gitternetztabelle 1 hell1"/>
    <w:basedOn w:val="NormaleTabelle"/>
    <w:uiPriority w:val="46"/>
    <w:rsid w:val="00CB03C8"/>
    <w:rPr>
      <w:rFonts w:eastAsia="Times New Roman" w:cs="Arial"/>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1Absatzn1zweizeilig">
    <w:name w:val="1. Absatz n. Ü1 zweizeilig"/>
    <w:basedOn w:val="Standard"/>
    <w:next w:val="Standard"/>
    <w:semiHidden/>
    <w:rsid w:val="00924390"/>
    <w:pPr>
      <w:spacing w:before="120" w:after="120" w:line="240" w:lineRule="exact"/>
      <w:jc w:val="both"/>
    </w:pPr>
    <w:rPr>
      <w:rFonts w:ascii="Arial" w:eastAsia="Times New Roman" w:hAnsi="Arial"/>
      <w:color w:val="000000"/>
      <w:sz w:val="20"/>
      <w:szCs w:val="24"/>
      <w:lang w:eastAsia="de-DE"/>
    </w:rPr>
  </w:style>
  <w:style w:type="paragraph" w:styleId="Textkrper">
    <w:name w:val="Body Text"/>
    <w:link w:val="TextkrperZchn"/>
    <w:semiHidden/>
    <w:unhideWhenUsed/>
    <w:rsid w:val="007753ED"/>
    <w:pPr>
      <w:spacing w:before="120" w:after="120" w:line="280" w:lineRule="atLeast"/>
    </w:pPr>
    <w:rPr>
      <w:rFonts w:ascii="Cambria" w:eastAsia="Times New Roman" w:hAnsi="Cambria"/>
      <w:sz w:val="22"/>
      <w:szCs w:val="24"/>
    </w:rPr>
  </w:style>
  <w:style w:type="character" w:customStyle="1" w:styleId="TextkrperZchn">
    <w:name w:val="Textkörper Zchn"/>
    <w:link w:val="Textkrper"/>
    <w:semiHidden/>
    <w:rsid w:val="007753ED"/>
    <w:rPr>
      <w:rFonts w:ascii="Cambria" w:eastAsia="Times New Roman" w:hAnsi="Cambria"/>
      <w:sz w:val="22"/>
      <w:szCs w:val="24"/>
    </w:rPr>
  </w:style>
  <w:style w:type="paragraph" w:styleId="berarbeitung">
    <w:name w:val="Revision"/>
    <w:hidden/>
    <w:uiPriority w:val="99"/>
    <w:semiHidden/>
    <w:rsid w:val="0040780F"/>
    <w:rPr>
      <w:sz w:val="22"/>
      <w:szCs w:val="22"/>
      <w:lang w:val="en-US" w:eastAsia="en-US"/>
    </w:rPr>
  </w:style>
  <w:style w:type="paragraph" w:customStyle="1" w:styleId="Pa14">
    <w:name w:val="Pa14"/>
    <w:basedOn w:val="Default"/>
    <w:next w:val="Default"/>
    <w:uiPriority w:val="99"/>
    <w:rsid w:val="002331E9"/>
    <w:pPr>
      <w:spacing w:line="241" w:lineRule="atLeast"/>
    </w:pPr>
    <w:rPr>
      <w:rFonts w:ascii="Frutiger 57Cn" w:hAnsi="Frutiger 57Cn" w:cs="Times New Roman"/>
      <w:color w:val="auto"/>
    </w:rPr>
  </w:style>
  <w:style w:type="character" w:customStyle="1" w:styleId="A7">
    <w:name w:val="A7"/>
    <w:uiPriority w:val="99"/>
    <w:rsid w:val="002331E9"/>
    <w:rPr>
      <w:rFonts w:ascii="Wingdings" w:hAnsi="Wingdings" w:cs="Wingdings"/>
      <w:color w:val="000000"/>
      <w:sz w:val="16"/>
      <w:szCs w:val="16"/>
    </w:rPr>
  </w:style>
  <w:style w:type="paragraph" w:customStyle="1" w:styleId="blog-postrubric">
    <w:name w:val="blog-post__rubric"/>
    <w:basedOn w:val="Standard"/>
    <w:rsid w:val="00B44E96"/>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blog-postlocation-created">
    <w:name w:val="blog-post__location-created"/>
    <w:basedOn w:val="Absatz-Standardschriftart"/>
    <w:rsid w:val="00B44E96"/>
  </w:style>
  <w:style w:type="paragraph" w:styleId="StandardWeb">
    <w:name w:val="Normal (Web)"/>
    <w:basedOn w:val="Standard"/>
    <w:uiPriority w:val="99"/>
    <w:semiHidden/>
    <w:unhideWhenUsed/>
    <w:rsid w:val="00B44E96"/>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blog-postcomments-contentwrapper">
    <w:name w:val="blog-post__comments-contentwrapper"/>
    <w:basedOn w:val="Absatz-Standardschriftart"/>
    <w:rsid w:val="00B44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7855">
      <w:bodyDiv w:val="1"/>
      <w:marLeft w:val="0"/>
      <w:marRight w:val="0"/>
      <w:marTop w:val="0"/>
      <w:marBottom w:val="0"/>
      <w:divBdr>
        <w:top w:val="none" w:sz="0" w:space="0" w:color="auto"/>
        <w:left w:val="none" w:sz="0" w:space="0" w:color="auto"/>
        <w:bottom w:val="none" w:sz="0" w:space="0" w:color="auto"/>
        <w:right w:val="none" w:sz="0" w:space="0" w:color="auto"/>
      </w:divBdr>
    </w:div>
    <w:div w:id="214582170">
      <w:bodyDiv w:val="1"/>
      <w:marLeft w:val="0"/>
      <w:marRight w:val="0"/>
      <w:marTop w:val="0"/>
      <w:marBottom w:val="0"/>
      <w:divBdr>
        <w:top w:val="none" w:sz="0" w:space="0" w:color="auto"/>
        <w:left w:val="none" w:sz="0" w:space="0" w:color="auto"/>
        <w:bottom w:val="none" w:sz="0" w:space="0" w:color="auto"/>
        <w:right w:val="none" w:sz="0" w:space="0" w:color="auto"/>
      </w:divBdr>
    </w:div>
    <w:div w:id="352994554">
      <w:bodyDiv w:val="1"/>
      <w:marLeft w:val="0"/>
      <w:marRight w:val="0"/>
      <w:marTop w:val="0"/>
      <w:marBottom w:val="0"/>
      <w:divBdr>
        <w:top w:val="none" w:sz="0" w:space="0" w:color="auto"/>
        <w:left w:val="none" w:sz="0" w:space="0" w:color="auto"/>
        <w:bottom w:val="none" w:sz="0" w:space="0" w:color="auto"/>
        <w:right w:val="none" w:sz="0" w:space="0" w:color="auto"/>
      </w:divBdr>
    </w:div>
    <w:div w:id="359939974">
      <w:bodyDiv w:val="1"/>
      <w:marLeft w:val="0"/>
      <w:marRight w:val="0"/>
      <w:marTop w:val="0"/>
      <w:marBottom w:val="0"/>
      <w:divBdr>
        <w:top w:val="none" w:sz="0" w:space="0" w:color="auto"/>
        <w:left w:val="none" w:sz="0" w:space="0" w:color="auto"/>
        <w:bottom w:val="none" w:sz="0" w:space="0" w:color="auto"/>
        <w:right w:val="none" w:sz="0" w:space="0" w:color="auto"/>
      </w:divBdr>
    </w:div>
    <w:div w:id="376928792">
      <w:bodyDiv w:val="1"/>
      <w:marLeft w:val="0"/>
      <w:marRight w:val="0"/>
      <w:marTop w:val="0"/>
      <w:marBottom w:val="0"/>
      <w:divBdr>
        <w:top w:val="none" w:sz="0" w:space="0" w:color="auto"/>
        <w:left w:val="none" w:sz="0" w:space="0" w:color="auto"/>
        <w:bottom w:val="none" w:sz="0" w:space="0" w:color="auto"/>
        <w:right w:val="none" w:sz="0" w:space="0" w:color="auto"/>
      </w:divBdr>
    </w:div>
    <w:div w:id="491678606">
      <w:bodyDiv w:val="1"/>
      <w:marLeft w:val="0"/>
      <w:marRight w:val="0"/>
      <w:marTop w:val="0"/>
      <w:marBottom w:val="0"/>
      <w:divBdr>
        <w:top w:val="none" w:sz="0" w:space="0" w:color="auto"/>
        <w:left w:val="none" w:sz="0" w:space="0" w:color="auto"/>
        <w:bottom w:val="none" w:sz="0" w:space="0" w:color="auto"/>
        <w:right w:val="none" w:sz="0" w:space="0" w:color="auto"/>
      </w:divBdr>
    </w:div>
    <w:div w:id="530189071">
      <w:bodyDiv w:val="1"/>
      <w:marLeft w:val="0"/>
      <w:marRight w:val="0"/>
      <w:marTop w:val="0"/>
      <w:marBottom w:val="0"/>
      <w:divBdr>
        <w:top w:val="none" w:sz="0" w:space="0" w:color="auto"/>
        <w:left w:val="none" w:sz="0" w:space="0" w:color="auto"/>
        <w:bottom w:val="none" w:sz="0" w:space="0" w:color="auto"/>
        <w:right w:val="none" w:sz="0" w:space="0" w:color="auto"/>
      </w:divBdr>
    </w:div>
    <w:div w:id="703214802">
      <w:bodyDiv w:val="1"/>
      <w:marLeft w:val="0"/>
      <w:marRight w:val="0"/>
      <w:marTop w:val="0"/>
      <w:marBottom w:val="0"/>
      <w:divBdr>
        <w:top w:val="none" w:sz="0" w:space="0" w:color="auto"/>
        <w:left w:val="none" w:sz="0" w:space="0" w:color="auto"/>
        <w:bottom w:val="none" w:sz="0" w:space="0" w:color="auto"/>
        <w:right w:val="none" w:sz="0" w:space="0" w:color="auto"/>
      </w:divBdr>
      <w:divsChild>
        <w:div w:id="610016870">
          <w:marLeft w:val="0"/>
          <w:marRight w:val="0"/>
          <w:marTop w:val="0"/>
          <w:marBottom w:val="0"/>
          <w:divBdr>
            <w:top w:val="none" w:sz="0" w:space="0" w:color="auto"/>
            <w:left w:val="none" w:sz="0" w:space="0" w:color="auto"/>
            <w:bottom w:val="none" w:sz="0" w:space="0" w:color="auto"/>
            <w:right w:val="none" w:sz="0" w:space="0" w:color="auto"/>
          </w:divBdr>
          <w:divsChild>
            <w:div w:id="1091121391">
              <w:marLeft w:val="0"/>
              <w:marRight w:val="0"/>
              <w:marTop w:val="0"/>
              <w:marBottom w:val="0"/>
              <w:divBdr>
                <w:top w:val="none" w:sz="0" w:space="0" w:color="auto"/>
                <w:left w:val="none" w:sz="0" w:space="0" w:color="auto"/>
                <w:bottom w:val="none" w:sz="0" w:space="0" w:color="auto"/>
                <w:right w:val="none" w:sz="0" w:space="0" w:color="auto"/>
              </w:divBdr>
              <w:divsChild>
                <w:div w:id="1843855485">
                  <w:marLeft w:val="0"/>
                  <w:marRight w:val="0"/>
                  <w:marTop w:val="0"/>
                  <w:marBottom w:val="0"/>
                  <w:divBdr>
                    <w:top w:val="none" w:sz="0" w:space="0" w:color="auto"/>
                    <w:left w:val="none" w:sz="0" w:space="0" w:color="auto"/>
                    <w:bottom w:val="none" w:sz="0" w:space="0" w:color="auto"/>
                    <w:right w:val="none" w:sz="0" w:space="0" w:color="auto"/>
                  </w:divBdr>
                  <w:divsChild>
                    <w:div w:id="5249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1873">
              <w:marLeft w:val="0"/>
              <w:marRight w:val="0"/>
              <w:marTop w:val="0"/>
              <w:marBottom w:val="0"/>
              <w:divBdr>
                <w:top w:val="none" w:sz="0" w:space="0" w:color="auto"/>
                <w:left w:val="none" w:sz="0" w:space="0" w:color="auto"/>
                <w:bottom w:val="none" w:sz="0" w:space="0" w:color="auto"/>
                <w:right w:val="none" w:sz="0" w:space="0" w:color="auto"/>
              </w:divBdr>
              <w:divsChild>
                <w:div w:id="189077454">
                  <w:marLeft w:val="0"/>
                  <w:marRight w:val="0"/>
                  <w:marTop w:val="0"/>
                  <w:marBottom w:val="0"/>
                  <w:divBdr>
                    <w:top w:val="none" w:sz="0" w:space="0" w:color="auto"/>
                    <w:left w:val="none" w:sz="0" w:space="0" w:color="auto"/>
                    <w:bottom w:val="none" w:sz="0" w:space="0" w:color="auto"/>
                    <w:right w:val="none" w:sz="0" w:space="0" w:color="auto"/>
                  </w:divBdr>
                  <w:divsChild>
                    <w:div w:id="1718238851">
                      <w:marLeft w:val="0"/>
                      <w:marRight w:val="0"/>
                      <w:marTop w:val="0"/>
                      <w:marBottom w:val="0"/>
                      <w:divBdr>
                        <w:top w:val="none" w:sz="0" w:space="0" w:color="auto"/>
                        <w:left w:val="none" w:sz="0" w:space="0" w:color="auto"/>
                        <w:bottom w:val="none" w:sz="0" w:space="0" w:color="auto"/>
                        <w:right w:val="none" w:sz="0" w:space="0" w:color="auto"/>
                      </w:divBdr>
                    </w:div>
                    <w:div w:id="81145620">
                      <w:marLeft w:val="0"/>
                      <w:marRight w:val="0"/>
                      <w:marTop w:val="0"/>
                      <w:marBottom w:val="0"/>
                      <w:divBdr>
                        <w:top w:val="none" w:sz="0" w:space="0" w:color="auto"/>
                        <w:left w:val="none" w:sz="0" w:space="0" w:color="auto"/>
                        <w:bottom w:val="none" w:sz="0" w:space="0" w:color="auto"/>
                        <w:right w:val="none" w:sz="0" w:space="0" w:color="auto"/>
                      </w:divBdr>
                    </w:div>
                    <w:div w:id="453984333">
                      <w:marLeft w:val="0"/>
                      <w:marRight w:val="0"/>
                      <w:marTop w:val="0"/>
                      <w:marBottom w:val="0"/>
                      <w:divBdr>
                        <w:top w:val="none" w:sz="0" w:space="0" w:color="auto"/>
                        <w:left w:val="none" w:sz="0" w:space="0" w:color="auto"/>
                        <w:bottom w:val="none" w:sz="0" w:space="0" w:color="auto"/>
                        <w:right w:val="none" w:sz="0" w:space="0" w:color="auto"/>
                      </w:divBdr>
                    </w:div>
                    <w:div w:id="241331117">
                      <w:marLeft w:val="0"/>
                      <w:marRight w:val="0"/>
                      <w:marTop w:val="0"/>
                      <w:marBottom w:val="0"/>
                      <w:divBdr>
                        <w:top w:val="none" w:sz="0" w:space="0" w:color="auto"/>
                        <w:left w:val="none" w:sz="0" w:space="0" w:color="auto"/>
                        <w:bottom w:val="none" w:sz="0" w:space="0" w:color="auto"/>
                        <w:right w:val="none" w:sz="0" w:space="0" w:color="auto"/>
                      </w:divBdr>
                    </w:div>
                    <w:div w:id="1794589725">
                      <w:marLeft w:val="0"/>
                      <w:marRight w:val="0"/>
                      <w:marTop w:val="0"/>
                      <w:marBottom w:val="0"/>
                      <w:divBdr>
                        <w:top w:val="none" w:sz="0" w:space="0" w:color="auto"/>
                        <w:left w:val="none" w:sz="0" w:space="0" w:color="auto"/>
                        <w:bottom w:val="none" w:sz="0" w:space="0" w:color="auto"/>
                        <w:right w:val="none" w:sz="0" w:space="0" w:color="auto"/>
                      </w:divBdr>
                    </w:div>
                    <w:div w:id="773938462">
                      <w:marLeft w:val="0"/>
                      <w:marRight w:val="0"/>
                      <w:marTop w:val="0"/>
                      <w:marBottom w:val="0"/>
                      <w:divBdr>
                        <w:top w:val="none" w:sz="0" w:space="0" w:color="auto"/>
                        <w:left w:val="none" w:sz="0" w:space="0" w:color="auto"/>
                        <w:bottom w:val="none" w:sz="0" w:space="0" w:color="auto"/>
                        <w:right w:val="none" w:sz="0" w:space="0" w:color="auto"/>
                      </w:divBdr>
                    </w:div>
                    <w:div w:id="2046521013">
                      <w:marLeft w:val="0"/>
                      <w:marRight w:val="0"/>
                      <w:marTop w:val="0"/>
                      <w:marBottom w:val="0"/>
                      <w:divBdr>
                        <w:top w:val="none" w:sz="0" w:space="0" w:color="auto"/>
                        <w:left w:val="none" w:sz="0" w:space="0" w:color="auto"/>
                        <w:bottom w:val="none" w:sz="0" w:space="0" w:color="auto"/>
                        <w:right w:val="none" w:sz="0" w:space="0" w:color="auto"/>
                      </w:divBdr>
                    </w:div>
                    <w:div w:id="1552572728">
                      <w:marLeft w:val="0"/>
                      <w:marRight w:val="0"/>
                      <w:marTop w:val="0"/>
                      <w:marBottom w:val="0"/>
                      <w:divBdr>
                        <w:top w:val="none" w:sz="0" w:space="0" w:color="auto"/>
                        <w:left w:val="none" w:sz="0" w:space="0" w:color="auto"/>
                        <w:bottom w:val="none" w:sz="0" w:space="0" w:color="auto"/>
                        <w:right w:val="none" w:sz="0" w:space="0" w:color="auto"/>
                      </w:divBdr>
                    </w:div>
                    <w:div w:id="1160344568">
                      <w:marLeft w:val="0"/>
                      <w:marRight w:val="0"/>
                      <w:marTop w:val="0"/>
                      <w:marBottom w:val="0"/>
                      <w:divBdr>
                        <w:top w:val="none" w:sz="0" w:space="0" w:color="auto"/>
                        <w:left w:val="none" w:sz="0" w:space="0" w:color="auto"/>
                        <w:bottom w:val="none" w:sz="0" w:space="0" w:color="auto"/>
                        <w:right w:val="none" w:sz="0" w:space="0" w:color="auto"/>
                      </w:divBdr>
                    </w:div>
                    <w:div w:id="1777750493">
                      <w:marLeft w:val="0"/>
                      <w:marRight w:val="0"/>
                      <w:marTop w:val="0"/>
                      <w:marBottom w:val="0"/>
                      <w:divBdr>
                        <w:top w:val="none" w:sz="0" w:space="0" w:color="auto"/>
                        <w:left w:val="none" w:sz="0" w:space="0" w:color="auto"/>
                        <w:bottom w:val="none" w:sz="0" w:space="0" w:color="auto"/>
                        <w:right w:val="none" w:sz="0" w:space="0" w:color="auto"/>
                      </w:divBdr>
                    </w:div>
                    <w:div w:id="689532942">
                      <w:marLeft w:val="0"/>
                      <w:marRight w:val="0"/>
                      <w:marTop w:val="0"/>
                      <w:marBottom w:val="0"/>
                      <w:divBdr>
                        <w:top w:val="none" w:sz="0" w:space="0" w:color="auto"/>
                        <w:left w:val="none" w:sz="0" w:space="0" w:color="auto"/>
                        <w:bottom w:val="none" w:sz="0" w:space="0" w:color="auto"/>
                        <w:right w:val="none" w:sz="0" w:space="0" w:color="auto"/>
                      </w:divBdr>
                    </w:div>
                    <w:div w:id="963192905">
                      <w:marLeft w:val="0"/>
                      <w:marRight w:val="0"/>
                      <w:marTop w:val="0"/>
                      <w:marBottom w:val="0"/>
                      <w:divBdr>
                        <w:top w:val="none" w:sz="0" w:space="0" w:color="auto"/>
                        <w:left w:val="none" w:sz="0" w:space="0" w:color="auto"/>
                        <w:bottom w:val="none" w:sz="0" w:space="0" w:color="auto"/>
                        <w:right w:val="none" w:sz="0" w:space="0" w:color="auto"/>
                      </w:divBdr>
                    </w:div>
                    <w:div w:id="223682495">
                      <w:marLeft w:val="0"/>
                      <w:marRight w:val="0"/>
                      <w:marTop w:val="0"/>
                      <w:marBottom w:val="0"/>
                      <w:divBdr>
                        <w:top w:val="none" w:sz="0" w:space="0" w:color="auto"/>
                        <w:left w:val="none" w:sz="0" w:space="0" w:color="auto"/>
                        <w:bottom w:val="none" w:sz="0" w:space="0" w:color="auto"/>
                        <w:right w:val="none" w:sz="0" w:space="0" w:color="auto"/>
                      </w:divBdr>
                    </w:div>
                    <w:div w:id="1853955558">
                      <w:marLeft w:val="0"/>
                      <w:marRight w:val="0"/>
                      <w:marTop w:val="0"/>
                      <w:marBottom w:val="0"/>
                      <w:divBdr>
                        <w:top w:val="none" w:sz="0" w:space="0" w:color="auto"/>
                        <w:left w:val="none" w:sz="0" w:space="0" w:color="auto"/>
                        <w:bottom w:val="none" w:sz="0" w:space="0" w:color="auto"/>
                        <w:right w:val="none" w:sz="0" w:space="0" w:color="auto"/>
                      </w:divBdr>
                    </w:div>
                  </w:divsChild>
                </w:div>
                <w:div w:id="1751192219">
                  <w:marLeft w:val="0"/>
                  <w:marRight w:val="0"/>
                  <w:marTop w:val="0"/>
                  <w:marBottom w:val="0"/>
                  <w:divBdr>
                    <w:top w:val="none" w:sz="0" w:space="0" w:color="auto"/>
                    <w:left w:val="none" w:sz="0" w:space="0" w:color="auto"/>
                    <w:bottom w:val="none" w:sz="0" w:space="0" w:color="auto"/>
                    <w:right w:val="none" w:sz="0" w:space="0" w:color="auto"/>
                  </w:divBdr>
                  <w:divsChild>
                    <w:div w:id="2010282779">
                      <w:marLeft w:val="0"/>
                      <w:marRight w:val="0"/>
                      <w:marTop w:val="0"/>
                      <w:marBottom w:val="0"/>
                      <w:divBdr>
                        <w:top w:val="none" w:sz="0" w:space="0" w:color="auto"/>
                        <w:left w:val="none" w:sz="0" w:space="0" w:color="auto"/>
                        <w:bottom w:val="none" w:sz="0" w:space="0" w:color="auto"/>
                        <w:right w:val="none" w:sz="0" w:space="0" w:color="auto"/>
                      </w:divBdr>
                      <w:divsChild>
                        <w:div w:id="18032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24183">
          <w:marLeft w:val="0"/>
          <w:marRight w:val="0"/>
          <w:marTop w:val="0"/>
          <w:marBottom w:val="0"/>
          <w:divBdr>
            <w:top w:val="none" w:sz="0" w:space="0" w:color="auto"/>
            <w:left w:val="none" w:sz="0" w:space="0" w:color="auto"/>
            <w:bottom w:val="none" w:sz="0" w:space="0" w:color="auto"/>
            <w:right w:val="none" w:sz="0" w:space="0" w:color="auto"/>
          </w:divBdr>
          <w:divsChild>
            <w:div w:id="948970173">
              <w:marLeft w:val="0"/>
              <w:marRight w:val="0"/>
              <w:marTop w:val="0"/>
              <w:marBottom w:val="0"/>
              <w:divBdr>
                <w:top w:val="none" w:sz="0" w:space="0" w:color="auto"/>
                <w:left w:val="none" w:sz="0" w:space="0" w:color="auto"/>
                <w:bottom w:val="none" w:sz="0" w:space="0" w:color="auto"/>
                <w:right w:val="none" w:sz="0" w:space="0" w:color="auto"/>
              </w:divBdr>
            </w:div>
            <w:div w:id="849947894">
              <w:marLeft w:val="0"/>
              <w:marRight w:val="0"/>
              <w:marTop w:val="0"/>
              <w:marBottom w:val="0"/>
              <w:divBdr>
                <w:top w:val="none" w:sz="0" w:space="0" w:color="auto"/>
                <w:left w:val="none" w:sz="0" w:space="0" w:color="auto"/>
                <w:bottom w:val="none" w:sz="0" w:space="0" w:color="auto"/>
                <w:right w:val="none" w:sz="0" w:space="0" w:color="auto"/>
              </w:divBdr>
            </w:div>
          </w:divsChild>
        </w:div>
        <w:div w:id="428550234">
          <w:marLeft w:val="0"/>
          <w:marRight w:val="0"/>
          <w:marTop w:val="0"/>
          <w:marBottom w:val="0"/>
          <w:divBdr>
            <w:top w:val="none" w:sz="0" w:space="0" w:color="auto"/>
            <w:left w:val="none" w:sz="0" w:space="0" w:color="auto"/>
            <w:bottom w:val="none" w:sz="0" w:space="0" w:color="auto"/>
            <w:right w:val="none" w:sz="0" w:space="0" w:color="auto"/>
          </w:divBdr>
          <w:divsChild>
            <w:div w:id="2115468190">
              <w:marLeft w:val="0"/>
              <w:marRight w:val="0"/>
              <w:marTop w:val="0"/>
              <w:marBottom w:val="0"/>
              <w:divBdr>
                <w:top w:val="none" w:sz="0" w:space="0" w:color="auto"/>
                <w:left w:val="none" w:sz="0" w:space="0" w:color="auto"/>
                <w:bottom w:val="none" w:sz="0" w:space="0" w:color="auto"/>
                <w:right w:val="none" w:sz="0" w:space="0" w:color="auto"/>
              </w:divBdr>
              <w:divsChild>
                <w:div w:id="1200243976">
                  <w:marLeft w:val="0"/>
                  <w:marRight w:val="0"/>
                  <w:marTop w:val="0"/>
                  <w:marBottom w:val="0"/>
                  <w:divBdr>
                    <w:top w:val="none" w:sz="0" w:space="0" w:color="auto"/>
                    <w:left w:val="none" w:sz="0" w:space="0" w:color="auto"/>
                    <w:bottom w:val="none" w:sz="0" w:space="0" w:color="auto"/>
                    <w:right w:val="none" w:sz="0" w:space="0" w:color="auto"/>
                  </w:divBdr>
                  <w:divsChild>
                    <w:div w:id="1386028319">
                      <w:marLeft w:val="0"/>
                      <w:marRight w:val="0"/>
                      <w:marTop w:val="0"/>
                      <w:marBottom w:val="0"/>
                      <w:divBdr>
                        <w:top w:val="none" w:sz="0" w:space="0" w:color="auto"/>
                        <w:left w:val="none" w:sz="0" w:space="0" w:color="auto"/>
                        <w:bottom w:val="none" w:sz="0" w:space="0" w:color="auto"/>
                        <w:right w:val="none" w:sz="0" w:space="0" w:color="auto"/>
                      </w:divBdr>
                    </w:div>
                  </w:divsChild>
                </w:div>
                <w:div w:id="476651639">
                  <w:marLeft w:val="0"/>
                  <w:marRight w:val="0"/>
                  <w:marTop w:val="0"/>
                  <w:marBottom w:val="0"/>
                  <w:divBdr>
                    <w:top w:val="none" w:sz="0" w:space="0" w:color="auto"/>
                    <w:left w:val="none" w:sz="0" w:space="0" w:color="auto"/>
                    <w:bottom w:val="none" w:sz="0" w:space="0" w:color="auto"/>
                    <w:right w:val="none" w:sz="0" w:space="0" w:color="auto"/>
                  </w:divBdr>
                  <w:divsChild>
                    <w:div w:id="1454058251">
                      <w:marLeft w:val="0"/>
                      <w:marRight w:val="0"/>
                      <w:marTop w:val="0"/>
                      <w:marBottom w:val="0"/>
                      <w:divBdr>
                        <w:top w:val="none" w:sz="0" w:space="0" w:color="auto"/>
                        <w:left w:val="none" w:sz="0" w:space="0" w:color="auto"/>
                        <w:bottom w:val="none" w:sz="0" w:space="0" w:color="auto"/>
                        <w:right w:val="none" w:sz="0" w:space="0" w:color="auto"/>
                      </w:divBdr>
                      <w:divsChild>
                        <w:div w:id="451827210">
                          <w:marLeft w:val="0"/>
                          <w:marRight w:val="0"/>
                          <w:marTop w:val="0"/>
                          <w:marBottom w:val="0"/>
                          <w:divBdr>
                            <w:top w:val="none" w:sz="0" w:space="0" w:color="auto"/>
                            <w:left w:val="none" w:sz="0" w:space="0" w:color="auto"/>
                            <w:bottom w:val="none" w:sz="0" w:space="0" w:color="auto"/>
                            <w:right w:val="none" w:sz="0" w:space="0" w:color="auto"/>
                          </w:divBdr>
                        </w:div>
                      </w:divsChild>
                    </w:div>
                    <w:div w:id="1519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24742">
      <w:bodyDiv w:val="1"/>
      <w:marLeft w:val="0"/>
      <w:marRight w:val="0"/>
      <w:marTop w:val="0"/>
      <w:marBottom w:val="0"/>
      <w:divBdr>
        <w:top w:val="none" w:sz="0" w:space="0" w:color="auto"/>
        <w:left w:val="none" w:sz="0" w:space="0" w:color="auto"/>
        <w:bottom w:val="none" w:sz="0" w:space="0" w:color="auto"/>
        <w:right w:val="none" w:sz="0" w:space="0" w:color="auto"/>
      </w:divBdr>
    </w:div>
    <w:div w:id="1311861074">
      <w:bodyDiv w:val="1"/>
      <w:marLeft w:val="0"/>
      <w:marRight w:val="0"/>
      <w:marTop w:val="0"/>
      <w:marBottom w:val="0"/>
      <w:divBdr>
        <w:top w:val="none" w:sz="0" w:space="0" w:color="auto"/>
        <w:left w:val="none" w:sz="0" w:space="0" w:color="auto"/>
        <w:bottom w:val="none" w:sz="0" w:space="0" w:color="auto"/>
        <w:right w:val="none" w:sz="0" w:space="0" w:color="auto"/>
      </w:divBdr>
    </w:div>
    <w:div w:id="1542788463">
      <w:bodyDiv w:val="1"/>
      <w:marLeft w:val="0"/>
      <w:marRight w:val="0"/>
      <w:marTop w:val="0"/>
      <w:marBottom w:val="0"/>
      <w:divBdr>
        <w:top w:val="none" w:sz="0" w:space="0" w:color="auto"/>
        <w:left w:val="none" w:sz="0" w:space="0" w:color="auto"/>
        <w:bottom w:val="none" w:sz="0" w:space="0" w:color="auto"/>
        <w:right w:val="none" w:sz="0" w:space="0" w:color="auto"/>
      </w:divBdr>
    </w:div>
    <w:div w:id="1815102950">
      <w:bodyDiv w:val="1"/>
      <w:marLeft w:val="0"/>
      <w:marRight w:val="0"/>
      <w:marTop w:val="0"/>
      <w:marBottom w:val="0"/>
      <w:divBdr>
        <w:top w:val="none" w:sz="0" w:space="0" w:color="auto"/>
        <w:left w:val="none" w:sz="0" w:space="0" w:color="auto"/>
        <w:bottom w:val="none" w:sz="0" w:space="0" w:color="auto"/>
        <w:right w:val="none" w:sz="0" w:space="0" w:color="auto"/>
      </w:divBdr>
    </w:div>
    <w:div w:id="209554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hr@gws-os.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dihk.de/ressourcen/downloads/faktenpapier-stromnetze-2015/"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it.wri.org/indc/"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F7D28-F5EB-4B8E-B87C-90AD4BA6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5701</Words>
  <Characters>35922</Characters>
  <Application>Microsoft Office Word</Application>
  <DocSecurity>0</DocSecurity>
  <Lines>299</Lines>
  <Paragraphs>83</Paragraphs>
  <ScaleCrop>false</ScaleCrop>
  <HeadingPairs>
    <vt:vector size="2" baseType="variant">
      <vt:variant>
        <vt:lpstr>Titel</vt:lpstr>
      </vt:variant>
      <vt:variant>
        <vt:i4>1</vt:i4>
      </vt:variant>
    </vt:vector>
  </HeadingPairs>
  <TitlesOfParts>
    <vt:vector size="1" baseType="lpstr">
      <vt:lpstr>Full Paper Template WREC 2011</vt:lpstr>
    </vt:vector>
  </TitlesOfParts>
  <Company/>
  <LinksUpToDate>false</LinksUpToDate>
  <CharactersWithSpaces>41540</CharactersWithSpaces>
  <SharedDoc>false</SharedDoc>
  <HLinks>
    <vt:vector size="6" baseType="variant">
      <vt:variant>
        <vt:i4>196615</vt:i4>
      </vt:variant>
      <vt:variant>
        <vt:i4>0</vt:i4>
      </vt:variant>
      <vt:variant>
        <vt:i4>0</vt:i4>
      </vt:variant>
      <vt:variant>
        <vt:i4>5</vt:i4>
      </vt:variant>
      <vt:variant>
        <vt:lpwstr>http://cait.wri.org/indc/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Paper Template WREC 2011</dc:title>
  <dc:subject/>
  <dc:creator>WREC 2011</dc:creator>
  <cp:keywords/>
  <cp:lastModifiedBy>UL</cp:lastModifiedBy>
  <cp:revision>5</cp:revision>
  <cp:lastPrinted>2017-06-14T09:39:00Z</cp:lastPrinted>
  <dcterms:created xsi:type="dcterms:W3CDTF">2017-06-16T15:44:00Z</dcterms:created>
  <dcterms:modified xsi:type="dcterms:W3CDTF">2017-06-16T15:48:00Z</dcterms:modified>
</cp:coreProperties>
</file>