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E2" w:rsidRDefault="00436565" w:rsidP="00405625">
      <w:pPr>
        <w:jc w:val="right"/>
      </w:pPr>
      <w:r>
        <w:rPr>
          <w:noProof/>
          <w:lang w:eastAsia="en-GB"/>
        </w:rPr>
        <mc:AlternateContent>
          <mc:Choice Requires="wps">
            <w:drawing>
              <wp:anchor distT="0" distB="0" distL="114300" distR="114300" simplePos="0" relativeHeight="251657215" behindDoc="1" locked="0" layoutInCell="1" allowOverlap="1">
                <wp:simplePos x="0" y="0"/>
                <wp:positionH relativeFrom="column">
                  <wp:posOffset>-1118235</wp:posOffset>
                </wp:positionH>
                <wp:positionV relativeFrom="paragraph">
                  <wp:posOffset>-1194435</wp:posOffset>
                </wp:positionV>
                <wp:extent cx="7724775" cy="10820400"/>
                <wp:effectExtent l="24765" t="24765" r="32385" b="514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10820400"/>
                        </a:xfrm>
                        <a:prstGeom prst="rect">
                          <a:avLst/>
                        </a:prstGeom>
                        <a:solidFill>
                          <a:srgbClr val="2A96A8"/>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FC5AA5" w:rsidRDefault="00FC5AA5">
                            <w:pPr>
                              <w:rPr>
                                <w:lang w:val="en-US"/>
                              </w:rPr>
                            </w:pPr>
                          </w:p>
                          <w:p w:rsidR="00FC5AA5" w:rsidRPr="00703C5D" w:rsidRDefault="00FC5AA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8.05pt;margin-top:-94.05pt;width:608.25pt;height:85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" fillcolor="#2a96a8" strokecolor="#f2f2f2 [3041]" strokeweight="3pt">
                <v:shadow on="t" color="#205867 [1608]" opacity=".5" offset="1pt"/>
                <v:textbox>
                  <w:txbxContent>
                    <w:p w:rsidR="00FC5AA5" w:rsidRDefault="00FC5AA5">
                      <w:pPr>
                        <w:rPr>
                          <w:lang w:val="en-US"/>
                        </w:rPr>
                      </w:pPr>
                    </w:p>
                    <w:p w:rsidR="00FC5AA5" w:rsidRPr="00703C5D" w:rsidRDefault="00FC5AA5">
                      <w:pPr>
                        <w:rPr>
                          <w:lang w:val="en-US"/>
                        </w:rPr>
                      </w:pPr>
                    </w:p>
                  </w:txbxContent>
                </v:textbox>
              </v:shape>
            </w:pict>
          </mc:Fallback>
        </mc:AlternateContent>
      </w:r>
      <w:r w:rsidR="00A776AD" w:rsidRPr="00A776AD">
        <w:rPr>
          <w:noProof/>
          <w:lang w:eastAsia="en-GB"/>
        </w:rPr>
        <w:drawing>
          <wp:anchor distT="0" distB="0" distL="114300" distR="114300" simplePos="0" relativeHeight="251660288" behindDoc="0" locked="0" layoutInCell="1" allowOverlap="1">
            <wp:simplePos x="0" y="0"/>
            <wp:positionH relativeFrom="column">
              <wp:posOffset>462915</wp:posOffset>
            </wp:positionH>
            <wp:positionV relativeFrom="paragraph">
              <wp:posOffset>-718185</wp:posOffset>
            </wp:positionV>
            <wp:extent cx="4583430" cy="1704975"/>
            <wp:effectExtent l="19050" t="0" r="7620" b="0"/>
            <wp:wrapSquare wrapText="bothSides"/>
            <wp:docPr id="4" name="Picture 1" descr="NEUJOBSLOGO_defin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JOBSLOGO_definitive.JPG"/>
                    <pic:cNvPicPr/>
                  </pic:nvPicPr>
                  <pic:blipFill>
                    <a:blip r:embed="rId9" cstate="print"/>
                    <a:srcRect t="11321" b="8491"/>
                    <a:stretch>
                      <a:fillRect/>
                    </a:stretch>
                  </pic:blipFill>
                  <pic:spPr>
                    <a:xfrm>
                      <a:off x="0" y="0"/>
                      <a:ext cx="4583430" cy="1704975"/>
                    </a:xfrm>
                    <a:prstGeom prst="rect">
                      <a:avLst/>
                    </a:prstGeom>
                  </pic:spPr>
                </pic:pic>
              </a:graphicData>
            </a:graphic>
          </wp:anchor>
        </w:drawing>
      </w:r>
    </w:p>
    <w:p w:rsidR="000A34E2" w:rsidRDefault="000A34E2" w:rsidP="000A34E2">
      <w:pPr>
        <w:jc w:val="center"/>
        <w:rPr>
          <w:b/>
          <w:smallCaps/>
          <w:color w:val="FFFFFF" w:themeColor="background1"/>
          <w:sz w:val="48"/>
          <w:szCs w:val="48"/>
        </w:rPr>
      </w:pPr>
    </w:p>
    <w:p w:rsidR="00FC0DB5" w:rsidRDefault="00FC0DB5" w:rsidP="000A34E2">
      <w:pPr>
        <w:jc w:val="center"/>
        <w:rPr>
          <w:b/>
          <w:smallCaps/>
          <w:color w:val="FFFFFF" w:themeColor="background1"/>
          <w:sz w:val="48"/>
          <w:szCs w:val="48"/>
        </w:rPr>
      </w:pPr>
    </w:p>
    <w:p w:rsidR="00FC0DB5" w:rsidRDefault="00C96334" w:rsidP="000A34E2">
      <w:pPr>
        <w:jc w:val="center"/>
        <w:rPr>
          <w:b/>
          <w:smallCaps/>
          <w:color w:val="FFFFFF" w:themeColor="background1"/>
          <w:sz w:val="48"/>
          <w:szCs w:val="48"/>
        </w:rPr>
      </w:pPr>
      <w:r>
        <w:rPr>
          <w:b/>
          <w:smallCaps/>
          <w:color w:val="FFFFFF" w:themeColor="background1"/>
          <w:sz w:val="48"/>
          <w:szCs w:val="48"/>
        </w:rPr>
        <w:t>SUSTAINABLE URBAN TRANSPORT STRATEGIES</w:t>
      </w:r>
      <w:r w:rsidR="00FC0DB5">
        <w:rPr>
          <w:b/>
          <w:smallCaps/>
          <w:color w:val="FFFFFF" w:themeColor="background1"/>
          <w:sz w:val="48"/>
          <w:szCs w:val="48"/>
        </w:rPr>
        <w:t xml:space="preserve"> AND JOB CREATION</w:t>
      </w:r>
    </w:p>
    <w:p w:rsidR="000A219A" w:rsidRPr="00A776AD" w:rsidRDefault="000A219A" w:rsidP="000A34E2">
      <w:pPr>
        <w:jc w:val="center"/>
        <w:rPr>
          <w:b/>
          <w:smallCaps/>
          <w:color w:val="FFFFFF" w:themeColor="background1"/>
          <w:sz w:val="48"/>
          <w:szCs w:val="48"/>
        </w:rPr>
      </w:pPr>
    </w:p>
    <w:p w:rsidR="000A34E2" w:rsidRDefault="000A219A" w:rsidP="004C2E08">
      <w:pPr>
        <w:pBdr>
          <w:bottom w:val="single" w:sz="12" w:space="1" w:color="FFFFFF" w:themeColor="background1"/>
        </w:pBdr>
        <w:jc w:val="center"/>
        <w:rPr>
          <w:b/>
          <w:smallCaps/>
          <w:color w:val="FFFFFF" w:themeColor="background1"/>
          <w:sz w:val="40"/>
          <w:szCs w:val="40"/>
        </w:rPr>
      </w:pPr>
      <w:r>
        <w:rPr>
          <w:b/>
          <w:smallCaps/>
          <w:color w:val="FFFFFF" w:themeColor="background1"/>
          <w:sz w:val="40"/>
          <w:szCs w:val="40"/>
        </w:rPr>
        <w:t>Christophe Heyndrickx - tml</w:t>
      </w:r>
    </w:p>
    <w:p w:rsidR="000A219A" w:rsidRDefault="000A219A" w:rsidP="004C2E08">
      <w:pPr>
        <w:pBdr>
          <w:bottom w:val="single" w:sz="12" w:space="1" w:color="FFFFFF" w:themeColor="background1"/>
        </w:pBdr>
        <w:jc w:val="center"/>
        <w:rPr>
          <w:b/>
          <w:smallCaps/>
          <w:color w:val="FFFFFF" w:themeColor="background1"/>
          <w:sz w:val="40"/>
          <w:szCs w:val="40"/>
        </w:rPr>
      </w:pPr>
      <w:r>
        <w:rPr>
          <w:b/>
          <w:smallCaps/>
          <w:color w:val="FFFFFF" w:themeColor="background1"/>
          <w:sz w:val="40"/>
          <w:szCs w:val="40"/>
        </w:rPr>
        <w:t>Rodric Frederix – tml</w:t>
      </w:r>
    </w:p>
    <w:p w:rsidR="000A219A" w:rsidRPr="00A776AD" w:rsidRDefault="000A219A" w:rsidP="004C2E08">
      <w:pPr>
        <w:pBdr>
          <w:bottom w:val="single" w:sz="12" w:space="1" w:color="FFFFFF" w:themeColor="background1"/>
        </w:pBdr>
        <w:jc w:val="center"/>
        <w:rPr>
          <w:b/>
          <w:smallCaps/>
          <w:color w:val="FFFFFF" w:themeColor="background1"/>
          <w:sz w:val="40"/>
          <w:szCs w:val="40"/>
        </w:rPr>
      </w:pPr>
      <w:r>
        <w:rPr>
          <w:b/>
          <w:smallCaps/>
          <w:color w:val="FFFFFF" w:themeColor="background1"/>
          <w:sz w:val="40"/>
          <w:szCs w:val="40"/>
        </w:rPr>
        <w:t>Joko Purwanto - tml</w:t>
      </w:r>
    </w:p>
    <w:p w:rsidR="000A34E2" w:rsidRPr="00A776AD" w:rsidRDefault="000A34E2" w:rsidP="000A34E2">
      <w:pPr>
        <w:jc w:val="center"/>
        <w:rPr>
          <w:b/>
          <w:smallCaps/>
          <w:color w:val="FFFFFF" w:themeColor="background1"/>
          <w:sz w:val="36"/>
          <w:szCs w:val="36"/>
        </w:rPr>
      </w:pPr>
      <w:proofErr w:type="gramStart"/>
      <w:r w:rsidRPr="00A776AD">
        <w:rPr>
          <w:b/>
          <w:smallCaps/>
          <w:color w:val="FFFFFF" w:themeColor="background1"/>
          <w:sz w:val="36"/>
          <w:szCs w:val="36"/>
        </w:rPr>
        <w:t xml:space="preserve">NEUJOBS </w:t>
      </w:r>
      <w:r w:rsidR="00436565">
        <w:rPr>
          <w:b/>
          <w:smallCaps/>
          <w:color w:val="FFFFFF" w:themeColor="background1"/>
          <w:sz w:val="36"/>
          <w:szCs w:val="36"/>
        </w:rPr>
        <w:t>DELIVERABLE</w:t>
      </w:r>
      <w:r w:rsidRPr="00A776AD">
        <w:rPr>
          <w:b/>
          <w:smallCaps/>
          <w:color w:val="FFFFFF" w:themeColor="background1"/>
          <w:sz w:val="36"/>
          <w:szCs w:val="36"/>
        </w:rPr>
        <w:t xml:space="preserve"> No.</w:t>
      </w:r>
      <w:proofErr w:type="gramEnd"/>
      <w:r w:rsidRPr="00A776AD">
        <w:rPr>
          <w:b/>
          <w:smallCaps/>
          <w:color w:val="FFFFFF" w:themeColor="background1"/>
          <w:sz w:val="36"/>
          <w:szCs w:val="36"/>
        </w:rPr>
        <w:t xml:space="preserve"> </w:t>
      </w:r>
      <w:r w:rsidR="003D3C09">
        <w:rPr>
          <w:b/>
          <w:smallCaps/>
          <w:color w:val="FFFFFF" w:themeColor="background1"/>
          <w:sz w:val="36"/>
          <w:szCs w:val="36"/>
        </w:rPr>
        <w:t>15.3</w:t>
      </w:r>
    </w:p>
    <w:p w:rsidR="000A34E2" w:rsidRPr="00A776AD" w:rsidRDefault="000A34E2" w:rsidP="000A34E2">
      <w:pPr>
        <w:jc w:val="center"/>
        <w:rPr>
          <w:b/>
          <w:smallCaps/>
          <w:color w:val="FFFFFF" w:themeColor="background1"/>
          <w:sz w:val="32"/>
          <w:szCs w:val="32"/>
        </w:rPr>
      </w:pPr>
    </w:p>
    <w:p w:rsidR="000A34E2" w:rsidRDefault="000A34E2" w:rsidP="000A34E2">
      <w:pPr>
        <w:jc w:val="center"/>
        <w:rPr>
          <w:b/>
          <w:color w:val="FFFFFF" w:themeColor="background1"/>
          <w:sz w:val="28"/>
          <w:szCs w:val="28"/>
        </w:rPr>
      </w:pPr>
      <w:r w:rsidRPr="00A776AD">
        <w:rPr>
          <w:b/>
          <w:color w:val="FFFFFF" w:themeColor="background1"/>
          <w:sz w:val="28"/>
          <w:szCs w:val="28"/>
        </w:rPr>
        <w:t>Abstract</w:t>
      </w:r>
    </w:p>
    <w:p w:rsidR="00545A80" w:rsidRPr="00545A80" w:rsidRDefault="00703C5D" w:rsidP="00BB750E">
      <w:pPr>
        <w:rPr>
          <w:rFonts w:cs="Times New Roman"/>
          <w:b/>
          <w:color w:val="FFFFFF" w:themeColor="background1"/>
        </w:rPr>
      </w:pPr>
      <w:r>
        <w:rPr>
          <w:rFonts w:cs="Times New Roman"/>
          <w:b/>
          <w:color w:val="FFFFFF" w:themeColor="background1"/>
        </w:rPr>
        <w:t xml:space="preserve">The socio-ecological transition is best defined as a major change in the patterns of human social organisation, culture, production and consumption that is driving society towards a more sustainable future. One particularly notable aspect of the current transition is determined by the size and organization of the urban system. </w:t>
      </w:r>
      <w:r w:rsidR="00545A80">
        <w:rPr>
          <w:rFonts w:cs="Times New Roman"/>
          <w:b/>
          <w:color w:val="FFFFFF" w:themeColor="background1"/>
        </w:rPr>
        <w:t xml:space="preserve">Currently, </w:t>
      </w:r>
      <w:r w:rsidR="00BB750E" w:rsidRPr="00BB750E">
        <w:rPr>
          <w:b/>
          <w:color w:val="FFFFFF" w:themeColor="background1"/>
          <w:lang w:val="en-US"/>
        </w:rPr>
        <w:t>75% of the population</w:t>
      </w:r>
      <w:r w:rsidR="00A65417">
        <w:rPr>
          <w:b/>
          <w:color w:val="FFFFFF" w:themeColor="background1"/>
          <w:lang w:val="en-US"/>
        </w:rPr>
        <w:t xml:space="preserve"> in the European Union</w:t>
      </w:r>
      <w:r w:rsidR="00BB750E" w:rsidRPr="00BB750E">
        <w:rPr>
          <w:b/>
          <w:color w:val="FFFFFF" w:themeColor="background1"/>
          <w:lang w:val="en-US"/>
        </w:rPr>
        <w:t xml:space="preserve"> </w:t>
      </w:r>
      <w:r w:rsidR="00545A80">
        <w:rPr>
          <w:b/>
          <w:color w:val="FFFFFF" w:themeColor="background1"/>
          <w:lang w:val="en-US"/>
        </w:rPr>
        <w:t>is living in urban areas</w:t>
      </w:r>
      <w:r w:rsidR="00BB750E" w:rsidRPr="00BB750E">
        <w:rPr>
          <w:b/>
          <w:color w:val="FFFFFF" w:themeColor="background1"/>
          <w:lang w:val="en-US"/>
        </w:rPr>
        <w:t xml:space="preserve"> </w:t>
      </w:r>
      <w:r w:rsidR="00BB750E">
        <w:rPr>
          <w:b/>
          <w:color w:val="FFFFFF" w:themeColor="background1"/>
          <w:lang w:val="en-US"/>
        </w:rPr>
        <w:t>and this is projected to rise</w:t>
      </w:r>
      <w:r w:rsidR="00545A80">
        <w:rPr>
          <w:b/>
          <w:color w:val="FFFFFF" w:themeColor="background1"/>
          <w:lang w:val="en-US"/>
        </w:rPr>
        <w:t xml:space="preserve"> to at least</w:t>
      </w:r>
      <w:r w:rsidR="00BB750E" w:rsidRPr="00BB750E">
        <w:rPr>
          <w:b/>
          <w:color w:val="FFFFFF" w:themeColor="background1"/>
          <w:lang w:val="en-US"/>
        </w:rPr>
        <w:t xml:space="preserve"> 80% by 2020 </w:t>
      </w:r>
      <w:r w:rsidR="00545A80">
        <w:rPr>
          <w:b/>
          <w:color w:val="FFFFFF" w:themeColor="background1"/>
          <w:lang w:val="en-US"/>
        </w:rPr>
        <w:t xml:space="preserve">and more than 85% by 2030 </w:t>
      </w:r>
      <w:r w:rsidR="00545A80" w:rsidRPr="00545A80">
        <w:rPr>
          <w:b/>
          <w:color w:val="FFFFFF" w:themeColor="background1"/>
          <w:lang w:val="en-US"/>
        </w:rPr>
        <w:t>(EEA 2006)</w:t>
      </w:r>
      <w:r w:rsidR="00BB750E" w:rsidRPr="00BB750E">
        <w:rPr>
          <w:b/>
          <w:color w:val="FFFFFF" w:themeColor="background1"/>
          <w:lang w:val="en-US"/>
        </w:rPr>
        <w:t>.</w:t>
      </w:r>
      <w:r w:rsidR="00BB750E">
        <w:rPr>
          <w:b/>
          <w:color w:val="FFFFFF" w:themeColor="background1"/>
          <w:lang w:val="en-US"/>
        </w:rPr>
        <w:t xml:space="preserve"> </w:t>
      </w:r>
      <w:r w:rsidR="008567F0">
        <w:rPr>
          <w:b/>
          <w:color w:val="FFFFFF" w:themeColor="background1"/>
          <w:lang w:val="en-US"/>
        </w:rPr>
        <w:t>Increasing the sustainability of urban traffic is therefore essential.</w:t>
      </w:r>
    </w:p>
    <w:p w:rsidR="008567F0" w:rsidRDefault="00BB750E" w:rsidP="00BB750E">
      <w:pPr>
        <w:rPr>
          <w:b/>
          <w:color w:val="FFFFFF" w:themeColor="background1"/>
          <w:szCs w:val="28"/>
        </w:rPr>
      </w:pPr>
      <w:r w:rsidRPr="00BB750E">
        <w:rPr>
          <w:b/>
          <w:color w:val="FFFFFF" w:themeColor="background1"/>
          <w:szCs w:val="28"/>
        </w:rPr>
        <w:t xml:space="preserve">This deliverable combines literature review, case-studies and model results to gain insight in the impact of urban policy on sustainability, employment and other </w:t>
      </w:r>
      <w:proofErr w:type="gramStart"/>
      <w:r w:rsidRPr="00BB750E">
        <w:rPr>
          <w:b/>
          <w:color w:val="FFFFFF" w:themeColor="background1"/>
          <w:szCs w:val="28"/>
        </w:rPr>
        <w:t>variables</w:t>
      </w:r>
      <w:proofErr w:type="gramEnd"/>
      <w:r w:rsidRPr="00BB750E">
        <w:rPr>
          <w:b/>
          <w:color w:val="FFFFFF" w:themeColor="background1"/>
          <w:szCs w:val="28"/>
        </w:rPr>
        <w:t xml:space="preserve"> impacting the liveability of the city.</w:t>
      </w:r>
      <w:r>
        <w:rPr>
          <w:b/>
          <w:color w:val="FFFFFF" w:themeColor="background1"/>
          <w:szCs w:val="28"/>
        </w:rPr>
        <w:t xml:space="preserve"> We compare th</w:t>
      </w:r>
      <w:r w:rsidR="00B412F5">
        <w:rPr>
          <w:b/>
          <w:color w:val="FFFFFF" w:themeColor="background1"/>
          <w:szCs w:val="28"/>
        </w:rPr>
        <w:t xml:space="preserve">eoretical predictions with real city policies and show how these fit in the macro-trends </w:t>
      </w:r>
      <w:r w:rsidR="00703C5D">
        <w:rPr>
          <w:b/>
          <w:color w:val="FFFFFF" w:themeColor="background1"/>
          <w:szCs w:val="28"/>
        </w:rPr>
        <w:t>of</w:t>
      </w:r>
      <w:r w:rsidR="00B412F5">
        <w:rPr>
          <w:b/>
          <w:color w:val="FFFFFF" w:themeColor="background1"/>
          <w:szCs w:val="28"/>
        </w:rPr>
        <w:t xml:space="preserve"> the socio-ecological transition.</w:t>
      </w:r>
      <w:r w:rsidR="008567F0">
        <w:rPr>
          <w:b/>
          <w:color w:val="FFFFFF" w:themeColor="background1"/>
          <w:szCs w:val="28"/>
        </w:rPr>
        <w:t xml:space="preserve"> We also calculate job creation multipliers of different strategies, which we compare with literature and practice.</w:t>
      </w:r>
    </w:p>
    <w:p w:rsidR="008B14EB" w:rsidRPr="00F11225" w:rsidRDefault="00FC5AA5" w:rsidP="00BB750E">
      <w:pPr>
        <w:rPr>
          <w:b/>
          <w:color w:val="FFFFFF" w:themeColor="background1"/>
          <w:szCs w:val="28"/>
        </w:rPr>
      </w:pPr>
      <w:r>
        <w:rPr>
          <w:b/>
          <w:noProof/>
          <w:color w:val="FFFFFF" w:themeColor="background1"/>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68pt;width:64.8pt;height:48.9pt;z-index:251658240;visibility:visible;mso-wrap-edited:f;mso-position-horizontal-relative:text;mso-position-vertical-relative:text">
            <v:imagedata r:id="rId10" o:title=""/>
          </v:shape>
          <o:OLEObject Type="Embed" ProgID="Word.Picture.8" ShapeID="_x0000_s1026" DrawAspect="Content" ObjectID="_1446887653" r:id="rId11"/>
        </w:pict>
      </w:r>
      <w:r w:rsidR="008B14EB">
        <w:rPr>
          <w:b/>
          <w:color w:val="FFFFFF" w:themeColor="background1"/>
          <w:szCs w:val="28"/>
        </w:rPr>
        <w:t xml:space="preserve">We find that </w:t>
      </w:r>
      <w:r w:rsidR="00F11225">
        <w:rPr>
          <w:b/>
          <w:color w:val="FFFFFF" w:themeColor="background1"/>
          <w:szCs w:val="28"/>
        </w:rPr>
        <w:t xml:space="preserve">the </w:t>
      </w:r>
      <w:r w:rsidR="00F11225" w:rsidRPr="00F11225">
        <w:rPr>
          <w:b/>
          <w:color w:val="FFFFFF" w:themeColor="background1"/>
          <w:lang w:val="en-US"/>
        </w:rPr>
        <w:t>policies most likely to contribute to sustainability, while at the same time stimulating employment are ‘pro-cycling policies’, ‘promotion of public transit’ and ‘promotion of energy efficiency’.</w:t>
      </w:r>
      <w:r w:rsidR="00B7689D">
        <w:rPr>
          <w:b/>
          <w:color w:val="FFFFFF" w:themeColor="background1"/>
          <w:lang w:val="en-US"/>
        </w:rPr>
        <w:t xml:space="preserve"> Promotion of fuel efficient</w:t>
      </w:r>
      <w:r w:rsidR="00F11225" w:rsidRPr="00F11225">
        <w:rPr>
          <w:b/>
          <w:color w:val="FFFFFF" w:themeColor="background1"/>
          <w:lang w:val="en-US"/>
        </w:rPr>
        <w:t xml:space="preserve"> and ele</w:t>
      </w:r>
      <w:r w:rsidR="00B7689D">
        <w:rPr>
          <w:b/>
          <w:color w:val="FFFFFF" w:themeColor="background1"/>
          <w:lang w:val="en-US"/>
        </w:rPr>
        <w:t>ctric vehicles has environmental benefits</w:t>
      </w:r>
      <w:r w:rsidR="00F11225" w:rsidRPr="00F11225">
        <w:rPr>
          <w:b/>
          <w:color w:val="FFFFFF" w:themeColor="background1"/>
          <w:lang w:val="en-US"/>
        </w:rPr>
        <w:t xml:space="preserve">, </w:t>
      </w:r>
      <w:r w:rsidR="00B7689D">
        <w:rPr>
          <w:b/>
          <w:color w:val="FFFFFF" w:themeColor="background1"/>
          <w:lang w:val="en-US"/>
        </w:rPr>
        <w:t xml:space="preserve">but less beneficial and </w:t>
      </w:r>
      <w:r w:rsidR="00273211">
        <w:rPr>
          <w:b/>
          <w:color w:val="FFFFFF" w:themeColor="background1"/>
          <w:lang w:val="en-US"/>
        </w:rPr>
        <w:t xml:space="preserve">possibly </w:t>
      </w:r>
      <w:r w:rsidR="00B7689D">
        <w:rPr>
          <w:b/>
          <w:color w:val="FFFFFF" w:themeColor="background1"/>
          <w:lang w:val="en-US"/>
        </w:rPr>
        <w:t xml:space="preserve">negative impacts on employment and GDP. </w:t>
      </w:r>
    </w:p>
    <w:p w:rsidR="00B37F3E" w:rsidRDefault="005976A1" w:rsidP="00D610DD">
      <w:pPr>
        <w:ind w:left="1560"/>
        <w:rPr>
          <w:rFonts w:eastAsia="Times New Roman" w:cs="Times New Roman"/>
          <w:b/>
          <w:color w:val="76923C" w:themeColor="accent3" w:themeShade="BF"/>
          <w:sz w:val="16"/>
          <w:szCs w:val="16"/>
          <w:lang w:eastAsia="it-IT"/>
        </w:rPr>
        <w:sectPr w:rsidR="00B37F3E" w:rsidSect="00B661AC">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418" w:footer="567" w:gutter="0"/>
          <w:cols w:space="720"/>
          <w:titlePg/>
          <w:docGrid w:linePitch="360"/>
        </w:sectPr>
      </w:pPr>
      <w:r w:rsidRPr="00A776AD">
        <w:rPr>
          <w:b/>
          <w:noProof/>
          <w:color w:val="FFFFFF" w:themeColor="background1"/>
          <w:lang w:eastAsia="en-GB"/>
        </w:rPr>
        <w:drawing>
          <wp:anchor distT="0" distB="0" distL="114300" distR="114300" simplePos="0" relativeHeight="251659264" behindDoc="0" locked="0" layoutInCell="1" allowOverlap="1" wp14:anchorId="29759EB8" wp14:editId="2056BE4E">
            <wp:simplePos x="0" y="0"/>
            <wp:positionH relativeFrom="column">
              <wp:posOffset>948690</wp:posOffset>
            </wp:positionH>
            <wp:positionV relativeFrom="paragraph">
              <wp:posOffset>509270</wp:posOffset>
            </wp:positionV>
            <wp:extent cx="742950" cy="704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2907" t="3566" r="2907" b="3566"/>
                    <a:stretch>
                      <a:fillRect/>
                    </a:stretch>
                  </pic:blipFill>
                  <pic:spPr bwMode="auto">
                    <a:xfrm>
                      <a:off x="0" y="0"/>
                      <a:ext cx="742950" cy="704850"/>
                    </a:xfrm>
                    <a:prstGeom prst="rect">
                      <a:avLst/>
                    </a:prstGeom>
                    <a:noFill/>
                    <a:ln w="9525">
                      <a:noFill/>
                      <a:miter lim="800000"/>
                      <a:headEnd/>
                      <a:tailEnd/>
                    </a:ln>
                  </pic:spPr>
                </pic:pic>
              </a:graphicData>
            </a:graphic>
          </wp:anchor>
        </w:drawing>
      </w:r>
      <w:hyperlink r:id="rId19" w:history="1">
        <w:r w:rsidR="000A34E2" w:rsidRPr="00A776AD">
          <w:rPr>
            <w:b/>
            <w:color w:val="FFFFFF" w:themeColor="background1"/>
          </w:rPr>
          <w:t>NEUJOBS</w:t>
        </w:r>
        <w:r w:rsidR="000A34E2" w:rsidRPr="00A776AD">
          <w:rPr>
            <w:rFonts w:eastAsia="Times New Roman" w:cs="Times New Roman"/>
            <w:b/>
            <w:color w:val="FFFFFF" w:themeColor="background1"/>
            <w:sz w:val="18"/>
            <w:szCs w:val="18"/>
            <w:lang w:eastAsia="it-IT"/>
          </w:rPr>
          <w:t xml:space="preserve"> Working Documents</w:t>
        </w:r>
      </w:hyperlink>
      <w:r w:rsidR="000A34E2" w:rsidRPr="00A776AD">
        <w:rPr>
          <w:rFonts w:eastAsia="Times New Roman" w:cs="Times New Roman"/>
          <w:b/>
          <w:color w:val="FFFFFF" w:themeColor="background1"/>
          <w:sz w:val="18"/>
          <w:szCs w:val="18"/>
          <w:lang w:eastAsia="it-IT"/>
        </w:rPr>
        <w:t xml:space="preserve"> are intended to give an indication of work being conducted </w:t>
      </w:r>
    </w:p>
    <w:p w:rsidR="00B37F3E" w:rsidRDefault="00B37F3E" w:rsidP="00B661AC">
      <w:pPr>
        <w:spacing w:after="40"/>
        <w:jc w:val="center"/>
        <w:rPr>
          <w:rFonts w:eastAsia="Times New Roman" w:cs="Times New Roman"/>
          <w:b/>
          <w:color w:val="76923C" w:themeColor="accent3" w:themeShade="BF"/>
          <w:sz w:val="16"/>
          <w:szCs w:val="16"/>
          <w:lang w:eastAsia="it-IT"/>
        </w:rPr>
      </w:pPr>
    </w:p>
    <w:p w:rsidR="00B37F3E" w:rsidRPr="00B37F3E" w:rsidRDefault="00273211" w:rsidP="00B37F3E">
      <w:pPr>
        <w:pStyle w:val="Header"/>
        <w:pBdr>
          <w:bottom w:val="single" w:sz="12" w:space="1" w:color="948A54" w:themeColor="background2" w:themeShade="80"/>
        </w:pBdr>
        <w:jc w:val="center"/>
        <w:rPr>
          <w:b/>
          <w:smallCaps/>
          <w:sz w:val="32"/>
          <w:szCs w:val="32"/>
        </w:rPr>
      </w:pPr>
      <w:r>
        <w:rPr>
          <w:b/>
          <w:smallCaps/>
          <w:noProof/>
          <w:sz w:val="32"/>
          <w:szCs w:val="32"/>
          <w:lang w:val="en-US"/>
        </w:rPr>
        <w:t xml:space="preserve">TABLE OF </w:t>
      </w:r>
      <w:r w:rsidR="00B37F3E" w:rsidRPr="00B37F3E">
        <w:rPr>
          <w:b/>
          <w:smallCaps/>
          <w:noProof/>
          <w:sz w:val="32"/>
          <w:szCs w:val="32"/>
          <w:lang w:val="en-US"/>
        </w:rPr>
        <w:t>C</w:t>
      </w:r>
      <w:r>
        <w:rPr>
          <w:b/>
          <w:smallCaps/>
          <w:noProof/>
          <w:sz w:val="32"/>
          <w:szCs w:val="32"/>
          <w:lang w:val="en-US"/>
        </w:rPr>
        <w:t>ONTENTS</w:t>
      </w:r>
    </w:p>
    <w:p w:rsidR="00B37F3E" w:rsidRDefault="00B37F3E" w:rsidP="00B661AC">
      <w:pPr>
        <w:spacing w:after="40"/>
        <w:jc w:val="center"/>
        <w:rPr>
          <w:rFonts w:eastAsia="Times New Roman" w:cs="Times New Roman"/>
          <w:b/>
          <w:color w:val="76923C" w:themeColor="accent3" w:themeShade="BF"/>
          <w:sz w:val="16"/>
          <w:szCs w:val="16"/>
          <w:lang w:eastAsia="it-IT"/>
        </w:rPr>
      </w:pPr>
    </w:p>
    <w:sdt>
      <w:sdtPr>
        <w:rPr>
          <w:rFonts w:ascii="Book Antiqua" w:eastAsiaTheme="minorHAnsi" w:hAnsi="Book Antiqua" w:cstheme="minorBidi"/>
          <w:b w:val="0"/>
          <w:bCs w:val="0"/>
          <w:color w:val="auto"/>
          <w:sz w:val="22"/>
          <w:szCs w:val="22"/>
          <w:lang w:val="en-GB" w:eastAsia="en-US"/>
        </w:rPr>
        <w:id w:val="91979226"/>
        <w:docPartObj>
          <w:docPartGallery w:val="Table of Contents"/>
          <w:docPartUnique/>
        </w:docPartObj>
      </w:sdtPr>
      <w:sdtEndPr>
        <w:rPr>
          <w:noProof/>
        </w:rPr>
      </w:sdtEndPr>
      <w:sdtContent>
        <w:p w:rsidR="00D37E12" w:rsidRDefault="00D37E12">
          <w:pPr>
            <w:pStyle w:val="TOCHeading"/>
          </w:pPr>
        </w:p>
        <w:p w:rsidR="007250A9" w:rsidRDefault="00D37E12">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\h \z \u </w:instrText>
          </w:r>
          <w:r>
            <w:fldChar w:fldCharType="separate"/>
          </w:r>
          <w:hyperlink w:anchor="_Toc366244919" w:history="1">
            <w:r w:rsidR="007250A9" w:rsidRPr="00F844B2">
              <w:rPr>
                <w:rStyle w:val="Hyperlink"/>
                <w:noProof/>
                <w:lang w:val="en-US"/>
              </w:rPr>
              <w:t>1</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lang w:val="en-US"/>
              </w:rPr>
              <w:t>Introduction</w:t>
            </w:r>
            <w:r w:rsidR="007250A9">
              <w:rPr>
                <w:noProof/>
                <w:webHidden/>
              </w:rPr>
              <w:tab/>
            </w:r>
            <w:r w:rsidR="007250A9">
              <w:rPr>
                <w:noProof/>
                <w:webHidden/>
              </w:rPr>
              <w:fldChar w:fldCharType="begin"/>
            </w:r>
            <w:r w:rsidR="007250A9">
              <w:rPr>
                <w:noProof/>
                <w:webHidden/>
              </w:rPr>
              <w:instrText xml:space="preserve"> PAGEREF _Toc366244919 \h </w:instrText>
            </w:r>
            <w:r w:rsidR="007250A9">
              <w:rPr>
                <w:noProof/>
                <w:webHidden/>
              </w:rPr>
            </w:r>
            <w:r w:rsidR="007250A9">
              <w:rPr>
                <w:noProof/>
                <w:webHidden/>
              </w:rPr>
              <w:fldChar w:fldCharType="separate"/>
            </w:r>
            <w:r w:rsidR="007250A9">
              <w:rPr>
                <w:noProof/>
                <w:webHidden/>
              </w:rPr>
              <w:t>2</w:t>
            </w:r>
            <w:r w:rsidR="007250A9">
              <w:rPr>
                <w:noProof/>
                <w:webHidden/>
              </w:rPr>
              <w:fldChar w:fldCharType="end"/>
            </w:r>
          </w:hyperlink>
        </w:p>
        <w:p w:rsidR="007250A9" w:rsidRDefault="00FC5AA5">
          <w:pPr>
            <w:pStyle w:val="TOC1"/>
            <w:rPr>
              <w:rFonts w:asciiTheme="minorHAnsi" w:eastAsiaTheme="minorEastAsia" w:hAnsiTheme="minorHAnsi" w:cstheme="minorBidi"/>
              <w:b w:val="0"/>
              <w:caps w:val="0"/>
              <w:noProof/>
              <w:sz w:val="22"/>
              <w:szCs w:val="22"/>
              <w:lang w:eastAsia="en-GB"/>
            </w:rPr>
          </w:pPr>
          <w:hyperlink w:anchor="_Toc366244920" w:history="1">
            <w:r w:rsidR="007250A9" w:rsidRPr="00F844B2">
              <w:rPr>
                <w:rStyle w:val="Hyperlink"/>
                <w:noProof/>
                <w:lang w:val="en-US"/>
              </w:rPr>
              <w:t>2</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lang w:val="en-US"/>
              </w:rPr>
              <w:t>Urbanization: theory and empirical findings</w:t>
            </w:r>
            <w:r w:rsidR="007250A9">
              <w:rPr>
                <w:noProof/>
                <w:webHidden/>
              </w:rPr>
              <w:tab/>
            </w:r>
            <w:r w:rsidR="007250A9">
              <w:rPr>
                <w:noProof/>
                <w:webHidden/>
              </w:rPr>
              <w:fldChar w:fldCharType="begin"/>
            </w:r>
            <w:r w:rsidR="007250A9">
              <w:rPr>
                <w:noProof/>
                <w:webHidden/>
              </w:rPr>
              <w:instrText xml:space="preserve"> PAGEREF _Toc366244920 \h </w:instrText>
            </w:r>
            <w:r w:rsidR="007250A9">
              <w:rPr>
                <w:noProof/>
                <w:webHidden/>
              </w:rPr>
            </w:r>
            <w:r w:rsidR="007250A9">
              <w:rPr>
                <w:noProof/>
                <w:webHidden/>
              </w:rPr>
              <w:fldChar w:fldCharType="separate"/>
            </w:r>
            <w:r w:rsidR="007250A9">
              <w:rPr>
                <w:noProof/>
                <w:webHidden/>
              </w:rPr>
              <w:t>3</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21" w:history="1">
            <w:r w:rsidR="007250A9" w:rsidRPr="00F844B2">
              <w:rPr>
                <w:rStyle w:val="Hyperlink"/>
                <w:noProof/>
                <w:lang w:val="en-US"/>
              </w:rPr>
              <w:t>2.1</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The role of cities</w:t>
            </w:r>
            <w:r w:rsidR="007250A9">
              <w:rPr>
                <w:noProof/>
                <w:webHidden/>
              </w:rPr>
              <w:tab/>
            </w:r>
            <w:r w:rsidR="007250A9">
              <w:rPr>
                <w:noProof/>
                <w:webHidden/>
              </w:rPr>
              <w:fldChar w:fldCharType="begin"/>
            </w:r>
            <w:r w:rsidR="007250A9">
              <w:rPr>
                <w:noProof/>
                <w:webHidden/>
              </w:rPr>
              <w:instrText xml:space="preserve"> PAGEREF _Toc366244921 \h </w:instrText>
            </w:r>
            <w:r w:rsidR="007250A9">
              <w:rPr>
                <w:noProof/>
                <w:webHidden/>
              </w:rPr>
            </w:r>
            <w:r w:rsidR="007250A9">
              <w:rPr>
                <w:noProof/>
                <w:webHidden/>
              </w:rPr>
              <w:fldChar w:fldCharType="separate"/>
            </w:r>
            <w:r w:rsidR="007250A9">
              <w:rPr>
                <w:noProof/>
                <w:webHidden/>
              </w:rPr>
              <w:t>3</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22" w:history="1">
            <w:r w:rsidR="007250A9" w:rsidRPr="00F844B2">
              <w:rPr>
                <w:rStyle w:val="Hyperlink"/>
                <w:noProof/>
                <w:lang w:val="en-US"/>
              </w:rPr>
              <w:t>2.2</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Urbanization trends across Europe</w:t>
            </w:r>
            <w:r w:rsidR="007250A9">
              <w:rPr>
                <w:noProof/>
                <w:webHidden/>
              </w:rPr>
              <w:tab/>
            </w:r>
            <w:r w:rsidR="007250A9">
              <w:rPr>
                <w:noProof/>
                <w:webHidden/>
              </w:rPr>
              <w:fldChar w:fldCharType="begin"/>
            </w:r>
            <w:r w:rsidR="007250A9">
              <w:rPr>
                <w:noProof/>
                <w:webHidden/>
              </w:rPr>
              <w:instrText xml:space="preserve"> PAGEREF _Toc366244922 \h </w:instrText>
            </w:r>
            <w:r w:rsidR="007250A9">
              <w:rPr>
                <w:noProof/>
                <w:webHidden/>
              </w:rPr>
            </w:r>
            <w:r w:rsidR="007250A9">
              <w:rPr>
                <w:noProof/>
                <w:webHidden/>
              </w:rPr>
              <w:fldChar w:fldCharType="separate"/>
            </w:r>
            <w:r w:rsidR="007250A9">
              <w:rPr>
                <w:noProof/>
                <w:webHidden/>
              </w:rPr>
              <w:t>4</w:t>
            </w:r>
            <w:r w:rsidR="007250A9">
              <w:rPr>
                <w:noProof/>
                <w:webHidden/>
              </w:rPr>
              <w:fldChar w:fldCharType="end"/>
            </w:r>
          </w:hyperlink>
        </w:p>
        <w:p w:rsidR="007250A9" w:rsidRDefault="00FC5AA5">
          <w:pPr>
            <w:pStyle w:val="TOC1"/>
            <w:rPr>
              <w:rFonts w:asciiTheme="minorHAnsi" w:eastAsiaTheme="minorEastAsia" w:hAnsiTheme="minorHAnsi" w:cstheme="minorBidi"/>
              <w:b w:val="0"/>
              <w:caps w:val="0"/>
              <w:noProof/>
              <w:sz w:val="22"/>
              <w:szCs w:val="22"/>
              <w:lang w:eastAsia="en-GB"/>
            </w:rPr>
          </w:pPr>
          <w:hyperlink w:anchor="_Toc366244923" w:history="1">
            <w:r w:rsidR="007250A9" w:rsidRPr="00F844B2">
              <w:rPr>
                <w:rStyle w:val="Hyperlink"/>
                <w:noProof/>
                <w:lang w:val="en-US"/>
              </w:rPr>
              <w:t>3</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lang w:val="en-US"/>
              </w:rPr>
              <w:t>Urbanization and the transport system</w:t>
            </w:r>
            <w:r w:rsidR="007250A9">
              <w:rPr>
                <w:noProof/>
                <w:webHidden/>
              </w:rPr>
              <w:tab/>
            </w:r>
            <w:r w:rsidR="007250A9">
              <w:rPr>
                <w:noProof/>
                <w:webHidden/>
              </w:rPr>
              <w:fldChar w:fldCharType="begin"/>
            </w:r>
            <w:r w:rsidR="007250A9">
              <w:rPr>
                <w:noProof/>
                <w:webHidden/>
              </w:rPr>
              <w:instrText xml:space="preserve"> PAGEREF _Toc366244923 \h </w:instrText>
            </w:r>
            <w:r w:rsidR="007250A9">
              <w:rPr>
                <w:noProof/>
                <w:webHidden/>
              </w:rPr>
            </w:r>
            <w:r w:rsidR="007250A9">
              <w:rPr>
                <w:noProof/>
                <w:webHidden/>
              </w:rPr>
              <w:fldChar w:fldCharType="separate"/>
            </w:r>
            <w:r w:rsidR="007250A9">
              <w:rPr>
                <w:noProof/>
                <w:webHidden/>
              </w:rPr>
              <w:t>6</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24" w:history="1">
            <w:r w:rsidR="007250A9" w:rsidRPr="00F844B2">
              <w:rPr>
                <w:rStyle w:val="Hyperlink"/>
                <w:noProof/>
                <w:lang w:val="en-US"/>
              </w:rPr>
              <w:t>3.1</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Theory of urban economics: land use, commuting and transport</w:t>
            </w:r>
            <w:r w:rsidR="007250A9">
              <w:rPr>
                <w:noProof/>
                <w:webHidden/>
              </w:rPr>
              <w:tab/>
            </w:r>
            <w:r w:rsidR="007250A9">
              <w:rPr>
                <w:noProof/>
                <w:webHidden/>
              </w:rPr>
              <w:fldChar w:fldCharType="begin"/>
            </w:r>
            <w:r w:rsidR="007250A9">
              <w:rPr>
                <w:noProof/>
                <w:webHidden/>
              </w:rPr>
              <w:instrText xml:space="preserve"> PAGEREF _Toc366244924 \h </w:instrText>
            </w:r>
            <w:r w:rsidR="007250A9">
              <w:rPr>
                <w:noProof/>
                <w:webHidden/>
              </w:rPr>
            </w:r>
            <w:r w:rsidR="007250A9">
              <w:rPr>
                <w:noProof/>
                <w:webHidden/>
              </w:rPr>
              <w:fldChar w:fldCharType="separate"/>
            </w:r>
            <w:r w:rsidR="007250A9">
              <w:rPr>
                <w:noProof/>
                <w:webHidden/>
              </w:rPr>
              <w:t>6</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25" w:history="1">
            <w:r w:rsidR="007250A9" w:rsidRPr="00F844B2">
              <w:rPr>
                <w:rStyle w:val="Hyperlink"/>
                <w:noProof/>
                <w:lang w:val="en-US"/>
              </w:rPr>
              <w:t>3.2</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From model to reality: understanding urban transport policy</w:t>
            </w:r>
            <w:r w:rsidR="007250A9">
              <w:rPr>
                <w:noProof/>
                <w:webHidden/>
              </w:rPr>
              <w:tab/>
            </w:r>
            <w:r w:rsidR="007250A9">
              <w:rPr>
                <w:noProof/>
                <w:webHidden/>
              </w:rPr>
              <w:fldChar w:fldCharType="begin"/>
            </w:r>
            <w:r w:rsidR="007250A9">
              <w:rPr>
                <w:noProof/>
                <w:webHidden/>
              </w:rPr>
              <w:instrText xml:space="preserve"> PAGEREF _Toc366244925 \h </w:instrText>
            </w:r>
            <w:r w:rsidR="007250A9">
              <w:rPr>
                <w:noProof/>
                <w:webHidden/>
              </w:rPr>
            </w:r>
            <w:r w:rsidR="007250A9">
              <w:rPr>
                <w:noProof/>
                <w:webHidden/>
              </w:rPr>
              <w:fldChar w:fldCharType="separate"/>
            </w:r>
            <w:r w:rsidR="007250A9">
              <w:rPr>
                <w:noProof/>
                <w:webHidden/>
              </w:rPr>
              <w:t>8</w:t>
            </w:r>
            <w:r w:rsidR="007250A9">
              <w:rPr>
                <w:noProof/>
                <w:webHidden/>
              </w:rPr>
              <w:fldChar w:fldCharType="end"/>
            </w:r>
          </w:hyperlink>
        </w:p>
        <w:p w:rsidR="007250A9" w:rsidRDefault="00FC5AA5">
          <w:pPr>
            <w:pStyle w:val="TOC1"/>
            <w:rPr>
              <w:rFonts w:asciiTheme="minorHAnsi" w:eastAsiaTheme="minorEastAsia" w:hAnsiTheme="minorHAnsi" w:cstheme="minorBidi"/>
              <w:b w:val="0"/>
              <w:caps w:val="0"/>
              <w:noProof/>
              <w:sz w:val="22"/>
              <w:szCs w:val="22"/>
              <w:lang w:eastAsia="en-GB"/>
            </w:rPr>
          </w:pPr>
          <w:hyperlink w:anchor="_Toc366244926" w:history="1">
            <w:r w:rsidR="007250A9" w:rsidRPr="00F844B2">
              <w:rPr>
                <w:rStyle w:val="Hyperlink"/>
                <w:noProof/>
                <w:lang w:val="en-US"/>
              </w:rPr>
              <w:t>4</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lang w:val="en-US"/>
              </w:rPr>
              <w:t>Current measures and policies in urban transport</w:t>
            </w:r>
            <w:r w:rsidR="007250A9">
              <w:rPr>
                <w:noProof/>
                <w:webHidden/>
              </w:rPr>
              <w:tab/>
            </w:r>
            <w:r w:rsidR="007250A9">
              <w:rPr>
                <w:noProof/>
                <w:webHidden/>
              </w:rPr>
              <w:fldChar w:fldCharType="begin"/>
            </w:r>
            <w:r w:rsidR="007250A9">
              <w:rPr>
                <w:noProof/>
                <w:webHidden/>
              </w:rPr>
              <w:instrText xml:space="preserve"> PAGEREF _Toc366244926 \h </w:instrText>
            </w:r>
            <w:r w:rsidR="007250A9">
              <w:rPr>
                <w:noProof/>
                <w:webHidden/>
              </w:rPr>
            </w:r>
            <w:r w:rsidR="007250A9">
              <w:rPr>
                <w:noProof/>
                <w:webHidden/>
              </w:rPr>
              <w:fldChar w:fldCharType="separate"/>
            </w:r>
            <w:r w:rsidR="007250A9">
              <w:rPr>
                <w:noProof/>
                <w:webHidden/>
              </w:rPr>
              <w:t>11</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27" w:history="1">
            <w:r w:rsidR="007250A9" w:rsidRPr="00F844B2">
              <w:rPr>
                <w:rStyle w:val="Hyperlink"/>
                <w:noProof/>
                <w:lang w:val="en-US"/>
              </w:rPr>
              <w:t>4.1</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EU level: Green paper on urban mobility and action plan</w:t>
            </w:r>
            <w:r w:rsidR="007250A9">
              <w:rPr>
                <w:noProof/>
                <w:webHidden/>
              </w:rPr>
              <w:tab/>
            </w:r>
            <w:r w:rsidR="007250A9">
              <w:rPr>
                <w:noProof/>
                <w:webHidden/>
              </w:rPr>
              <w:fldChar w:fldCharType="begin"/>
            </w:r>
            <w:r w:rsidR="007250A9">
              <w:rPr>
                <w:noProof/>
                <w:webHidden/>
              </w:rPr>
              <w:instrText xml:space="preserve"> PAGEREF _Toc366244927 \h </w:instrText>
            </w:r>
            <w:r w:rsidR="007250A9">
              <w:rPr>
                <w:noProof/>
                <w:webHidden/>
              </w:rPr>
            </w:r>
            <w:r w:rsidR="007250A9">
              <w:rPr>
                <w:noProof/>
                <w:webHidden/>
              </w:rPr>
              <w:fldChar w:fldCharType="separate"/>
            </w:r>
            <w:r w:rsidR="007250A9">
              <w:rPr>
                <w:noProof/>
                <w:webHidden/>
              </w:rPr>
              <w:t>11</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28" w:history="1">
            <w:r w:rsidR="007250A9" w:rsidRPr="00F844B2">
              <w:rPr>
                <w:rStyle w:val="Hyperlink"/>
                <w:noProof/>
              </w:rPr>
              <w:t>4.2</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rPr>
              <w:t>National and local level</w:t>
            </w:r>
            <w:r w:rsidR="007250A9">
              <w:rPr>
                <w:noProof/>
                <w:webHidden/>
              </w:rPr>
              <w:tab/>
            </w:r>
            <w:r w:rsidR="007250A9">
              <w:rPr>
                <w:noProof/>
                <w:webHidden/>
              </w:rPr>
              <w:fldChar w:fldCharType="begin"/>
            </w:r>
            <w:r w:rsidR="007250A9">
              <w:rPr>
                <w:noProof/>
                <w:webHidden/>
              </w:rPr>
              <w:instrText xml:space="preserve"> PAGEREF _Toc366244928 \h </w:instrText>
            </w:r>
            <w:r w:rsidR="007250A9">
              <w:rPr>
                <w:noProof/>
                <w:webHidden/>
              </w:rPr>
            </w:r>
            <w:r w:rsidR="007250A9">
              <w:rPr>
                <w:noProof/>
                <w:webHidden/>
              </w:rPr>
              <w:fldChar w:fldCharType="separate"/>
            </w:r>
            <w:r w:rsidR="007250A9">
              <w:rPr>
                <w:noProof/>
                <w:webHidden/>
              </w:rPr>
              <w:t>13</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29" w:history="1">
            <w:r w:rsidR="007250A9" w:rsidRPr="00F844B2">
              <w:rPr>
                <w:rStyle w:val="Hyperlink"/>
                <w:noProof/>
              </w:rPr>
              <w:t>4.2.1</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Examples of pilot projects from the NICHES and NICHES + projects</w:t>
            </w:r>
            <w:r w:rsidR="007250A9">
              <w:rPr>
                <w:noProof/>
                <w:webHidden/>
              </w:rPr>
              <w:tab/>
            </w:r>
            <w:r w:rsidR="007250A9">
              <w:rPr>
                <w:noProof/>
                <w:webHidden/>
              </w:rPr>
              <w:fldChar w:fldCharType="begin"/>
            </w:r>
            <w:r w:rsidR="007250A9">
              <w:rPr>
                <w:noProof/>
                <w:webHidden/>
              </w:rPr>
              <w:instrText xml:space="preserve"> PAGEREF _Toc366244929 \h </w:instrText>
            </w:r>
            <w:r w:rsidR="007250A9">
              <w:rPr>
                <w:noProof/>
                <w:webHidden/>
              </w:rPr>
            </w:r>
            <w:r w:rsidR="007250A9">
              <w:rPr>
                <w:noProof/>
                <w:webHidden/>
              </w:rPr>
              <w:fldChar w:fldCharType="separate"/>
            </w:r>
            <w:r w:rsidR="007250A9">
              <w:rPr>
                <w:noProof/>
                <w:webHidden/>
              </w:rPr>
              <w:t>13</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30" w:history="1">
            <w:r w:rsidR="007250A9" w:rsidRPr="00F844B2">
              <w:rPr>
                <w:rStyle w:val="Hyperlink"/>
                <w:noProof/>
                <w:lang w:val="en-US"/>
              </w:rPr>
              <w:t>4.3</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Policy on the level of the city: Copenhagen, London and Milan</w:t>
            </w:r>
            <w:r w:rsidR="007250A9">
              <w:rPr>
                <w:noProof/>
                <w:webHidden/>
              </w:rPr>
              <w:tab/>
            </w:r>
            <w:r w:rsidR="007250A9">
              <w:rPr>
                <w:noProof/>
                <w:webHidden/>
              </w:rPr>
              <w:fldChar w:fldCharType="begin"/>
            </w:r>
            <w:r w:rsidR="007250A9">
              <w:rPr>
                <w:noProof/>
                <w:webHidden/>
              </w:rPr>
              <w:instrText xml:space="preserve"> PAGEREF _Toc366244930 \h </w:instrText>
            </w:r>
            <w:r w:rsidR="007250A9">
              <w:rPr>
                <w:noProof/>
                <w:webHidden/>
              </w:rPr>
            </w:r>
            <w:r w:rsidR="007250A9">
              <w:rPr>
                <w:noProof/>
                <w:webHidden/>
              </w:rPr>
              <w:fldChar w:fldCharType="separate"/>
            </w:r>
            <w:r w:rsidR="007250A9">
              <w:rPr>
                <w:noProof/>
                <w:webHidden/>
              </w:rPr>
              <w:t>14</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31" w:history="1">
            <w:r w:rsidR="007250A9" w:rsidRPr="00F844B2">
              <w:rPr>
                <w:rStyle w:val="Hyperlink"/>
                <w:noProof/>
                <w:lang w:val="en-US"/>
              </w:rPr>
              <w:t>4.3.1</w:t>
            </w:r>
            <w:r w:rsidR="007250A9">
              <w:rPr>
                <w:rFonts w:asciiTheme="minorHAnsi" w:eastAsiaTheme="minorEastAsia" w:hAnsiTheme="minorHAnsi" w:cstheme="minorBidi"/>
                <w:i w:val="0"/>
                <w:noProof/>
                <w:sz w:val="22"/>
                <w:szCs w:val="22"/>
                <w:lang w:eastAsia="en-GB"/>
              </w:rPr>
              <w:tab/>
            </w:r>
            <w:r w:rsidR="007250A9" w:rsidRPr="00F844B2">
              <w:rPr>
                <w:rStyle w:val="Hyperlink"/>
                <w:noProof/>
                <w:lang w:val="en-US"/>
              </w:rPr>
              <w:t>Copenhagen</w:t>
            </w:r>
            <w:r w:rsidR="007250A9">
              <w:rPr>
                <w:noProof/>
                <w:webHidden/>
              </w:rPr>
              <w:tab/>
            </w:r>
            <w:r w:rsidR="007250A9">
              <w:rPr>
                <w:noProof/>
                <w:webHidden/>
              </w:rPr>
              <w:fldChar w:fldCharType="begin"/>
            </w:r>
            <w:r w:rsidR="007250A9">
              <w:rPr>
                <w:noProof/>
                <w:webHidden/>
              </w:rPr>
              <w:instrText xml:space="preserve"> PAGEREF _Toc366244931 \h </w:instrText>
            </w:r>
            <w:r w:rsidR="007250A9">
              <w:rPr>
                <w:noProof/>
                <w:webHidden/>
              </w:rPr>
            </w:r>
            <w:r w:rsidR="007250A9">
              <w:rPr>
                <w:noProof/>
                <w:webHidden/>
              </w:rPr>
              <w:fldChar w:fldCharType="separate"/>
            </w:r>
            <w:r w:rsidR="007250A9">
              <w:rPr>
                <w:noProof/>
                <w:webHidden/>
              </w:rPr>
              <w:t>14</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32" w:history="1">
            <w:r w:rsidR="007250A9" w:rsidRPr="00F844B2">
              <w:rPr>
                <w:rStyle w:val="Hyperlink"/>
                <w:noProof/>
              </w:rPr>
              <w:t>4.3.2</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London</w:t>
            </w:r>
            <w:r w:rsidR="007250A9">
              <w:rPr>
                <w:noProof/>
                <w:webHidden/>
              </w:rPr>
              <w:tab/>
            </w:r>
            <w:r w:rsidR="007250A9">
              <w:rPr>
                <w:noProof/>
                <w:webHidden/>
              </w:rPr>
              <w:fldChar w:fldCharType="begin"/>
            </w:r>
            <w:r w:rsidR="007250A9">
              <w:rPr>
                <w:noProof/>
                <w:webHidden/>
              </w:rPr>
              <w:instrText xml:space="preserve"> PAGEREF _Toc366244932 \h </w:instrText>
            </w:r>
            <w:r w:rsidR="007250A9">
              <w:rPr>
                <w:noProof/>
                <w:webHidden/>
              </w:rPr>
            </w:r>
            <w:r w:rsidR="007250A9">
              <w:rPr>
                <w:noProof/>
                <w:webHidden/>
              </w:rPr>
              <w:fldChar w:fldCharType="separate"/>
            </w:r>
            <w:r w:rsidR="007250A9">
              <w:rPr>
                <w:noProof/>
                <w:webHidden/>
              </w:rPr>
              <w:t>15</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33" w:history="1">
            <w:r w:rsidR="007250A9" w:rsidRPr="00F844B2">
              <w:rPr>
                <w:rStyle w:val="Hyperlink"/>
                <w:noProof/>
              </w:rPr>
              <w:t>4.3.3</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Milan</w:t>
            </w:r>
            <w:r w:rsidR="007250A9">
              <w:rPr>
                <w:noProof/>
                <w:webHidden/>
              </w:rPr>
              <w:tab/>
            </w:r>
            <w:r w:rsidR="007250A9">
              <w:rPr>
                <w:noProof/>
                <w:webHidden/>
              </w:rPr>
              <w:fldChar w:fldCharType="begin"/>
            </w:r>
            <w:r w:rsidR="007250A9">
              <w:rPr>
                <w:noProof/>
                <w:webHidden/>
              </w:rPr>
              <w:instrText xml:space="preserve"> PAGEREF _Toc366244933 \h </w:instrText>
            </w:r>
            <w:r w:rsidR="007250A9">
              <w:rPr>
                <w:noProof/>
                <w:webHidden/>
              </w:rPr>
            </w:r>
            <w:r w:rsidR="007250A9">
              <w:rPr>
                <w:noProof/>
                <w:webHidden/>
              </w:rPr>
              <w:fldChar w:fldCharType="separate"/>
            </w:r>
            <w:r w:rsidR="007250A9">
              <w:rPr>
                <w:noProof/>
                <w:webHidden/>
              </w:rPr>
              <w:t>16</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34" w:history="1">
            <w:r w:rsidR="007250A9" w:rsidRPr="00F844B2">
              <w:rPr>
                <w:rStyle w:val="Hyperlink"/>
                <w:noProof/>
              </w:rPr>
              <w:t>4.3.4</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Conclusion</w:t>
            </w:r>
            <w:r w:rsidR="007250A9">
              <w:rPr>
                <w:noProof/>
                <w:webHidden/>
              </w:rPr>
              <w:tab/>
            </w:r>
            <w:r w:rsidR="007250A9">
              <w:rPr>
                <w:noProof/>
                <w:webHidden/>
              </w:rPr>
              <w:fldChar w:fldCharType="begin"/>
            </w:r>
            <w:r w:rsidR="007250A9">
              <w:rPr>
                <w:noProof/>
                <w:webHidden/>
              </w:rPr>
              <w:instrText xml:space="preserve"> PAGEREF _Toc366244934 \h </w:instrText>
            </w:r>
            <w:r w:rsidR="007250A9">
              <w:rPr>
                <w:noProof/>
                <w:webHidden/>
              </w:rPr>
            </w:r>
            <w:r w:rsidR="007250A9">
              <w:rPr>
                <w:noProof/>
                <w:webHidden/>
              </w:rPr>
              <w:fldChar w:fldCharType="separate"/>
            </w:r>
            <w:r w:rsidR="007250A9">
              <w:rPr>
                <w:noProof/>
                <w:webHidden/>
              </w:rPr>
              <w:t>17</w:t>
            </w:r>
            <w:r w:rsidR="007250A9">
              <w:rPr>
                <w:noProof/>
                <w:webHidden/>
              </w:rPr>
              <w:fldChar w:fldCharType="end"/>
            </w:r>
          </w:hyperlink>
        </w:p>
        <w:p w:rsidR="007250A9" w:rsidRDefault="00FC5AA5">
          <w:pPr>
            <w:pStyle w:val="TOC1"/>
            <w:rPr>
              <w:rFonts w:asciiTheme="minorHAnsi" w:eastAsiaTheme="minorEastAsia" w:hAnsiTheme="minorHAnsi" w:cstheme="minorBidi"/>
              <w:b w:val="0"/>
              <w:caps w:val="0"/>
              <w:noProof/>
              <w:sz w:val="22"/>
              <w:szCs w:val="22"/>
              <w:lang w:eastAsia="en-GB"/>
            </w:rPr>
          </w:pPr>
          <w:hyperlink w:anchor="_Toc366244935" w:history="1">
            <w:r w:rsidR="007250A9" w:rsidRPr="00F844B2">
              <w:rPr>
                <w:rStyle w:val="Hyperlink"/>
                <w:noProof/>
              </w:rPr>
              <w:t>5</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rPr>
              <w:t>Job creation effects of sustainable urban transport strategies</w:t>
            </w:r>
            <w:r w:rsidR="007250A9">
              <w:rPr>
                <w:noProof/>
                <w:webHidden/>
              </w:rPr>
              <w:tab/>
            </w:r>
            <w:r w:rsidR="007250A9">
              <w:rPr>
                <w:noProof/>
                <w:webHidden/>
              </w:rPr>
              <w:fldChar w:fldCharType="begin"/>
            </w:r>
            <w:r w:rsidR="007250A9">
              <w:rPr>
                <w:noProof/>
                <w:webHidden/>
              </w:rPr>
              <w:instrText xml:space="preserve"> PAGEREF _Toc366244935 \h </w:instrText>
            </w:r>
            <w:r w:rsidR="007250A9">
              <w:rPr>
                <w:noProof/>
                <w:webHidden/>
              </w:rPr>
            </w:r>
            <w:r w:rsidR="007250A9">
              <w:rPr>
                <w:noProof/>
                <w:webHidden/>
              </w:rPr>
              <w:fldChar w:fldCharType="separate"/>
            </w:r>
            <w:r w:rsidR="007250A9">
              <w:rPr>
                <w:noProof/>
                <w:webHidden/>
              </w:rPr>
              <w:t>21</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36" w:history="1">
            <w:r w:rsidR="007250A9" w:rsidRPr="00F844B2">
              <w:rPr>
                <w:rStyle w:val="Hyperlink"/>
                <w:noProof/>
              </w:rPr>
              <w:t>5.1</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rPr>
              <w:t>Introduction and use of this section</w:t>
            </w:r>
            <w:r w:rsidR="007250A9">
              <w:rPr>
                <w:noProof/>
                <w:webHidden/>
              </w:rPr>
              <w:tab/>
            </w:r>
            <w:r w:rsidR="007250A9">
              <w:rPr>
                <w:noProof/>
                <w:webHidden/>
              </w:rPr>
              <w:fldChar w:fldCharType="begin"/>
            </w:r>
            <w:r w:rsidR="007250A9">
              <w:rPr>
                <w:noProof/>
                <w:webHidden/>
              </w:rPr>
              <w:instrText xml:space="preserve"> PAGEREF _Toc366244936 \h </w:instrText>
            </w:r>
            <w:r w:rsidR="007250A9">
              <w:rPr>
                <w:noProof/>
                <w:webHidden/>
              </w:rPr>
            </w:r>
            <w:r w:rsidR="007250A9">
              <w:rPr>
                <w:noProof/>
                <w:webHidden/>
              </w:rPr>
              <w:fldChar w:fldCharType="separate"/>
            </w:r>
            <w:r w:rsidR="007250A9">
              <w:rPr>
                <w:noProof/>
                <w:webHidden/>
              </w:rPr>
              <w:t>21</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37" w:history="1">
            <w:r w:rsidR="007250A9" w:rsidRPr="00F844B2">
              <w:rPr>
                <w:rStyle w:val="Hyperlink"/>
                <w:noProof/>
              </w:rPr>
              <w:t>5.2</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rPr>
              <w:t>Jobs associated with public investments and subsidies in transport</w:t>
            </w:r>
            <w:r w:rsidR="007250A9">
              <w:rPr>
                <w:noProof/>
                <w:webHidden/>
              </w:rPr>
              <w:tab/>
            </w:r>
            <w:r w:rsidR="007250A9">
              <w:rPr>
                <w:noProof/>
                <w:webHidden/>
              </w:rPr>
              <w:fldChar w:fldCharType="begin"/>
            </w:r>
            <w:r w:rsidR="007250A9">
              <w:rPr>
                <w:noProof/>
                <w:webHidden/>
              </w:rPr>
              <w:instrText xml:space="preserve"> PAGEREF _Toc366244937 \h </w:instrText>
            </w:r>
            <w:r w:rsidR="007250A9">
              <w:rPr>
                <w:noProof/>
                <w:webHidden/>
              </w:rPr>
            </w:r>
            <w:r w:rsidR="007250A9">
              <w:rPr>
                <w:noProof/>
                <w:webHidden/>
              </w:rPr>
              <w:fldChar w:fldCharType="separate"/>
            </w:r>
            <w:r w:rsidR="007250A9">
              <w:rPr>
                <w:noProof/>
                <w:webHidden/>
              </w:rPr>
              <w:t>21</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38" w:history="1">
            <w:r w:rsidR="007250A9" w:rsidRPr="00F844B2">
              <w:rPr>
                <w:rStyle w:val="Hyperlink"/>
                <w:noProof/>
              </w:rPr>
              <w:t>5.2.1</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Introduction and review</w:t>
            </w:r>
            <w:r w:rsidR="007250A9">
              <w:rPr>
                <w:noProof/>
                <w:webHidden/>
              </w:rPr>
              <w:tab/>
            </w:r>
            <w:r w:rsidR="007250A9">
              <w:rPr>
                <w:noProof/>
                <w:webHidden/>
              </w:rPr>
              <w:fldChar w:fldCharType="begin"/>
            </w:r>
            <w:r w:rsidR="007250A9">
              <w:rPr>
                <w:noProof/>
                <w:webHidden/>
              </w:rPr>
              <w:instrText xml:space="preserve"> PAGEREF _Toc366244938 \h </w:instrText>
            </w:r>
            <w:r w:rsidR="007250A9">
              <w:rPr>
                <w:noProof/>
                <w:webHidden/>
              </w:rPr>
            </w:r>
            <w:r w:rsidR="007250A9">
              <w:rPr>
                <w:noProof/>
                <w:webHidden/>
              </w:rPr>
              <w:fldChar w:fldCharType="separate"/>
            </w:r>
            <w:r w:rsidR="007250A9">
              <w:rPr>
                <w:noProof/>
                <w:webHidden/>
              </w:rPr>
              <w:t>21</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39" w:history="1">
            <w:r w:rsidR="007250A9" w:rsidRPr="00F844B2">
              <w:rPr>
                <w:rStyle w:val="Hyperlink"/>
                <w:noProof/>
              </w:rPr>
              <w:t>5.2.2</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Comparison with results from the EDIP model</w:t>
            </w:r>
            <w:r w:rsidR="007250A9">
              <w:rPr>
                <w:noProof/>
                <w:webHidden/>
              </w:rPr>
              <w:tab/>
            </w:r>
            <w:r w:rsidR="007250A9">
              <w:rPr>
                <w:noProof/>
                <w:webHidden/>
              </w:rPr>
              <w:fldChar w:fldCharType="begin"/>
            </w:r>
            <w:r w:rsidR="007250A9">
              <w:rPr>
                <w:noProof/>
                <w:webHidden/>
              </w:rPr>
              <w:instrText xml:space="preserve"> PAGEREF _Toc366244939 \h </w:instrText>
            </w:r>
            <w:r w:rsidR="007250A9">
              <w:rPr>
                <w:noProof/>
                <w:webHidden/>
              </w:rPr>
            </w:r>
            <w:r w:rsidR="007250A9">
              <w:rPr>
                <w:noProof/>
                <w:webHidden/>
              </w:rPr>
              <w:fldChar w:fldCharType="separate"/>
            </w:r>
            <w:r w:rsidR="007250A9">
              <w:rPr>
                <w:noProof/>
                <w:webHidden/>
              </w:rPr>
              <w:t>22</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40" w:history="1">
            <w:r w:rsidR="007250A9" w:rsidRPr="00F844B2">
              <w:rPr>
                <w:rStyle w:val="Hyperlink"/>
                <w:noProof/>
              </w:rPr>
              <w:t>5.3</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rPr>
              <w:t>Jobs associated with gains in energy efficiency, fuel economy and introduction of electric vehicles</w:t>
            </w:r>
            <w:r w:rsidR="007250A9">
              <w:rPr>
                <w:noProof/>
                <w:webHidden/>
              </w:rPr>
              <w:tab/>
            </w:r>
            <w:r w:rsidR="007250A9">
              <w:rPr>
                <w:noProof/>
                <w:webHidden/>
              </w:rPr>
              <w:fldChar w:fldCharType="begin"/>
            </w:r>
            <w:r w:rsidR="007250A9">
              <w:rPr>
                <w:noProof/>
                <w:webHidden/>
              </w:rPr>
              <w:instrText xml:space="preserve"> PAGEREF _Toc366244940 \h </w:instrText>
            </w:r>
            <w:r w:rsidR="007250A9">
              <w:rPr>
                <w:noProof/>
                <w:webHidden/>
              </w:rPr>
            </w:r>
            <w:r w:rsidR="007250A9">
              <w:rPr>
                <w:noProof/>
                <w:webHidden/>
              </w:rPr>
              <w:fldChar w:fldCharType="separate"/>
            </w:r>
            <w:r w:rsidR="007250A9">
              <w:rPr>
                <w:noProof/>
                <w:webHidden/>
              </w:rPr>
              <w:t>23</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41" w:history="1">
            <w:r w:rsidR="007250A9" w:rsidRPr="00F844B2">
              <w:rPr>
                <w:rStyle w:val="Hyperlink"/>
                <w:noProof/>
              </w:rPr>
              <w:t>5.3.1</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Introduction and review</w:t>
            </w:r>
            <w:r w:rsidR="007250A9">
              <w:rPr>
                <w:noProof/>
                <w:webHidden/>
              </w:rPr>
              <w:tab/>
            </w:r>
            <w:r w:rsidR="007250A9">
              <w:rPr>
                <w:noProof/>
                <w:webHidden/>
              </w:rPr>
              <w:fldChar w:fldCharType="begin"/>
            </w:r>
            <w:r w:rsidR="007250A9">
              <w:rPr>
                <w:noProof/>
                <w:webHidden/>
              </w:rPr>
              <w:instrText xml:space="preserve"> PAGEREF _Toc366244941 \h </w:instrText>
            </w:r>
            <w:r w:rsidR="007250A9">
              <w:rPr>
                <w:noProof/>
                <w:webHidden/>
              </w:rPr>
            </w:r>
            <w:r w:rsidR="007250A9">
              <w:rPr>
                <w:noProof/>
                <w:webHidden/>
              </w:rPr>
              <w:fldChar w:fldCharType="separate"/>
            </w:r>
            <w:r w:rsidR="007250A9">
              <w:rPr>
                <w:noProof/>
                <w:webHidden/>
              </w:rPr>
              <w:t>23</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42" w:history="1">
            <w:r w:rsidR="007250A9" w:rsidRPr="00F844B2">
              <w:rPr>
                <w:rStyle w:val="Hyperlink"/>
                <w:noProof/>
              </w:rPr>
              <w:t>5.3.2</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Results from EDIP model</w:t>
            </w:r>
            <w:r w:rsidR="007250A9">
              <w:rPr>
                <w:noProof/>
                <w:webHidden/>
              </w:rPr>
              <w:tab/>
            </w:r>
            <w:r w:rsidR="007250A9">
              <w:rPr>
                <w:noProof/>
                <w:webHidden/>
              </w:rPr>
              <w:fldChar w:fldCharType="begin"/>
            </w:r>
            <w:r w:rsidR="007250A9">
              <w:rPr>
                <w:noProof/>
                <w:webHidden/>
              </w:rPr>
              <w:instrText xml:space="preserve"> PAGEREF _Toc366244942 \h </w:instrText>
            </w:r>
            <w:r w:rsidR="007250A9">
              <w:rPr>
                <w:noProof/>
                <w:webHidden/>
              </w:rPr>
            </w:r>
            <w:r w:rsidR="007250A9">
              <w:rPr>
                <w:noProof/>
                <w:webHidden/>
              </w:rPr>
              <w:fldChar w:fldCharType="separate"/>
            </w:r>
            <w:r w:rsidR="007250A9">
              <w:rPr>
                <w:noProof/>
                <w:webHidden/>
              </w:rPr>
              <w:t>24</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43" w:history="1">
            <w:r w:rsidR="007250A9" w:rsidRPr="00F844B2">
              <w:rPr>
                <w:rStyle w:val="Hyperlink"/>
                <w:noProof/>
              </w:rPr>
              <w:t>5.4</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rPr>
              <w:t>Jobs associated with decreasing private transport use</w:t>
            </w:r>
            <w:r w:rsidR="007250A9">
              <w:rPr>
                <w:noProof/>
                <w:webHidden/>
              </w:rPr>
              <w:tab/>
            </w:r>
            <w:r w:rsidR="007250A9">
              <w:rPr>
                <w:noProof/>
                <w:webHidden/>
              </w:rPr>
              <w:fldChar w:fldCharType="begin"/>
            </w:r>
            <w:r w:rsidR="007250A9">
              <w:rPr>
                <w:noProof/>
                <w:webHidden/>
              </w:rPr>
              <w:instrText xml:space="preserve"> PAGEREF _Toc366244943 \h </w:instrText>
            </w:r>
            <w:r w:rsidR="007250A9">
              <w:rPr>
                <w:noProof/>
                <w:webHidden/>
              </w:rPr>
            </w:r>
            <w:r w:rsidR="007250A9">
              <w:rPr>
                <w:noProof/>
                <w:webHidden/>
              </w:rPr>
              <w:fldChar w:fldCharType="separate"/>
            </w:r>
            <w:r w:rsidR="007250A9">
              <w:rPr>
                <w:noProof/>
                <w:webHidden/>
              </w:rPr>
              <w:t>29</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44" w:history="1">
            <w:r w:rsidR="007250A9" w:rsidRPr="00F844B2">
              <w:rPr>
                <w:rStyle w:val="Hyperlink"/>
                <w:noProof/>
              </w:rPr>
              <w:t>5.4.1</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Introduction and review</w:t>
            </w:r>
            <w:r w:rsidR="007250A9">
              <w:rPr>
                <w:noProof/>
                <w:webHidden/>
              </w:rPr>
              <w:tab/>
            </w:r>
            <w:r w:rsidR="007250A9">
              <w:rPr>
                <w:noProof/>
                <w:webHidden/>
              </w:rPr>
              <w:fldChar w:fldCharType="begin"/>
            </w:r>
            <w:r w:rsidR="007250A9">
              <w:rPr>
                <w:noProof/>
                <w:webHidden/>
              </w:rPr>
              <w:instrText xml:space="preserve"> PAGEREF _Toc366244944 \h </w:instrText>
            </w:r>
            <w:r w:rsidR="007250A9">
              <w:rPr>
                <w:noProof/>
                <w:webHidden/>
              </w:rPr>
            </w:r>
            <w:r w:rsidR="007250A9">
              <w:rPr>
                <w:noProof/>
                <w:webHidden/>
              </w:rPr>
              <w:fldChar w:fldCharType="separate"/>
            </w:r>
            <w:r w:rsidR="007250A9">
              <w:rPr>
                <w:noProof/>
                <w:webHidden/>
              </w:rPr>
              <w:t>29</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45" w:history="1">
            <w:r w:rsidR="007250A9" w:rsidRPr="00F844B2">
              <w:rPr>
                <w:rStyle w:val="Hyperlink"/>
                <w:noProof/>
              </w:rPr>
              <w:t>5.4.2</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Results from EDIP model</w:t>
            </w:r>
            <w:r w:rsidR="007250A9">
              <w:rPr>
                <w:noProof/>
                <w:webHidden/>
              </w:rPr>
              <w:tab/>
            </w:r>
            <w:r w:rsidR="007250A9">
              <w:rPr>
                <w:noProof/>
                <w:webHidden/>
              </w:rPr>
              <w:fldChar w:fldCharType="begin"/>
            </w:r>
            <w:r w:rsidR="007250A9">
              <w:rPr>
                <w:noProof/>
                <w:webHidden/>
              </w:rPr>
              <w:instrText xml:space="preserve"> PAGEREF _Toc366244945 \h </w:instrText>
            </w:r>
            <w:r w:rsidR="007250A9">
              <w:rPr>
                <w:noProof/>
                <w:webHidden/>
              </w:rPr>
            </w:r>
            <w:r w:rsidR="007250A9">
              <w:rPr>
                <w:noProof/>
                <w:webHidden/>
              </w:rPr>
              <w:fldChar w:fldCharType="separate"/>
            </w:r>
            <w:r w:rsidR="007250A9">
              <w:rPr>
                <w:noProof/>
                <w:webHidden/>
              </w:rPr>
              <w:t>29</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46" w:history="1">
            <w:r w:rsidR="007250A9" w:rsidRPr="00F844B2">
              <w:rPr>
                <w:rStyle w:val="Hyperlink"/>
                <w:noProof/>
                <w:lang w:val="en-US"/>
              </w:rPr>
              <w:t>5.5</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Jobs associated with sustainable freight transport</w:t>
            </w:r>
            <w:r w:rsidR="007250A9">
              <w:rPr>
                <w:noProof/>
                <w:webHidden/>
              </w:rPr>
              <w:tab/>
            </w:r>
            <w:r w:rsidR="007250A9">
              <w:rPr>
                <w:noProof/>
                <w:webHidden/>
              </w:rPr>
              <w:fldChar w:fldCharType="begin"/>
            </w:r>
            <w:r w:rsidR="007250A9">
              <w:rPr>
                <w:noProof/>
                <w:webHidden/>
              </w:rPr>
              <w:instrText xml:space="preserve"> PAGEREF _Toc366244946 \h </w:instrText>
            </w:r>
            <w:r w:rsidR="007250A9">
              <w:rPr>
                <w:noProof/>
                <w:webHidden/>
              </w:rPr>
            </w:r>
            <w:r w:rsidR="007250A9">
              <w:rPr>
                <w:noProof/>
                <w:webHidden/>
              </w:rPr>
              <w:fldChar w:fldCharType="separate"/>
            </w:r>
            <w:r w:rsidR="007250A9">
              <w:rPr>
                <w:noProof/>
                <w:webHidden/>
              </w:rPr>
              <w:t>31</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47" w:history="1">
            <w:r w:rsidR="007250A9" w:rsidRPr="00F844B2">
              <w:rPr>
                <w:rStyle w:val="Hyperlink"/>
                <w:noProof/>
              </w:rPr>
              <w:t>5.5.1</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Introduction and review</w:t>
            </w:r>
            <w:r w:rsidR="007250A9">
              <w:rPr>
                <w:noProof/>
                <w:webHidden/>
              </w:rPr>
              <w:tab/>
            </w:r>
            <w:r w:rsidR="007250A9">
              <w:rPr>
                <w:noProof/>
                <w:webHidden/>
              </w:rPr>
              <w:fldChar w:fldCharType="begin"/>
            </w:r>
            <w:r w:rsidR="007250A9">
              <w:rPr>
                <w:noProof/>
                <w:webHidden/>
              </w:rPr>
              <w:instrText xml:space="preserve"> PAGEREF _Toc366244947 \h </w:instrText>
            </w:r>
            <w:r w:rsidR="007250A9">
              <w:rPr>
                <w:noProof/>
                <w:webHidden/>
              </w:rPr>
            </w:r>
            <w:r w:rsidR="007250A9">
              <w:rPr>
                <w:noProof/>
                <w:webHidden/>
              </w:rPr>
              <w:fldChar w:fldCharType="separate"/>
            </w:r>
            <w:r w:rsidR="007250A9">
              <w:rPr>
                <w:noProof/>
                <w:webHidden/>
              </w:rPr>
              <w:t>31</w:t>
            </w:r>
            <w:r w:rsidR="007250A9">
              <w:rPr>
                <w:noProof/>
                <w:webHidden/>
              </w:rPr>
              <w:fldChar w:fldCharType="end"/>
            </w:r>
          </w:hyperlink>
        </w:p>
        <w:p w:rsidR="007250A9" w:rsidRDefault="00FC5AA5">
          <w:pPr>
            <w:pStyle w:val="TOC3"/>
            <w:tabs>
              <w:tab w:val="left" w:pos="1200"/>
              <w:tab w:val="right" w:leader="dot" w:pos="8495"/>
            </w:tabs>
            <w:rPr>
              <w:rFonts w:asciiTheme="minorHAnsi" w:eastAsiaTheme="minorEastAsia" w:hAnsiTheme="minorHAnsi" w:cstheme="minorBidi"/>
              <w:i w:val="0"/>
              <w:noProof/>
              <w:sz w:val="22"/>
              <w:szCs w:val="22"/>
              <w:lang w:eastAsia="en-GB"/>
            </w:rPr>
          </w:pPr>
          <w:hyperlink w:anchor="_Toc366244948" w:history="1">
            <w:r w:rsidR="007250A9" w:rsidRPr="00F844B2">
              <w:rPr>
                <w:rStyle w:val="Hyperlink"/>
                <w:noProof/>
              </w:rPr>
              <w:t>5.5.2</w:t>
            </w:r>
            <w:r w:rsidR="007250A9">
              <w:rPr>
                <w:rFonts w:asciiTheme="minorHAnsi" w:eastAsiaTheme="minorEastAsia" w:hAnsiTheme="minorHAnsi" w:cstheme="minorBidi"/>
                <w:i w:val="0"/>
                <w:noProof/>
                <w:sz w:val="22"/>
                <w:szCs w:val="22"/>
                <w:lang w:eastAsia="en-GB"/>
              </w:rPr>
              <w:tab/>
            </w:r>
            <w:r w:rsidR="007250A9" w:rsidRPr="00F844B2">
              <w:rPr>
                <w:rStyle w:val="Hyperlink"/>
                <w:noProof/>
              </w:rPr>
              <w:t>Results from EDIP model</w:t>
            </w:r>
            <w:r w:rsidR="007250A9">
              <w:rPr>
                <w:noProof/>
                <w:webHidden/>
              </w:rPr>
              <w:tab/>
            </w:r>
            <w:r w:rsidR="007250A9">
              <w:rPr>
                <w:noProof/>
                <w:webHidden/>
              </w:rPr>
              <w:fldChar w:fldCharType="begin"/>
            </w:r>
            <w:r w:rsidR="007250A9">
              <w:rPr>
                <w:noProof/>
                <w:webHidden/>
              </w:rPr>
              <w:instrText xml:space="preserve"> PAGEREF _Toc366244948 \h </w:instrText>
            </w:r>
            <w:r w:rsidR="007250A9">
              <w:rPr>
                <w:noProof/>
                <w:webHidden/>
              </w:rPr>
            </w:r>
            <w:r w:rsidR="007250A9">
              <w:rPr>
                <w:noProof/>
                <w:webHidden/>
              </w:rPr>
              <w:fldChar w:fldCharType="separate"/>
            </w:r>
            <w:r w:rsidR="007250A9">
              <w:rPr>
                <w:noProof/>
                <w:webHidden/>
              </w:rPr>
              <w:t>31</w:t>
            </w:r>
            <w:r w:rsidR="007250A9">
              <w:rPr>
                <w:noProof/>
                <w:webHidden/>
              </w:rPr>
              <w:fldChar w:fldCharType="end"/>
            </w:r>
          </w:hyperlink>
        </w:p>
        <w:p w:rsidR="007250A9" w:rsidRDefault="00FC5AA5">
          <w:pPr>
            <w:pStyle w:val="TOC2"/>
            <w:tabs>
              <w:tab w:val="left" w:pos="880"/>
              <w:tab w:val="right" w:leader="dot" w:pos="8495"/>
            </w:tabs>
            <w:rPr>
              <w:rFonts w:asciiTheme="minorHAnsi" w:eastAsiaTheme="minorEastAsia" w:hAnsiTheme="minorHAnsi" w:cstheme="minorBidi"/>
              <w:smallCaps w:val="0"/>
              <w:noProof/>
              <w:sz w:val="22"/>
              <w:szCs w:val="22"/>
              <w:lang w:eastAsia="en-GB"/>
            </w:rPr>
          </w:pPr>
          <w:hyperlink w:anchor="_Toc366244949" w:history="1">
            <w:r w:rsidR="007250A9" w:rsidRPr="00F844B2">
              <w:rPr>
                <w:rStyle w:val="Hyperlink"/>
                <w:noProof/>
                <w:lang w:val="en-US"/>
              </w:rPr>
              <w:t>5.6</w:t>
            </w:r>
            <w:r w:rsidR="007250A9">
              <w:rPr>
                <w:rFonts w:asciiTheme="minorHAnsi" w:eastAsiaTheme="minorEastAsia" w:hAnsiTheme="minorHAnsi" w:cstheme="minorBidi"/>
                <w:smallCaps w:val="0"/>
                <w:noProof/>
                <w:sz w:val="22"/>
                <w:szCs w:val="22"/>
                <w:lang w:eastAsia="en-GB"/>
              </w:rPr>
              <w:tab/>
            </w:r>
            <w:r w:rsidR="007250A9" w:rsidRPr="00F844B2">
              <w:rPr>
                <w:rStyle w:val="Hyperlink"/>
                <w:noProof/>
                <w:lang w:val="en-US"/>
              </w:rPr>
              <w:t>Overview and conclusion</w:t>
            </w:r>
            <w:r w:rsidR="007250A9">
              <w:rPr>
                <w:noProof/>
                <w:webHidden/>
              </w:rPr>
              <w:tab/>
            </w:r>
            <w:r w:rsidR="007250A9">
              <w:rPr>
                <w:noProof/>
                <w:webHidden/>
              </w:rPr>
              <w:fldChar w:fldCharType="begin"/>
            </w:r>
            <w:r w:rsidR="007250A9">
              <w:rPr>
                <w:noProof/>
                <w:webHidden/>
              </w:rPr>
              <w:instrText xml:space="preserve"> PAGEREF _Toc366244949 \h </w:instrText>
            </w:r>
            <w:r w:rsidR="007250A9">
              <w:rPr>
                <w:noProof/>
                <w:webHidden/>
              </w:rPr>
            </w:r>
            <w:r w:rsidR="007250A9">
              <w:rPr>
                <w:noProof/>
                <w:webHidden/>
              </w:rPr>
              <w:fldChar w:fldCharType="separate"/>
            </w:r>
            <w:r w:rsidR="007250A9">
              <w:rPr>
                <w:noProof/>
                <w:webHidden/>
              </w:rPr>
              <w:t>33</w:t>
            </w:r>
            <w:r w:rsidR="007250A9">
              <w:rPr>
                <w:noProof/>
                <w:webHidden/>
              </w:rPr>
              <w:fldChar w:fldCharType="end"/>
            </w:r>
          </w:hyperlink>
        </w:p>
        <w:p w:rsidR="007250A9" w:rsidRDefault="00FC5AA5">
          <w:pPr>
            <w:pStyle w:val="TOC1"/>
            <w:rPr>
              <w:rFonts w:asciiTheme="minorHAnsi" w:eastAsiaTheme="minorEastAsia" w:hAnsiTheme="minorHAnsi" w:cstheme="minorBidi"/>
              <w:b w:val="0"/>
              <w:caps w:val="0"/>
              <w:noProof/>
              <w:sz w:val="22"/>
              <w:szCs w:val="22"/>
              <w:lang w:eastAsia="en-GB"/>
            </w:rPr>
          </w:pPr>
          <w:hyperlink w:anchor="_Toc366244950" w:history="1">
            <w:r w:rsidR="007250A9" w:rsidRPr="00F844B2">
              <w:rPr>
                <w:rStyle w:val="Hyperlink"/>
                <w:noProof/>
                <w:lang w:val="en-US"/>
              </w:rPr>
              <w:t>6</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lang w:val="en-US"/>
              </w:rPr>
              <w:t>Impacts of urban policy: summary of effects</w:t>
            </w:r>
            <w:r w:rsidR="007250A9">
              <w:rPr>
                <w:noProof/>
                <w:webHidden/>
              </w:rPr>
              <w:tab/>
            </w:r>
            <w:r w:rsidR="007250A9">
              <w:rPr>
                <w:noProof/>
                <w:webHidden/>
              </w:rPr>
              <w:fldChar w:fldCharType="begin"/>
            </w:r>
            <w:r w:rsidR="007250A9">
              <w:rPr>
                <w:noProof/>
                <w:webHidden/>
              </w:rPr>
              <w:instrText xml:space="preserve"> PAGEREF _Toc366244950 \h </w:instrText>
            </w:r>
            <w:r w:rsidR="007250A9">
              <w:rPr>
                <w:noProof/>
                <w:webHidden/>
              </w:rPr>
            </w:r>
            <w:r w:rsidR="007250A9">
              <w:rPr>
                <w:noProof/>
                <w:webHidden/>
              </w:rPr>
              <w:fldChar w:fldCharType="separate"/>
            </w:r>
            <w:r w:rsidR="007250A9">
              <w:rPr>
                <w:noProof/>
                <w:webHidden/>
              </w:rPr>
              <w:t>36</w:t>
            </w:r>
            <w:r w:rsidR="007250A9">
              <w:rPr>
                <w:noProof/>
                <w:webHidden/>
              </w:rPr>
              <w:fldChar w:fldCharType="end"/>
            </w:r>
          </w:hyperlink>
        </w:p>
        <w:p w:rsidR="007250A9" w:rsidRDefault="00FC5AA5">
          <w:pPr>
            <w:pStyle w:val="TOC1"/>
            <w:rPr>
              <w:rFonts w:asciiTheme="minorHAnsi" w:eastAsiaTheme="minorEastAsia" w:hAnsiTheme="minorHAnsi" w:cstheme="minorBidi"/>
              <w:b w:val="0"/>
              <w:caps w:val="0"/>
              <w:noProof/>
              <w:sz w:val="22"/>
              <w:szCs w:val="22"/>
              <w:lang w:eastAsia="en-GB"/>
            </w:rPr>
          </w:pPr>
          <w:hyperlink w:anchor="_Toc366244951" w:history="1">
            <w:r w:rsidR="007250A9" w:rsidRPr="00F844B2">
              <w:rPr>
                <w:rStyle w:val="Hyperlink"/>
                <w:noProof/>
                <w:lang w:val="en-US"/>
              </w:rPr>
              <w:t>7</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lang w:val="en-US"/>
              </w:rPr>
              <w:t>Conclusions</w:t>
            </w:r>
            <w:r w:rsidR="007250A9">
              <w:rPr>
                <w:noProof/>
                <w:webHidden/>
              </w:rPr>
              <w:tab/>
            </w:r>
            <w:r w:rsidR="007250A9">
              <w:rPr>
                <w:noProof/>
                <w:webHidden/>
              </w:rPr>
              <w:fldChar w:fldCharType="begin"/>
            </w:r>
            <w:r w:rsidR="007250A9">
              <w:rPr>
                <w:noProof/>
                <w:webHidden/>
              </w:rPr>
              <w:instrText xml:space="preserve"> PAGEREF _Toc366244951 \h </w:instrText>
            </w:r>
            <w:r w:rsidR="007250A9">
              <w:rPr>
                <w:noProof/>
                <w:webHidden/>
              </w:rPr>
            </w:r>
            <w:r w:rsidR="007250A9">
              <w:rPr>
                <w:noProof/>
                <w:webHidden/>
              </w:rPr>
              <w:fldChar w:fldCharType="separate"/>
            </w:r>
            <w:r w:rsidR="007250A9">
              <w:rPr>
                <w:noProof/>
                <w:webHidden/>
              </w:rPr>
              <w:t>40</w:t>
            </w:r>
            <w:r w:rsidR="007250A9">
              <w:rPr>
                <w:noProof/>
                <w:webHidden/>
              </w:rPr>
              <w:fldChar w:fldCharType="end"/>
            </w:r>
          </w:hyperlink>
        </w:p>
        <w:p w:rsidR="007250A9" w:rsidRDefault="00FC5AA5">
          <w:pPr>
            <w:pStyle w:val="TOC1"/>
            <w:rPr>
              <w:rFonts w:asciiTheme="minorHAnsi" w:eastAsiaTheme="minorEastAsia" w:hAnsiTheme="minorHAnsi" w:cstheme="minorBidi"/>
              <w:b w:val="0"/>
              <w:caps w:val="0"/>
              <w:noProof/>
              <w:sz w:val="22"/>
              <w:szCs w:val="22"/>
              <w:lang w:eastAsia="en-GB"/>
            </w:rPr>
          </w:pPr>
          <w:hyperlink w:anchor="_Toc366244952" w:history="1">
            <w:r w:rsidR="007250A9" w:rsidRPr="00F844B2">
              <w:rPr>
                <w:rStyle w:val="Hyperlink"/>
                <w:noProof/>
                <w:lang w:val="en-US"/>
              </w:rPr>
              <w:t>8</w:t>
            </w:r>
            <w:r w:rsidR="007250A9">
              <w:rPr>
                <w:rFonts w:asciiTheme="minorHAnsi" w:eastAsiaTheme="minorEastAsia" w:hAnsiTheme="minorHAnsi" w:cstheme="minorBidi"/>
                <w:b w:val="0"/>
                <w:caps w:val="0"/>
                <w:noProof/>
                <w:sz w:val="22"/>
                <w:szCs w:val="22"/>
                <w:lang w:eastAsia="en-GB"/>
              </w:rPr>
              <w:tab/>
            </w:r>
            <w:r w:rsidR="007250A9" w:rsidRPr="00F844B2">
              <w:rPr>
                <w:rStyle w:val="Hyperlink"/>
                <w:noProof/>
                <w:lang w:val="en-US"/>
              </w:rPr>
              <w:t>References</w:t>
            </w:r>
            <w:r w:rsidR="007250A9">
              <w:rPr>
                <w:noProof/>
                <w:webHidden/>
              </w:rPr>
              <w:tab/>
            </w:r>
            <w:r w:rsidR="007250A9">
              <w:rPr>
                <w:noProof/>
                <w:webHidden/>
              </w:rPr>
              <w:fldChar w:fldCharType="begin"/>
            </w:r>
            <w:r w:rsidR="007250A9">
              <w:rPr>
                <w:noProof/>
                <w:webHidden/>
              </w:rPr>
              <w:instrText xml:space="preserve"> PAGEREF _Toc366244952 \h </w:instrText>
            </w:r>
            <w:r w:rsidR="007250A9">
              <w:rPr>
                <w:noProof/>
                <w:webHidden/>
              </w:rPr>
            </w:r>
            <w:r w:rsidR="007250A9">
              <w:rPr>
                <w:noProof/>
                <w:webHidden/>
              </w:rPr>
              <w:fldChar w:fldCharType="separate"/>
            </w:r>
            <w:r w:rsidR="007250A9">
              <w:rPr>
                <w:noProof/>
                <w:webHidden/>
              </w:rPr>
              <w:t>41</w:t>
            </w:r>
            <w:r w:rsidR="007250A9">
              <w:rPr>
                <w:noProof/>
                <w:webHidden/>
              </w:rPr>
              <w:fldChar w:fldCharType="end"/>
            </w:r>
          </w:hyperlink>
        </w:p>
        <w:p w:rsidR="00D37E12" w:rsidRDefault="00D37E12">
          <w:r>
            <w:rPr>
              <w:b/>
              <w:bCs/>
              <w:noProof/>
            </w:rPr>
            <w:fldChar w:fldCharType="end"/>
          </w:r>
        </w:p>
      </w:sdtContent>
    </w:sdt>
    <w:p w:rsidR="00B37F3E" w:rsidRDefault="00B37F3E" w:rsidP="00B661AC">
      <w:pPr>
        <w:spacing w:after="40"/>
        <w:jc w:val="center"/>
        <w:rPr>
          <w:rFonts w:eastAsia="Times New Roman" w:cs="Times New Roman"/>
          <w:b/>
          <w:color w:val="76923C" w:themeColor="accent3" w:themeShade="BF"/>
          <w:sz w:val="16"/>
          <w:szCs w:val="16"/>
          <w:lang w:eastAsia="it-IT"/>
        </w:rPr>
      </w:pPr>
    </w:p>
    <w:p w:rsidR="00273211" w:rsidRDefault="00273211">
      <w:pPr>
        <w:spacing w:before="70"/>
        <w:ind w:left="850" w:right="965"/>
        <w:rPr>
          <w:rFonts w:eastAsia="Times New Roman" w:cs="Times New Roman"/>
          <w:b/>
          <w:color w:val="76923C" w:themeColor="accent3" w:themeShade="BF"/>
          <w:sz w:val="16"/>
          <w:szCs w:val="16"/>
          <w:lang w:eastAsia="it-IT"/>
        </w:rPr>
      </w:pPr>
      <w:r>
        <w:rPr>
          <w:rFonts w:eastAsia="Times New Roman" w:cs="Times New Roman"/>
          <w:b/>
          <w:color w:val="76923C" w:themeColor="accent3" w:themeShade="BF"/>
          <w:sz w:val="16"/>
          <w:szCs w:val="16"/>
          <w:lang w:eastAsia="it-IT"/>
        </w:rPr>
        <w:br w:type="page"/>
      </w:r>
    </w:p>
    <w:p w:rsidR="00273211" w:rsidRDefault="00273211">
      <w:pPr>
        <w:pStyle w:val="TableofFigures"/>
        <w:tabs>
          <w:tab w:val="right" w:leader="dot" w:pos="8495"/>
        </w:tabs>
        <w:rPr>
          <w:b/>
          <w:color w:val="76923C" w:themeColor="accent3" w:themeShade="BF"/>
          <w:sz w:val="16"/>
          <w:szCs w:val="16"/>
          <w:lang w:eastAsia="it-IT"/>
        </w:rPr>
      </w:pPr>
      <w:r>
        <w:rPr>
          <w:b/>
          <w:smallCaps/>
          <w:noProof/>
          <w:sz w:val="32"/>
          <w:szCs w:val="32"/>
          <w:lang w:val="en-US"/>
        </w:rPr>
        <w:lastRenderedPageBreak/>
        <w:t xml:space="preserve">INDEX OF TABLES </w:t>
      </w:r>
    </w:p>
    <w:p w:rsidR="00273211" w:rsidRDefault="00273211">
      <w:pPr>
        <w:pStyle w:val="TableofFigures"/>
        <w:tabs>
          <w:tab w:val="right" w:leader="dot" w:pos="8495"/>
        </w:tabs>
        <w:rPr>
          <w:rFonts w:asciiTheme="minorHAnsi" w:eastAsiaTheme="minorEastAsia" w:hAnsiTheme="minorHAnsi" w:cstheme="minorBidi"/>
          <w:noProof/>
          <w:szCs w:val="22"/>
          <w:lang w:eastAsia="en-GB"/>
        </w:rPr>
      </w:pPr>
      <w:r>
        <w:rPr>
          <w:b/>
          <w:color w:val="76923C" w:themeColor="accent3" w:themeShade="BF"/>
          <w:sz w:val="16"/>
          <w:szCs w:val="16"/>
          <w:lang w:eastAsia="it-IT"/>
        </w:rPr>
        <w:fldChar w:fldCharType="begin"/>
      </w:r>
      <w:r>
        <w:rPr>
          <w:b/>
          <w:color w:val="76923C" w:themeColor="accent3" w:themeShade="BF"/>
          <w:sz w:val="16"/>
          <w:szCs w:val="16"/>
          <w:lang w:eastAsia="it-IT"/>
        </w:rPr>
        <w:instrText xml:space="preserve"> TOC \h \z \c "Table" </w:instrText>
      </w:r>
      <w:r>
        <w:rPr>
          <w:b/>
          <w:color w:val="76923C" w:themeColor="accent3" w:themeShade="BF"/>
          <w:sz w:val="16"/>
          <w:szCs w:val="16"/>
          <w:lang w:eastAsia="it-IT"/>
        </w:rPr>
        <w:fldChar w:fldCharType="separate"/>
      </w:r>
      <w:hyperlink w:anchor="_Toc373136638" w:history="1">
        <w:r w:rsidRPr="003033C7">
          <w:rPr>
            <w:rStyle w:val="Hyperlink"/>
            <w:noProof/>
          </w:rPr>
          <w:t xml:space="preserve">Table 1: Percentage urban by development group, selected periods, 1950-2050 (from </w:t>
        </w:r>
        <w:r w:rsidRPr="003033C7">
          <w:rPr>
            <w:rStyle w:val="Hyperlink"/>
            <w:noProof/>
            <w:lang w:val="en-US"/>
          </w:rPr>
          <w:t>World Urbanization Prospects (2012)</w:t>
        </w:r>
        <w:r w:rsidRPr="003033C7">
          <w:rPr>
            <w:rStyle w:val="Hyperlink"/>
            <w:noProof/>
          </w:rPr>
          <w:t>)</w:t>
        </w:r>
        <w:r>
          <w:rPr>
            <w:noProof/>
            <w:webHidden/>
          </w:rPr>
          <w:tab/>
        </w:r>
        <w:r>
          <w:rPr>
            <w:noProof/>
            <w:webHidden/>
          </w:rPr>
          <w:fldChar w:fldCharType="begin"/>
        </w:r>
        <w:r>
          <w:rPr>
            <w:noProof/>
            <w:webHidden/>
          </w:rPr>
          <w:instrText xml:space="preserve"> PAGEREF _Toc373136638 \h </w:instrText>
        </w:r>
        <w:r>
          <w:rPr>
            <w:noProof/>
            <w:webHidden/>
          </w:rPr>
        </w:r>
        <w:r>
          <w:rPr>
            <w:noProof/>
            <w:webHidden/>
          </w:rPr>
          <w:fldChar w:fldCharType="separate"/>
        </w:r>
        <w:r>
          <w:rPr>
            <w:noProof/>
            <w:webHidden/>
          </w:rPr>
          <w:t>5</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39" w:history="1">
        <w:r w:rsidRPr="003033C7">
          <w:rPr>
            <w:rStyle w:val="Hyperlink"/>
            <w:noProof/>
          </w:rPr>
          <w:t>Table 2: Match between policy scenarios treated in D15.2 and the EU action plan on urban mobility</w:t>
        </w:r>
        <w:r>
          <w:rPr>
            <w:noProof/>
            <w:webHidden/>
          </w:rPr>
          <w:tab/>
        </w:r>
        <w:r>
          <w:rPr>
            <w:noProof/>
            <w:webHidden/>
          </w:rPr>
          <w:fldChar w:fldCharType="begin"/>
        </w:r>
        <w:r>
          <w:rPr>
            <w:noProof/>
            <w:webHidden/>
          </w:rPr>
          <w:instrText xml:space="preserve"> PAGEREF _Toc373136639 \h </w:instrText>
        </w:r>
        <w:r>
          <w:rPr>
            <w:noProof/>
            <w:webHidden/>
          </w:rPr>
        </w:r>
        <w:r>
          <w:rPr>
            <w:noProof/>
            <w:webHidden/>
          </w:rPr>
          <w:fldChar w:fldCharType="separate"/>
        </w:r>
        <w:r>
          <w:rPr>
            <w:noProof/>
            <w:webHidden/>
          </w:rPr>
          <w:t>13</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0" w:history="1">
        <w:r w:rsidRPr="003033C7">
          <w:rPr>
            <w:rStyle w:val="Hyperlink"/>
            <w:noProof/>
          </w:rPr>
          <w:t>Table 3: Match between D15.2 scenarios and urban policy scenarios in the NICHES projects</w:t>
        </w:r>
        <w:r>
          <w:rPr>
            <w:noProof/>
            <w:webHidden/>
          </w:rPr>
          <w:tab/>
        </w:r>
        <w:r>
          <w:rPr>
            <w:noProof/>
            <w:webHidden/>
          </w:rPr>
          <w:fldChar w:fldCharType="begin"/>
        </w:r>
        <w:r>
          <w:rPr>
            <w:noProof/>
            <w:webHidden/>
          </w:rPr>
          <w:instrText xml:space="preserve"> PAGEREF _Toc373136640 \h </w:instrText>
        </w:r>
        <w:r>
          <w:rPr>
            <w:noProof/>
            <w:webHidden/>
          </w:rPr>
        </w:r>
        <w:r>
          <w:rPr>
            <w:noProof/>
            <w:webHidden/>
          </w:rPr>
          <w:fldChar w:fldCharType="separate"/>
        </w:r>
        <w:r>
          <w:rPr>
            <w:noProof/>
            <w:webHidden/>
          </w:rPr>
          <w:t>14</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1" w:history="1">
        <w:r w:rsidRPr="003033C7">
          <w:rPr>
            <w:rStyle w:val="Hyperlink"/>
            <w:noProof/>
          </w:rPr>
          <w:t>Table 4: Match between key points of the traffic and travel management plan and D15.2</w:t>
        </w:r>
        <w:r>
          <w:rPr>
            <w:noProof/>
            <w:webHidden/>
          </w:rPr>
          <w:tab/>
        </w:r>
        <w:r>
          <w:rPr>
            <w:noProof/>
            <w:webHidden/>
          </w:rPr>
          <w:fldChar w:fldCharType="begin"/>
        </w:r>
        <w:r>
          <w:rPr>
            <w:noProof/>
            <w:webHidden/>
          </w:rPr>
          <w:instrText xml:space="preserve"> PAGEREF _Toc373136641 \h </w:instrText>
        </w:r>
        <w:r>
          <w:rPr>
            <w:noProof/>
            <w:webHidden/>
          </w:rPr>
        </w:r>
        <w:r>
          <w:rPr>
            <w:noProof/>
            <w:webHidden/>
          </w:rPr>
          <w:fldChar w:fldCharType="separate"/>
        </w:r>
        <w:r>
          <w:rPr>
            <w:noProof/>
            <w:webHidden/>
          </w:rPr>
          <w:t>22</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2" w:history="1">
        <w:r w:rsidRPr="003033C7">
          <w:rPr>
            <w:rStyle w:val="Hyperlink"/>
            <w:noProof/>
          </w:rPr>
          <w:t>Table 5: Job creation and GDP effect per million euro subsidy in public transport</w:t>
        </w:r>
        <w:r>
          <w:rPr>
            <w:noProof/>
            <w:webHidden/>
          </w:rPr>
          <w:tab/>
        </w:r>
        <w:r>
          <w:rPr>
            <w:noProof/>
            <w:webHidden/>
          </w:rPr>
          <w:fldChar w:fldCharType="begin"/>
        </w:r>
        <w:r>
          <w:rPr>
            <w:noProof/>
            <w:webHidden/>
          </w:rPr>
          <w:instrText xml:space="preserve"> PAGEREF _Toc373136642 \h </w:instrText>
        </w:r>
        <w:r>
          <w:rPr>
            <w:noProof/>
            <w:webHidden/>
          </w:rPr>
        </w:r>
        <w:r>
          <w:rPr>
            <w:noProof/>
            <w:webHidden/>
          </w:rPr>
          <w:fldChar w:fldCharType="separate"/>
        </w:r>
        <w:r>
          <w:rPr>
            <w:noProof/>
            <w:webHidden/>
          </w:rPr>
          <w:t>25</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3" w:history="1">
        <w:r w:rsidRPr="003033C7">
          <w:rPr>
            <w:rStyle w:val="Hyperlink"/>
            <w:noProof/>
          </w:rPr>
          <w:t>Table 6: Job creation and GDP effect per million euros energy saved</w:t>
        </w:r>
        <w:r>
          <w:rPr>
            <w:noProof/>
            <w:webHidden/>
          </w:rPr>
          <w:tab/>
        </w:r>
        <w:r>
          <w:rPr>
            <w:noProof/>
            <w:webHidden/>
          </w:rPr>
          <w:fldChar w:fldCharType="begin"/>
        </w:r>
        <w:r>
          <w:rPr>
            <w:noProof/>
            <w:webHidden/>
          </w:rPr>
          <w:instrText xml:space="preserve"> PAGEREF _Toc373136643 \h </w:instrText>
        </w:r>
        <w:r>
          <w:rPr>
            <w:noProof/>
            <w:webHidden/>
          </w:rPr>
        </w:r>
        <w:r>
          <w:rPr>
            <w:noProof/>
            <w:webHidden/>
          </w:rPr>
          <w:fldChar w:fldCharType="separate"/>
        </w:r>
        <w:r>
          <w:rPr>
            <w:noProof/>
            <w:webHidden/>
          </w:rPr>
          <w:t>28</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4" w:history="1">
        <w:r w:rsidRPr="003033C7">
          <w:rPr>
            <w:rStyle w:val="Hyperlink"/>
            <w:noProof/>
          </w:rPr>
          <w:t>Table 7: Job creation and GDP effect per million euros averted from private car use</w:t>
        </w:r>
        <w:r>
          <w:rPr>
            <w:noProof/>
            <w:webHidden/>
          </w:rPr>
          <w:tab/>
        </w:r>
        <w:r>
          <w:rPr>
            <w:noProof/>
            <w:webHidden/>
          </w:rPr>
          <w:fldChar w:fldCharType="begin"/>
        </w:r>
        <w:r>
          <w:rPr>
            <w:noProof/>
            <w:webHidden/>
          </w:rPr>
          <w:instrText xml:space="preserve"> PAGEREF _Toc373136644 \h </w:instrText>
        </w:r>
        <w:r>
          <w:rPr>
            <w:noProof/>
            <w:webHidden/>
          </w:rPr>
        </w:r>
        <w:r>
          <w:rPr>
            <w:noProof/>
            <w:webHidden/>
          </w:rPr>
          <w:fldChar w:fldCharType="separate"/>
        </w:r>
        <w:r>
          <w:rPr>
            <w:noProof/>
            <w:webHidden/>
          </w:rPr>
          <w:t>33</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5" w:history="1">
        <w:r w:rsidRPr="003033C7">
          <w:rPr>
            <w:rStyle w:val="Hyperlink"/>
            <w:noProof/>
          </w:rPr>
          <w:t>Table 8: Job creation and GDP effect per million euros averted from auxiliary transport</w:t>
        </w:r>
        <w:r>
          <w:rPr>
            <w:noProof/>
            <w:webHidden/>
          </w:rPr>
          <w:tab/>
        </w:r>
        <w:r>
          <w:rPr>
            <w:noProof/>
            <w:webHidden/>
          </w:rPr>
          <w:fldChar w:fldCharType="begin"/>
        </w:r>
        <w:r>
          <w:rPr>
            <w:noProof/>
            <w:webHidden/>
          </w:rPr>
          <w:instrText xml:space="preserve"> PAGEREF _Toc373136645 \h </w:instrText>
        </w:r>
        <w:r>
          <w:rPr>
            <w:noProof/>
            <w:webHidden/>
          </w:rPr>
        </w:r>
        <w:r>
          <w:rPr>
            <w:noProof/>
            <w:webHidden/>
          </w:rPr>
          <w:fldChar w:fldCharType="separate"/>
        </w:r>
        <w:r>
          <w:rPr>
            <w:noProof/>
            <w:webHidden/>
          </w:rPr>
          <w:t>36</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6" w:history="1">
        <w:r w:rsidRPr="003033C7">
          <w:rPr>
            <w:rStyle w:val="Hyperlink"/>
            <w:noProof/>
          </w:rPr>
          <w:t>Table 9: Overview of job multipliers (+source) in FTE's per million euro</w:t>
        </w:r>
        <w:r>
          <w:rPr>
            <w:noProof/>
            <w:webHidden/>
          </w:rPr>
          <w:tab/>
        </w:r>
        <w:r>
          <w:rPr>
            <w:noProof/>
            <w:webHidden/>
          </w:rPr>
          <w:fldChar w:fldCharType="begin"/>
        </w:r>
        <w:r>
          <w:rPr>
            <w:noProof/>
            <w:webHidden/>
          </w:rPr>
          <w:instrText xml:space="preserve"> PAGEREF _Toc373136646 \h </w:instrText>
        </w:r>
        <w:r>
          <w:rPr>
            <w:noProof/>
            <w:webHidden/>
          </w:rPr>
        </w:r>
        <w:r>
          <w:rPr>
            <w:noProof/>
            <w:webHidden/>
          </w:rPr>
          <w:fldChar w:fldCharType="separate"/>
        </w:r>
        <w:r>
          <w:rPr>
            <w:noProof/>
            <w:webHidden/>
          </w:rPr>
          <w:t>40</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7" w:history="1">
        <w:r w:rsidRPr="003033C7">
          <w:rPr>
            <w:rStyle w:val="Hyperlink"/>
            <w:noProof/>
          </w:rPr>
          <w:t xml:space="preserve">Table 10: Overview of GDP multipliers (+source) in euros </w:t>
        </w:r>
        <w:r>
          <w:rPr>
            <w:noProof/>
            <w:webHidden/>
          </w:rPr>
          <w:tab/>
        </w:r>
        <w:r>
          <w:rPr>
            <w:noProof/>
            <w:webHidden/>
          </w:rPr>
          <w:fldChar w:fldCharType="begin"/>
        </w:r>
        <w:r>
          <w:rPr>
            <w:noProof/>
            <w:webHidden/>
          </w:rPr>
          <w:instrText xml:space="preserve"> PAGEREF _Toc373136647 \h </w:instrText>
        </w:r>
        <w:r>
          <w:rPr>
            <w:noProof/>
            <w:webHidden/>
          </w:rPr>
        </w:r>
        <w:r>
          <w:rPr>
            <w:noProof/>
            <w:webHidden/>
          </w:rPr>
          <w:fldChar w:fldCharType="separate"/>
        </w:r>
        <w:r>
          <w:rPr>
            <w:noProof/>
            <w:webHidden/>
          </w:rPr>
          <w:t>40</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48" w:history="1">
        <w:r w:rsidRPr="003033C7">
          <w:rPr>
            <w:rStyle w:val="Hyperlink"/>
            <w:noProof/>
          </w:rPr>
          <w:t>Table 11: City level policy and estimated impacts on sprawl, price of housing and transport, pollution, congestion and employment (own assessment)</w:t>
        </w:r>
        <w:r>
          <w:rPr>
            <w:noProof/>
            <w:webHidden/>
          </w:rPr>
          <w:tab/>
        </w:r>
        <w:r>
          <w:rPr>
            <w:noProof/>
            <w:webHidden/>
          </w:rPr>
          <w:fldChar w:fldCharType="begin"/>
        </w:r>
        <w:r>
          <w:rPr>
            <w:noProof/>
            <w:webHidden/>
          </w:rPr>
          <w:instrText xml:space="preserve"> PAGEREF _Toc373136648 \h </w:instrText>
        </w:r>
        <w:r>
          <w:rPr>
            <w:noProof/>
            <w:webHidden/>
          </w:rPr>
        </w:r>
        <w:r>
          <w:rPr>
            <w:noProof/>
            <w:webHidden/>
          </w:rPr>
          <w:fldChar w:fldCharType="separate"/>
        </w:r>
        <w:r>
          <w:rPr>
            <w:noProof/>
            <w:webHidden/>
          </w:rPr>
          <w:t>44</w:t>
        </w:r>
        <w:r>
          <w:rPr>
            <w:noProof/>
            <w:webHidden/>
          </w:rPr>
          <w:fldChar w:fldCharType="end"/>
        </w:r>
      </w:hyperlink>
    </w:p>
    <w:p w:rsidR="00273211" w:rsidRDefault="00273211" w:rsidP="00273211">
      <w:pPr>
        <w:pStyle w:val="TableofFigures"/>
        <w:tabs>
          <w:tab w:val="right" w:leader="dot" w:pos="8495"/>
        </w:tabs>
        <w:rPr>
          <w:b/>
          <w:color w:val="76923C" w:themeColor="accent3" w:themeShade="BF"/>
          <w:sz w:val="16"/>
          <w:szCs w:val="16"/>
          <w:lang w:eastAsia="it-IT"/>
        </w:rPr>
      </w:pPr>
      <w:r>
        <w:rPr>
          <w:b/>
          <w:color w:val="76923C" w:themeColor="accent3" w:themeShade="BF"/>
          <w:sz w:val="16"/>
          <w:szCs w:val="16"/>
          <w:lang w:eastAsia="it-IT"/>
        </w:rPr>
        <w:fldChar w:fldCharType="end"/>
      </w:r>
      <w:r>
        <w:rPr>
          <w:b/>
          <w:smallCaps/>
          <w:noProof/>
          <w:sz w:val="32"/>
          <w:szCs w:val="32"/>
          <w:lang w:val="en-US"/>
        </w:rPr>
        <w:t xml:space="preserve">TABLE OF FIGURES </w:t>
      </w:r>
    </w:p>
    <w:p w:rsidR="00D37E12" w:rsidRDefault="00D37E12" w:rsidP="00B661AC">
      <w:pPr>
        <w:spacing w:after="40"/>
        <w:jc w:val="center"/>
        <w:rPr>
          <w:rFonts w:eastAsia="Times New Roman" w:cs="Times New Roman"/>
          <w:b/>
          <w:color w:val="76923C" w:themeColor="accent3" w:themeShade="BF"/>
          <w:sz w:val="16"/>
          <w:szCs w:val="16"/>
          <w:lang w:eastAsia="it-IT"/>
        </w:rPr>
      </w:pPr>
    </w:p>
    <w:p w:rsidR="00273211" w:rsidRDefault="00273211">
      <w:pPr>
        <w:pStyle w:val="TableofFigures"/>
        <w:tabs>
          <w:tab w:val="right" w:leader="dot" w:pos="8495"/>
        </w:tabs>
        <w:rPr>
          <w:rFonts w:asciiTheme="minorHAnsi" w:eastAsiaTheme="minorEastAsia" w:hAnsiTheme="minorHAnsi" w:cstheme="minorBidi"/>
          <w:noProof/>
          <w:szCs w:val="22"/>
          <w:lang w:eastAsia="en-GB"/>
        </w:rPr>
      </w:pPr>
      <w:r>
        <w:rPr>
          <w:b/>
          <w:color w:val="76923C" w:themeColor="accent3" w:themeShade="BF"/>
          <w:sz w:val="16"/>
          <w:szCs w:val="16"/>
          <w:lang w:eastAsia="it-IT"/>
        </w:rPr>
        <w:fldChar w:fldCharType="begin"/>
      </w:r>
      <w:r>
        <w:rPr>
          <w:b/>
          <w:color w:val="76923C" w:themeColor="accent3" w:themeShade="BF"/>
          <w:sz w:val="16"/>
          <w:szCs w:val="16"/>
          <w:lang w:eastAsia="it-IT"/>
        </w:rPr>
        <w:instrText xml:space="preserve"> TOC \h \z \c "Figure" </w:instrText>
      </w:r>
      <w:r>
        <w:rPr>
          <w:b/>
          <w:color w:val="76923C" w:themeColor="accent3" w:themeShade="BF"/>
          <w:sz w:val="16"/>
          <w:szCs w:val="16"/>
          <w:lang w:eastAsia="it-IT"/>
        </w:rPr>
        <w:fldChar w:fldCharType="separate"/>
      </w:r>
      <w:hyperlink w:anchor="_Toc373136650" w:history="1">
        <w:r w:rsidRPr="000F6BF3">
          <w:rPr>
            <w:rStyle w:val="Hyperlink"/>
            <w:noProof/>
          </w:rPr>
          <w:t>Figure 1: Consumer choice (Brueckner J.K, 2011)</w:t>
        </w:r>
        <w:r>
          <w:rPr>
            <w:noProof/>
            <w:webHidden/>
          </w:rPr>
          <w:tab/>
        </w:r>
        <w:r>
          <w:rPr>
            <w:noProof/>
            <w:webHidden/>
          </w:rPr>
          <w:fldChar w:fldCharType="begin"/>
        </w:r>
        <w:r>
          <w:rPr>
            <w:noProof/>
            <w:webHidden/>
          </w:rPr>
          <w:instrText xml:space="preserve"> PAGEREF _Toc373136650 \h </w:instrText>
        </w:r>
        <w:r>
          <w:rPr>
            <w:noProof/>
            <w:webHidden/>
          </w:rPr>
        </w:r>
        <w:r>
          <w:rPr>
            <w:noProof/>
            <w:webHidden/>
          </w:rPr>
          <w:fldChar w:fldCharType="separate"/>
        </w:r>
        <w:r>
          <w:rPr>
            <w:noProof/>
            <w:webHidden/>
          </w:rPr>
          <w:t>8</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1" w:history="1">
        <w:r w:rsidRPr="000F6BF3">
          <w:rPr>
            <w:rStyle w:val="Hyperlink"/>
            <w:noProof/>
          </w:rPr>
          <w:t>Figure 2: City size determined by an outside price for agri</w:t>
        </w:r>
        <w:r>
          <w:rPr>
            <w:rStyle w:val="Hyperlink"/>
            <w:noProof/>
          </w:rPr>
          <w:t xml:space="preserve">cultural land (r), Brueckner </w:t>
        </w:r>
        <w:r w:rsidRPr="000F6BF3">
          <w:rPr>
            <w:rStyle w:val="Hyperlink"/>
            <w:noProof/>
          </w:rPr>
          <w:t xml:space="preserve"> (2011)</w:t>
        </w:r>
        <w:r>
          <w:rPr>
            <w:rStyle w:val="Hyperlink"/>
            <w:noProof/>
          </w:rPr>
          <w:t xml:space="preserve">    </w:t>
        </w:r>
        <w:r>
          <w:rPr>
            <w:noProof/>
            <w:webHidden/>
          </w:rPr>
          <w:fldChar w:fldCharType="begin"/>
        </w:r>
        <w:r>
          <w:rPr>
            <w:noProof/>
            <w:webHidden/>
          </w:rPr>
          <w:instrText xml:space="preserve"> PAGEREF _Toc373136651 \h </w:instrText>
        </w:r>
        <w:r>
          <w:rPr>
            <w:noProof/>
            <w:webHidden/>
          </w:rPr>
        </w:r>
        <w:r>
          <w:rPr>
            <w:noProof/>
            <w:webHidden/>
          </w:rPr>
          <w:fldChar w:fldCharType="separate"/>
        </w:r>
        <w:r>
          <w:rPr>
            <w:noProof/>
            <w:webHidden/>
          </w:rPr>
          <w:t>9</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2" w:history="1">
        <w:r w:rsidRPr="000F6BF3">
          <w:rPr>
            <w:rStyle w:val="Hyperlink"/>
            <w:noProof/>
          </w:rPr>
          <w:t>Figure 3: Monetary compensation of labour in the top 4 'winning sectors' and top 4 'losing sectors' when moving towards electric mobility</w:t>
        </w:r>
        <w:r>
          <w:rPr>
            <w:noProof/>
            <w:webHidden/>
          </w:rPr>
          <w:tab/>
        </w:r>
        <w:r>
          <w:rPr>
            <w:noProof/>
            <w:webHidden/>
          </w:rPr>
          <w:fldChar w:fldCharType="begin"/>
        </w:r>
        <w:r>
          <w:rPr>
            <w:noProof/>
            <w:webHidden/>
          </w:rPr>
          <w:instrText xml:space="preserve"> PAGEREF _Toc373136652 \h </w:instrText>
        </w:r>
        <w:r>
          <w:rPr>
            <w:noProof/>
            <w:webHidden/>
          </w:rPr>
        </w:r>
        <w:r>
          <w:rPr>
            <w:noProof/>
            <w:webHidden/>
          </w:rPr>
          <w:fldChar w:fldCharType="separate"/>
        </w:r>
        <w:r>
          <w:rPr>
            <w:noProof/>
            <w:webHidden/>
          </w:rPr>
          <w:t>30</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3" w:history="1">
        <w:r w:rsidRPr="000F6BF3">
          <w:rPr>
            <w:rStyle w:val="Hyperlink"/>
            <w:noProof/>
          </w:rPr>
          <w:t>Figure 4: Net jobs created with 1% electrification, 4 top and 4 losing countries (in FTE's)</w:t>
        </w:r>
        <w:r>
          <w:rPr>
            <w:noProof/>
            <w:webHidden/>
          </w:rPr>
          <w:tab/>
        </w:r>
        <w:r>
          <w:rPr>
            <w:noProof/>
            <w:webHidden/>
          </w:rPr>
          <w:fldChar w:fldCharType="begin"/>
        </w:r>
        <w:r>
          <w:rPr>
            <w:noProof/>
            <w:webHidden/>
          </w:rPr>
          <w:instrText xml:space="preserve"> PAGEREF _Toc373136653 \h </w:instrText>
        </w:r>
        <w:r>
          <w:rPr>
            <w:noProof/>
            <w:webHidden/>
          </w:rPr>
        </w:r>
        <w:r>
          <w:rPr>
            <w:noProof/>
            <w:webHidden/>
          </w:rPr>
          <w:fldChar w:fldCharType="separate"/>
        </w:r>
        <w:r>
          <w:rPr>
            <w:noProof/>
            <w:webHidden/>
          </w:rPr>
          <w:t>31</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4" w:history="1">
        <w:r w:rsidRPr="000F6BF3">
          <w:rPr>
            <w:rStyle w:val="Hyperlink"/>
            <w:noProof/>
          </w:rPr>
          <w:t>Figure 5: Correlation of share of labour compensation in transport manufacturing on net job creation</w:t>
        </w:r>
        <w:r>
          <w:rPr>
            <w:noProof/>
            <w:webHidden/>
          </w:rPr>
          <w:tab/>
        </w:r>
        <w:r>
          <w:rPr>
            <w:noProof/>
            <w:webHidden/>
          </w:rPr>
          <w:fldChar w:fldCharType="begin"/>
        </w:r>
        <w:r>
          <w:rPr>
            <w:noProof/>
            <w:webHidden/>
          </w:rPr>
          <w:instrText xml:space="preserve"> PAGEREF _Toc373136654 \h </w:instrText>
        </w:r>
        <w:r>
          <w:rPr>
            <w:noProof/>
            <w:webHidden/>
          </w:rPr>
        </w:r>
        <w:r>
          <w:rPr>
            <w:noProof/>
            <w:webHidden/>
          </w:rPr>
          <w:fldChar w:fldCharType="separate"/>
        </w:r>
        <w:r>
          <w:rPr>
            <w:noProof/>
            <w:webHidden/>
          </w:rPr>
          <w:t>31</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5" w:history="1">
        <w:r w:rsidRPr="000F6BF3">
          <w:rPr>
            <w:rStyle w:val="Hyperlink"/>
            <w:noProof/>
          </w:rPr>
          <w:t>Figure 6: Net job creation of 1% change in private to public transport expenditures of consumers</w:t>
        </w:r>
        <w:r>
          <w:rPr>
            <w:noProof/>
            <w:webHidden/>
          </w:rPr>
          <w:tab/>
        </w:r>
        <w:r>
          <w:rPr>
            <w:noProof/>
            <w:webHidden/>
          </w:rPr>
          <w:fldChar w:fldCharType="begin"/>
        </w:r>
        <w:r>
          <w:rPr>
            <w:noProof/>
            <w:webHidden/>
          </w:rPr>
          <w:instrText xml:space="preserve"> PAGEREF _Toc373136655 \h </w:instrText>
        </w:r>
        <w:r>
          <w:rPr>
            <w:noProof/>
            <w:webHidden/>
          </w:rPr>
        </w:r>
        <w:r>
          <w:rPr>
            <w:noProof/>
            <w:webHidden/>
          </w:rPr>
          <w:fldChar w:fldCharType="separate"/>
        </w:r>
        <w:r>
          <w:rPr>
            <w:noProof/>
            <w:webHidden/>
          </w:rPr>
          <w:t>33</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6" w:history="1">
        <w:r w:rsidRPr="000F6BF3">
          <w:rPr>
            <w:rStyle w:val="Hyperlink"/>
            <w:noProof/>
          </w:rPr>
          <w:t>Figure 7: Monetary compensation of labour in the top 4 'winning sectors' and top 4 'losing sectors' when increasing efficiency of transport services</w:t>
        </w:r>
        <w:r>
          <w:rPr>
            <w:noProof/>
            <w:webHidden/>
          </w:rPr>
          <w:tab/>
        </w:r>
        <w:r>
          <w:rPr>
            <w:noProof/>
            <w:webHidden/>
          </w:rPr>
          <w:fldChar w:fldCharType="begin"/>
        </w:r>
        <w:r>
          <w:rPr>
            <w:noProof/>
            <w:webHidden/>
          </w:rPr>
          <w:instrText xml:space="preserve"> PAGEREF _Toc373136656 \h </w:instrText>
        </w:r>
        <w:r>
          <w:rPr>
            <w:noProof/>
            <w:webHidden/>
          </w:rPr>
        </w:r>
        <w:r>
          <w:rPr>
            <w:noProof/>
            <w:webHidden/>
          </w:rPr>
          <w:fldChar w:fldCharType="separate"/>
        </w:r>
        <w:r>
          <w:rPr>
            <w:noProof/>
            <w:webHidden/>
          </w:rPr>
          <w:t>36</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7" w:history="1">
        <w:r w:rsidRPr="000F6BF3">
          <w:rPr>
            <w:rStyle w:val="Hyperlink"/>
            <w:noProof/>
          </w:rPr>
          <w:t>Figure 8: Correlation between share of labour compensation in land transport and the job multiplier</w:t>
        </w:r>
        <w:r>
          <w:rPr>
            <w:noProof/>
            <w:webHidden/>
          </w:rPr>
          <w:tab/>
        </w:r>
        <w:r>
          <w:rPr>
            <w:noProof/>
            <w:webHidden/>
          </w:rPr>
          <w:fldChar w:fldCharType="begin"/>
        </w:r>
        <w:r>
          <w:rPr>
            <w:noProof/>
            <w:webHidden/>
          </w:rPr>
          <w:instrText xml:space="preserve"> PAGEREF _Toc373136657 \h </w:instrText>
        </w:r>
        <w:r>
          <w:rPr>
            <w:noProof/>
            <w:webHidden/>
          </w:rPr>
        </w:r>
        <w:r>
          <w:rPr>
            <w:noProof/>
            <w:webHidden/>
          </w:rPr>
          <w:fldChar w:fldCharType="separate"/>
        </w:r>
        <w:r>
          <w:rPr>
            <w:noProof/>
            <w:webHidden/>
          </w:rPr>
          <w:t>37</w:t>
        </w:r>
        <w:r>
          <w:rPr>
            <w:noProof/>
            <w:webHidden/>
          </w:rPr>
          <w:fldChar w:fldCharType="end"/>
        </w:r>
      </w:hyperlink>
    </w:p>
    <w:p w:rsidR="00273211" w:rsidRDefault="00273211">
      <w:pPr>
        <w:pStyle w:val="TableofFigures"/>
        <w:tabs>
          <w:tab w:val="right" w:leader="dot" w:pos="8495"/>
        </w:tabs>
        <w:rPr>
          <w:rFonts w:asciiTheme="minorHAnsi" w:eastAsiaTheme="minorEastAsia" w:hAnsiTheme="minorHAnsi" w:cstheme="minorBidi"/>
          <w:noProof/>
          <w:szCs w:val="22"/>
          <w:lang w:eastAsia="en-GB"/>
        </w:rPr>
      </w:pPr>
      <w:hyperlink w:anchor="_Toc373136658" w:history="1">
        <w:r w:rsidRPr="000F6BF3">
          <w:rPr>
            <w:rStyle w:val="Hyperlink"/>
            <w:noProof/>
          </w:rPr>
          <w:t>Figure 9: Correlation between share of labour compensation in auxiliary transport services and the job multiplier</w:t>
        </w:r>
        <w:r>
          <w:rPr>
            <w:noProof/>
            <w:webHidden/>
          </w:rPr>
          <w:tab/>
        </w:r>
        <w:r>
          <w:rPr>
            <w:noProof/>
            <w:webHidden/>
          </w:rPr>
          <w:fldChar w:fldCharType="begin"/>
        </w:r>
        <w:r>
          <w:rPr>
            <w:noProof/>
            <w:webHidden/>
          </w:rPr>
          <w:instrText xml:space="preserve"> PAGEREF _Toc373136658 \h </w:instrText>
        </w:r>
        <w:r>
          <w:rPr>
            <w:noProof/>
            <w:webHidden/>
          </w:rPr>
        </w:r>
        <w:r>
          <w:rPr>
            <w:noProof/>
            <w:webHidden/>
          </w:rPr>
          <w:fldChar w:fldCharType="separate"/>
        </w:r>
        <w:r>
          <w:rPr>
            <w:noProof/>
            <w:webHidden/>
          </w:rPr>
          <w:t>37</w:t>
        </w:r>
        <w:r>
          <w:rPr>
            <w:noProof/>
            <w:webHidden/>
          </w:rPr>
          <w:fldChar w:fldCharType="end"/>
        </w:r>
      </w:hyperlink>
    </w:p>
    <w:p w:rsidR="00273211" w:rsidRDefault="00273211" w:rsidP="00B661AC">
      <w:pPr>
        <w:spacing w:after="40"/>
        <w:jc w:val="center"/>
        <w:rPr>
          <w:rFonts w:eastAsia="Times New Roman" w:cs="Times New Roman"/>
          <w:b/>
          <w:color w:val="76923C" w:themeColor="accent3" w:themeShade="BF"/>
          <w:sz w:val="16"/>
          <w:szCs w:val="16"/>
          <w:lang w:eastAsia="it-IT"/>
        </w:rPr>
      </w:pPr>
      <w:r>
        <w:rPr>
          <w:rFonts w:eastAsia="Times New Roman" w:cs="Times New Roman"/>
          <w:b/>
          <w:color w:val="76923C" w:themeColor="accent3" w:themeShade="BF"/>
          <w:sz w:val="16"/>
          <w:szCs w:val="16"/>
          <w:lang w:eastAsia="it-IT"/>
        </w:rPr>
        <w:fldChar w:fldCharType="end"/>
      </w:r>
    </w:p>
    <w:p w:rsidR="00D37E12" w:rsidRDefault="00D37E12" w:rsidP="00B661AC">
      <w:pPr>
        <w:spacing w:after="40"/>
        <w:jc w:val="center"/>
        <w:rPr>
          <w:rFonts w:eastAsia="Times New Roman" w:cs="Times New Roman"/>
          <w:b/>
          <w:color w:val="76923C" w:themeColor="accent3" w:themeShade="BF"/>
          <w:sz w:val="16"/>
          <w:szCs w:val="16"/>
          <w:lang w:eastAsia="it-IT"/>
        </w:rPr>
        <w:sectPr w:rsidR="00D37E12" w:rsidSect="00B661AC">
          <w:headerReference w:type="first" r:id="rId20"/>
          <w:pgSz w:w="11907" w:h="16840" w:code="9"/>
          <w:pgMar w:top="1701" w:right="1701" w:bottom="1701" w:left="1701" w:header="1418" w:footer="567" w:gutter="0"/>
          <w:cols w:space="720"/>
          <w:titlePg/>
          <w:docGrid w:linePitch="360"/>
        </w:sectPr>
      </w:pPr>
    </w:p>
    <w:p w:rsidR="00B37F3E" w:rsidRDefault="00FC0DB5" w:rsidP="00632DC3">
      <w:pPr>
        <w:jc w:val="center"/>
        <w:rPr>
          <w:b/>
          <w:smallCaps/>
          <w:color w:val="215868" w:themeColor="accent5" w:themeShade="80"/>
          <w:sz w:val="40"/>
          <w:szCs w:val="40"/>
        </w:rPr>
      </w:pPr>
      <w:r>
        <w:rPr>
          <w:b/>
          <w:smallCaps/>
          <w:color w:val="215868" w:themeColor="accent5" w:themeShade="80"/>
          <w:sz w:val="40"/>
          <w:szCs w:val="40"/>
        </w:rPr>
        <w:lastRenderedPageBreak/>
        <w:t>SUSTAINABLE URBAN TRANSPORT</w:t>
      </w:r>
      <w:r w:rsidR="00834B98">
        <w:rPr>
          <w:b/>
          <w:smallCaps/>
          <w:color w:val="215868" w:themeColor="accent5" w:themeShade="80"/>
          <w:sz w:val="40"/>
          <w:szCs w:val="40"/>
        </w:rPr>
        <w:t xml:space="preserve"> STRATEGIES</w:t>
      </w:r>
      <w:r>
        <w:rPr>
          <w:b/>
          <w:smallCaps/>
          <w:color w:val="215868" w:themeColor="accent5" w:themeShade="80"/>
          <w:sz w:val="40"/>
          <w:szCs w:val="40"/>
        </w:rPr>
        <w:t xml:space="preserve"> AND JOB CREATION</w:t>
      </w:r>
    </w:p>
    <w:p w:rsidR="000A219A" w:rsidRDefault="000A219A" w:rsidP="00632DC3">
      <w:pPr>
        <w:jc w:val="center"/>
        <w:rPr>
          <w:b/>
          <w:smallCaps/>
          <w:color w:val="215868" w:themeColor="accent5" w:themeShade="80"/>
          <w:sz w:val="40"/>
          <w:szCs w:val="40"/>
        </w:rPr>
      </w:pPr>
    </w:p>
    <w:p w:rsidR="000A219A" w:rsidRDefault="000A219A" w:rsidP="00632DC3">
      <w:pPr>
        <w:jc w:val="center"/>
        <w:rPr>
          <w:b/>
          <w:smallCaps/>
          <w:color w:val="215868" w:themeColor="accent5" w:themeShade="80"/>
          <w:sz w:val="40"/>
          <w:szCs w:val="40"/>
        </w:rPr>
      </w:pPr>
    </w:p>
    <w:p w:rsidR="000A219A" w:rsidRPr="00A053E8" w:rsidRDefault="000A219A" w:rsidP="00632DC3">
      <w:pPr>
        <w:jc w:val="center"/>
        <w:rPr>
          <w:b/>
          <w:smallCaps/>
          <w:color w:val="215868" w:themeColor="accent5" w:themeShade="80"/>
          <w:sz w:val="40"/>
          <w:szCs w:val="40"/>
        </w:rPr>
      </w:pPr>
    </w:p>
    <w:p w:rsidR="00B37F3E" w:rsidRDefault="000A219A" w:rsidP="00632DC3">
      <w:pPr>
        <w:jc w:val="center"/>
        <w:rPr>
          <w:b/>
          <w:smallCaps/>
          <w:color w:val="215868" w:themeColor="accent5" w:themeShade="80"/>
          <w:sz w:val="36"/>
          <w:szCs w:val="36"/>
        </w:rPr>
      </w:pPr>
      <w:r>
        <w:rPr>
          <w:b/>
          <w:smallCaps/>
          <w:color w:val="215868" w:themeColor="accent5" w:themeShade="80"/>
          <w:sz w:val="36"/>
          <w:szCs w:val="36"/>
        </w:rPr>
        <w:t>christophe heyndrickx – tml</w:t>
      </w:r>
    </w:p>
    <w:p w:rsidR="000A219A" w:rsidRDefault="000A219A" w:rsidP="00632DC3">
      <w:pPr>
        <w:jc w:val="center"/>
        <w:rPr>
          <w:b/>
          <w:smallCaps/>
          <w:color w:val="215868" w:themeColor="accent5" w:themeShade="80"/>
          <w:sz w:val="36"/>
          <w:szCs w:val="36"/>
        </w:rPr>
      </w:pPr>
      <w:r>
        <w:rPr>
          <w:b/>
          <w:smallCaps/>
          <w:color w:val="215868" w:themeColor="accent5" w:themeShade="80"/>
          <w:sz w:val="36"/>
          <w:szCs w:val="36"/>
        </w:rPr>
        <w:t>Rodric Frederix – tml</w:t>
      </w:r>
    </w:p>
    <w:p w:rsidR="000A219A" w:rsidRDefault="000A219A" w:rsidP="00632DC3">
      <w:pPr>
        <w:jc w:val="center"/>
        <w:rPr>
          <w:b/>
          <w:smallCaps/>
          <w:color w:val="215868" w:themeColor="accent5" w:themeShade="80"/>
          <w:sz w:val="36"/>
          <w:szCs w:val="36"/>
        </w:rPr>
      </w:pPr>
      <w:r>
        <w:rPr>
          <w:b/>
          <w:smallCaps/>
          <w:color w:val="215868" w:themeColor="accent5" w:themeShade="80"/>
          <w:sz w:val="36"/>
          <w:szCs w:val="36"/>
        </w:rPr>
        <w:t>Joko Purwanto – tml</w:t>
      </w:r>
    </w:p>
    <w:p w:rsidR="000A219A" w:rsidRDefault="000A219A" w:rsidP="00632DC3">
      <w:pPr>
        <w:jc w:val="center"/>
        <w:rPr>
          <w:b/>
          <w:smallCaps/>
          <w:color w:val="215868" w:themeColor="accent5" w:themeShade="80"/>
          <w:sz w:val="36"/>
          <w:szCs w:val="36"/>
        </w:rPr>
      </w:pPr>
    </w:p>
    <w:p w:rsidR="000A219A" w:rsidRDefault="000A219A" w:rsidP="00632DC3">
      <w:pPr>
        <w:jc w:val="center"/>
        <w:rPr>
          <w:b/>
          <w:smallCaps/>
          <w:color w:val="215868" w:themeColor="accent5" w:themeShade="80"/>
          <w:sz w:val="36"/>
          <w:szCs w:val="36"/>
        </w:rPr>
      </w:pPr>
    </w:p>
    <w:p w:rsidR="000A219A" w:rsidRPr="00A053E8" w:rsidRDefault="000A219A" w:rsidP="00632DC3">
      <w:pPr>
        <w:jc w:val="center"/>
        <w:rPr>
          <w:b/>
          <w:smallCaps/>
          <w:color w:val="215868" w:themeColor="accent5" w:themeShade="80"/>
          <w:sz w:val="36"/>
          <w:szCs w:val="36"/>
        </w:rPr>
      </w:pPr>
    </w:p>
    <w:p w:rsidR="00B37F3E" w:rsidRPr="00A053E8" w:rsidRDefault="00B37F3E" w:rsidP="00632DC3">
      <w:pPr>
        <w:pBdr>
          <w:bottom w:val="single" w:sz="12" w:space="1" w:color="948A54" w:themeColor="background2" w:themeShade="80"/>
        </w:pBdr>
        <w:jc w:val="center"/>
        <w:rPr>
          <w:b/>
          <w:smallCaps/>
          <w:color w:val="215868" w:themeColor="accent5" w:themeShade="80"/>
          <w:sz w:val="32"/>
          <w:szCs w:val="32"/>
        </w:rPr>
      </w:pPr>
      <w:proofErr w:type="gramStart"/>
      <w:r w:rsidRPr="00A053E8">
        <w:rPr>
          <w:b/>
          <w:smallCaps/>
          <w:color w:val="215868" w:themeColor="accent5" w:themeShade="80"/>
          <w:sz w:val="32"/>
          <w:szCs w:val="32"/>
        </w:rPr>
        <w:t xml:space="preserve">NEUJOBS </w:t>
      </w:r>
      <w:r w:rsidR="003D3C09">
        <w:rPr>
          <w:b/>
          <w:smallCaps/>
          <w:color w:val="215868" w:themeColor="accent5" w:themeShade="80"/>
          <w:sz w:val="32"/>
          <w:szCs w:val="32"/>
        </w:rPr>
        <w:t>Deliverable No.</w:t>
      </w:r>
      <w:proofErr w:type="gramEnd"/>
      <w:r w:rsidR="003D3C09">
        <w:rPr>
          <w:b/>
          <w:smallCaps/>
          <w:color w:val="215868" w:themeColor="accent5" w:themeShade="80"/>
          <w:sz w:val="32"/>
          <w:szCs w:val="32"/>
        </w:rPr>
        <w:t xml:space="preserve"> 15.3</w:t>
      </w:r>
    </w:p>
    <w:p w:rsidR="00B37F3E" w:rsidRDefault="00B37F3E" w:rsidP="00B661AC">
      <w:pPr>
        <w:spacing w:after="40"/>
        <w:jc w:val="center"/>
        <w:rPr>
          <w:rFonts w:eastAsia="Times New Roman" w:cs="Times New Roman"/>
          <w:b/>
          <w:color w:val="76923C" w:themeColor="accent3" w:themeShade="BF"/>
          <w:sz w:val="16"/>
          <w:szCs w:val="16"/>
          <w:lang w:eastAsia="it-IT"/>
        </w:rPr>
      </w:pPr>
    </w:p>
    <w:p w:rsidR="00B37F3E" w:rsidRPr="00B37F3E" w:rsidRDefault="00B37F3E" w:rsidP="00B661AC">
      <w:pPr>
        <w:spacing w:after="40"/>
        <w:jc w:val="center"/>
        <w:rPr>
          <w:rFonts w:eastAsia="Times New Roman" w:cs="Times New Roman"/>
          <w:b/>
          <w:color w:val="76923C" w:themeColor="accent3" w:themeShade="BF"/>
          <w:sz w:val="16"/>
          <w:szCs w:val="16"/>
          <w:lang w:eastAsia="it-IT"/>
        </w:rPr>
      </w:pPr>
    </w:p>
    <w:p w:rsidR="00B661AC" w:rsidRPr="00D610DD" w:rsidRDefault="00B661AC" w:rsidP="00B661AC">
      <w:pPr>
        <w:spacing w:after="40"/>
        <w:jc w:val="center"/>
        <w:rPr>
          <w:rFonts w:eastAsia="Times New Roman" w:cs="Times New Roman"/>
          <w:b/>
          <w:color w:val="76923C" w:themeColor="accent3" w:themeShade="BF"/>
          <w:sz w:val="28"/>
          <w:szCs w:val="28"/>
          <w:lang w:eastAsia="it-IT"/>
        </w:rPr>
      </w:pPr>
      <w:r w:rsidRPr="00D610DD">
        <w:rPr>
          <w:rFonts w:eastAsia="Times New Roman" w:cs="Times New Roman"/>
          <w:b/>
          <w:color w:val="76923C" w:themeColor="accent3" w:themeShade="BF"/>
          <w:sz w:val="28"/>
          <w:szCs w:val="28"/>
          <w:lang w:eastAsia="it-IT"/>
        </w:rPr>
        <w:br w:type="page"/>
      </w:r>
    </w:p>
    <w:p w:rsidR="003D3C09" w:rsidRDefault="003D3C09" w:rsidP="00660344">
      <w:pPr>
        <w:pStyle w:val="Heading1"/>
        <w:rPr>
          <w:lang w:val="en-US"/>
        </w:rPr>
      </w:pPr>
      <w:bookmarkStart w:id="0" w:name="_Toc366244919"/>
      <w:r>
        <w:rPr>
          <w:lang w:val="en-US"/>
        </w:rPr>
        <w:lastRenderedPageBreak/>
        <w:t>Introduction</w:t>
      </w:r>
      <w:bookmarkEnd w:id="0"/>
    </w:p>
    <w:p w:rsidR="00FA2FC8" w:rsidRDefault="003D3C09" w:rsidP="003D3C09">
      <w:pPr>
        <w:rPr>
          <w:lang w:val="en-US"/>
        </w:rPr>
      </w:pPr>
      <w:r>
        <w:rPr>
          <w:lang w:val="en-US"/>
        </w:rPr>
        <w:t xml:space="preserve">The </w:t>
      </w:r>
      <w:r w:rsidR="00430A57">
        <w:rPr>
          <w:lang w:val="en-US"/>
        </w:rPr>
        <w:t xml:space="preserve">main </w:t>
      </w:r>
      <w:r>
        <w:rPr>
          <w:lang w:val="en-US"/>
        </w:rPr>
        <w:t xml:space="preserve">aim of this </w:t>
      </w:r>
      <w:r w:rsidR="00291792">
        <w:rPr>
          <w:lang w:val="en-US"/>
        </w:rPr>
        <w:t>deliverable</w:t>
      </w:r>
      <w:r>
        <w:rPr>
          <w:lang w:val="en-US"/>
        </w:rPr>
        <w:t xml:space="preserve"> is to study the </w:t>
      </w:r>
      <w:r w:rsidR="00430A57">
        <w:rPr>
          <w:lang w:val="en-US"/>
        </w:rPr>
        <w:t>impact of changes towards sustainable transport strategies on the urban level</w:t>
      </w:r>
      <w:r w:rsidR="00110254">
        <w:rPr>
          <w:lang w:val="en-US"/>
        </w:rPr>
        <w:t xml:space="preserve"> and link these changes </w:t>
      </w:r>
      <w:r w:rsidR="00C5756C">
        <w:rPr>
          <w:lang w:val="en-US"/>
        </w:rPr>
        <w:t>with</w:t>
      </w:r>
      <w:r w:rsidR="00110254">
        <w:rPr>
          <w:lang w:val="en-US"/>
        </w:rPr>
        <w:t xml:space="preserve"> the </w:t>
      </w:r>
      <w:proofErr w:type="spellStart"/>
      <w:r w:rsidR="00110254">
        <w:rPr>
          <w:lang w:val="en-US"/>
        </w:rPr>
        <w:t>labour</w:t>
      </w:r>
      <w:proofErr w:type="spellEnd"/>
      <w:r w:rsidR="00110254">
        <w:rPr>
          <w:lang w:val="en-US"/>
        </w:rPr>
        <w:t xml:space="preserve"> market</w:t>
      </w:r>
      <w:r w:rsidR="00430A57">
        <w:rPr>
          <w:lang w:val="en-US"/>
        </w:rPr>
        <w:t xml:space="preserve">. </w:t>
      </w:r>
      <w:r w:rsidR="007E13C2">
        <w:rPr>
          <w:lang w:val="en-US"/>
        </w:rPr>
        <w:t xml:space="preserve">We refer extensively to the urban economics literature and give examples of urban transport policy across Europe. The contribution of this paper lies in its combination of theory, policy study, case studies and modeling to gain insight in one specific question: “How does urban transport policy translate in livability </w:t>
      </w:r>
      <w:r w:rsidR="00FA2FC8">
        <w:rPr>
          <w:lang w:val="en-US"/>
        </w:rPr>
        <w:t xml:space="preserve">and employment?” </w:t>
      </w:r>
      <w:r w:rsidR="00FA2FC8">
        <w:rPr>
          <w:lang w:val="en-US"/>
        </w:rPr>
        <w:br/>
        <w:t>In the aspect of job creation, we follow an approach that resembles the one used in D14.2 (</w:t>
      </w:r>
      <w:r w:rsidR="00740953">
        <w:rPr>
          <w:lang w:val="en-US"/>
        </w:rPr>
        <w:t xml:space="preserve">Meijer et al, 2012), by </w:t>
      </w:r>
      <w:r w:rsidR="000C6E2E">
        <w:rPr>
          <w:lang w:val="en-US"/>
        </w:rPr>
        <w:t>using</w:t>
      </w:r>
      <w:r w:rsidR="00740953">
        <w:rPr>
          <w:lang w:val="en-US"/>
        </w:rPr>
        <w:t xml:space="preserve"> job multipliers</w:t>
      </w:r>
      <w:r w:rsidR="000C6E2E">
        <w:rPr>
          <w:rStyle w:val="FootnoteReference"/>
          <w:lang w:val="en-US"/>
        </w:rPr>
        <w:footnoteReference w:id="1"/>
      </w:r>
      <w:r w:rsidR="00740953">
        <w:rPr>
          <w:lang w:val="en-US"/>
        </w:rPr>
        <w:t xml:space="preserve"> </w:t>
      </w:r>
      <w:r w:rsidR="000C6E2E">
        <w:rPr>
          <w:lang w:val="en-US"/>
        </w:rPr>
        <w:t>to compare the impact of</w:t>
      </w:r>
      <w:r w:rsidR="00740953">
        <w:rPr>
          <w:lang w:val="en-US"/>
        </w:rPr>
        <w:t xml:space="preserve"> different transport strategies</w:t>
      </w:r>
      <w:r w:rsidR="000C6E2E">
        <w:rPr>
          <w:lang w:val="en-US"/>
        </w:rPr>
        <w:t xml:space="preserve"> on employment</w:t>
      </w:r>
      <w:r w:rsidR="00740953">
        <w:rPr>
          <w:lang w:val="en-US"/>
        </w:rPr>
        <w:t>.</w:t>
      </w:r>
    </w:p>
    <w:p w:rsidR="00110254" w:rsidRDefault="00110254" w:rsidP="003D3C09">
      <w:pPr>
        <w:rPr>
          <w:lang w:val="en-US"/>
        </w:rPr>
      </w:pPr>
      <w:r>
        <w:rPr>
          <w:lang w:val="en-US"/>
        </w:rPr>
        <w:t>Our basis is still in the same type of scenarios as those used on the macro-economic level in the previous paper (D15.2 -Heyndrickx et al, 2013), but with a radically different focus. We focus on urban policies</w:t>
      </w:r>
      <w:r w:rsidR="00FA5A09">
        <w:rPr>
          <w:lang w:val="en-US"/>
        </w:rPr>
        <w:t xml:space="preserve"> </w:t>
      </w:r>
      <w:r>
        <w:rPr>
          <w:lang w:val="en-US"/>
        </w:rPr>
        <w:t xml:space="preserve">that promote the sustainability of the transport system. We define a policy towards ‘sustainability’, as a policy that leads to a reduction in the environmental and/or social damage of transport, to a level that better reflects the economic and social benefits of transport. </w:t>
      </w:r>
    </w:p>
    <w:p w:rsidR="007079ED" w:rsidRDefault="00FA5A09" w:rsidP="003D3C09">
      <w:pPr>
        <w:rPr>
          <w:lang w:val="en-US"/>
        </w:rPr>
      </w:pPr>
      <w:r>
        <w:rPr>
          <w:lang w:val="en-US"/>
        </w:rPr>
        <w:t>This change in focus towards the</w:t>
      </w:r>
      <w:r w:rsidR="002B2EC5">
        <w:rPr>
          <w:lang w:val="en-US"/>
        </w:rPr>
        <w:t xml:space="preserve"> urban transport system </w:t>
      </w:r>
      <w:r>
        <w:rPr>
          <w:lang w:val="en-US"/>
        </w:rPr>
        <w:t>has a number of reasons:</w:t>
      </w:r>
    </w:p>
    <w:p w:rsidR="007079ED" w:rsidRDefault="00CF5903" w:rsidP="003D3C09">
      <w:pPr>
        <w:rPr>
          <w:lang w:val="en-US"/>
        </w:rPr>
      </w:pPr>
      <w:r>
        <w:rPr>
          <w:lang w:val="en-US"/>
        </w:rPr>
        <w:t>The</w:t>
      </w:r>
      <w:r w:rsidR="002B2EC5">
        <w:rPr>
          <w:lang w:val="en-US"/>
        </w:rPr>
        <w:t xml:space="preserve"> first is that the</w:t>
      </w:r>
      <w:r>
        <w:rPr>
          <w:lang w:val="en-US"/>
        </w:rPr>
        <w:t xml:space="preserve"> size and growth of the urban areas </w:t>
      </w:r>
      <w:r w:rsidR="00FA5A09">
        <w:rPr>
          <w:lang w:val="en-US"/>
        </w:rPr>
        <w:t>is</w:t>
      </w:r>
      <w:r>
        <w:rPr>
          <w:lang w:val="en-US"/>
        </w:rPr>
        <w:t xml:space="preserve"> an important aspect of the socio-ecological transition </w:t>
      </w:r>
      <w:r w:rsidR="002B2EC5">
        <w:rPr>
          <w:lang w:val="en-US"/>
        </w:rPr>
        <w:t>(</w:t>
      </w:r>
      <w:r>
        <w:rPr>
          <w:lang w:val="en-US"/>
        </w:rPr>
        <w:t>D1.1</w:t>
      </w:r>
      <w:r w:rsidR="002B2EC5">
        <w:rPr>
          <w:lang w:val="en-US"/>
        </w:rPr>
        <w:t>-</w:t>
      </w:r>
      <w:r>
        <w:rPr>
          <w:lang w:val="en-US"/>
        </w:rPr>
        <w:t xml:space="preserve"> </w:t>
      </w:r>
      <w:r w:rsidR="002B2EC5">
        <w:rPr>
          <w:lang w:val="en-US"/>
        </w:rPr>
        <w:t>Haas W.</w:t>
      </w:r>
      <w:r>
        <w:rPr>
          <w:lang w:val="en-US"/>
        </w:rPr>
        <w:t xml:space="preserve"> et al, 2012) and </w:t>
      </w:r>
      <w:r w:rsidR="00FA5A09">
        <w:rPr>
          <w:lang w:val="en-US"/>
        </w:rPr>
        <w:t>is a</w:t>
      </w:r>
      <w:r>
        <w:rPr>
          <w:lang w:val="en-US"/>
        </w:rPr>
        <w:t xml:space="preserve"> main driver for changes in the transport system. </w:t>
      </w:r>
      <w:r w:rsidR="007079ED">
        <w:rPr>
          <w:lang w:val="en-US"/>
        </w:rPr>
        <w:t>By 2050, urban regions will have absorbed 3 billion new dwellers (UN, 2011). The growth of the urban region is strongest in the developing countries, but is nowhere near to stopping in the most developed countries.</w:t>
      </w:r>
      <w:r w:rsidR="00EB473F">
        <w:rPr>
          <w:lang w:val="en-US"/>
        </w:rPr>
        <w:t xml:space="preserve"> In 2050, more than 85% of the European population will live in urban (or urbanized) regions. </w:t>
      </w:r>
    </w:p>
    <w:p w:rsidR="00EB473F" w:rsidRDefault="002B2EC5" w:rsidP="00EB473F">
      <w:pPr>
        <w:autoSpaceDE w:val="0"/>
        <w:autoSpaceDN w:val="0"/>
        <w:adjustRightInd w:val="0"/>
        <w:spacing w:after="0"/>
        <w:rPr>
          <w:lang w:val="en-US"/>
        </w:rPr>
      </w:pPr>
      <w:r w:rsidRPr="00EB473F">
        <w:rPr>
          <w:lang w:val="en-US"/>
        </w:rPr>
        <w:t xml:space="preserve">Secondly, the form and in particular the density of the urban region play a decisive role in transport energy requirements </w:t>
      </w:r>
      <w:r w:rsidR="007079ED" w:rsidRPr="00EB473F">
        <w:rPr>
          <w:lang w:val="en-US"/>
        </w:rPr>
        <w:t>(Marshall, 2008).</w:t>
      </w:r>
      <w:r w:rsidR="00EB473F" w:rsidRPr="00EB473F">
        <w:rPr>
          <w:lang w:val="en-US"/>
        </w:rPr>
        <w:t xml:space="preserve"> In fact, Marshall estimates that avoiding a further reduction of urban density in the US, in combination with a 1% annual improvement in energy efficiency could reduce urban automobile emissions with as much as 18 </w:t>
      </w:r>
      <w:proofErr w:type="spellStart"/>
      <w:r w:rsidR="00EB473F" w:rsidRPr="00EB473F">
        <w:rPr>
          <w:lang w:val="en-US"/>
        </w:rPr>
        <w:t>Gigatonnes</w:t>
      </w:r>
      <w:proofErr w:type="spellEnd"/>
      <w:r w:rsidR="00EB473F" w:rsidRPr="00EB473F">
        <w:rPr>
          <w:lang w:val="en-US"/>
        </w:rPr>
        <w:t xml:space="preserve"> until 2054. </w:t>
      </w:r>
      <w:proofErr w:type="spellStart"/>
      <w:r w:rsidRPr="00EB473F">
        <w:rPr>
          <w:lang w:val="en-US"/>
        </w:rPr>
        <w:t>Weisz</w:t>
      </w:r>
      <w:proofErr w:type="spellEnd"/>
      <w:r w:rsidRPr="00EB473F">
        <w:rPr>
          <w:lang w:val="en-US"/>
        </w:rPr>
        <w:t xml:space="preserve"> and Steinberger (2010) </w:t>
      </w:r>
      <w:r w:rsidR="00EB473F" w:rsidRPr="00EB473F">
        <w:rPr>
          <w:lang w:val="en-US"/>
        </w:rPr>
        <w:t xml:space="preserve">support this view and claim that the main way to reduce material and energy flows in the city is by reducing car dependence in the cities </w:t>
      </w:r>
      <w:r w:rsidR="00EB473F">
        <w:rPr>
          <w:lang w:val="en-US"/>
        </w:rPr>
        <w:t xml:space="preserve">and reducing the material and energy requirements for buildings. </w:t>
      </w:r>
      <w:r w:rsidR="00C5756C">
        <w:rPr>
          <w:lang w:val="en-US"/>
        </w:rPr>
        <w:t xml:space="preserve">Van de </w:t>
      </w:r>
      <w:proofErr w:type="spellStart"/>
      <w:r w:rsidR="00C5756C">
        <w:rPr>
          <w:lang w:val="en-US"/>
        </w:rPr>
        <w:t>Weghe</w:t>
      </w:r>
      <w:proofErr w:type="spellEnd"/>
      <w:r w:rsidR="00C5756C">
        <w:rPr>
          <w:lang w:val="en-US"/>
        </w:rPr>
        <w:t xml:space="preserve"> et al (2007</w:t>
      </w:r>
      <w:proofErr w:type="gramStart"/>
      <w:r w:rsidR="00C5756C">
        <w:rPr>
          <w:lang w:val="en-US"/>
        </w:rPr>
        <w:t>),</w:t>
      </w:r>
      <w:proofErr w:type="gramEnd"/>
      <w:r w:rsidR="00C5756C">
        <w:rPr>
          <w:lang w:val="en-US"/>
        </w:rPr>
        <w:t xml:space="preserve"> based on a transport census in Toronto, shows that suburban dwellers are much more dependent on automobiles. </w:t>
      </w:r>
      <w:proofErr w:type="spellStart"/>
      <w:r w:rsidR="00381E89">
        <w:rPr>
          <w:lang w:val="en-US"/>
        </w:rPr>
        <w:t>Piorr</w:t>
      </w:r>
      <w:proofErr w:type="spellEnd"/>
      <w:r w:rsidR="00381E89">
        <w:rPr>
          <w:lang w:val="en-US"/>
        </w:rPr>
        <w:t xml:space="preserve"> et al (2011) claim that urban sprawl in Europe is detrimental to sus</w:t>
      </w:r>
      <w:r w:rsidR="0018327B">
        <w:rPr>
          <w:lang w:val="en-US"/>
        </w:rPr>
        <w:t xml:space="preserve">tainable development and deserves more attention within the European Union. </w:t>
      </w:r>
      <w:proofErr w:type="spellStart"/>
      <w:r w:rsidR="00150BF9">
        <w:rPr>
          <w:lang w:val="en-US"/>
        </w:rPr>
        <w:t>Grazi</w:t>
      </w:r>
      <w:proofErr w:type="spellEnd"/>
      <w:r w:rsidR="00150BF9">
        <w:rPr>
          <w:lang w:val="en-US"/>
        </w:rPr>
        <w:t xml:space="preserve"> et al (2008) show that transport-related carbon dioxide emissions are 47% in the highest population density class, compared to the lowest. </w:t>
      </w:r>
    </w:p>
    <w:p w:rsidR="00A2047D" w:rsidRDefault="00A2047D" w:rsidP="00EB473F">
      <w:pPr>
        <w:autoSpaceDE w:val="0"/>
        <w:autoSpaceDN w:val="0"/>
        <w:adjustRightInd w:val="0"/>
        <w:spacing w:after="0"/>
        <w:rPr>
          <w:lang w:val="en-US"/>
        </w:rPr>
      </w:pPr>
    </w:p>
    <w:p w:rsidR="00C5756C" w:rsidRDefault="0012204D" w:rsidP="007E13C2">
      <w:pPr>
        <w:autoSpaceDE w:val="0"/>
        <w:autoSpaceDN w:val="0"/>
        <w:adjustRightInd w:val="0"/>
        <w:spacing w:after="0"/>
        <w:rPr>
          <w:rFonts w:cs="Book Antiqua"/>
        </w:rPr>
      </w:pPr>
      <w:r>
        <w:rPr>
          <w:lang w:val="en-US"/>
        </w:rPr>
        <w:t>Finally</w:t>
      </w:r>
      <w:r w:rsidR="00381E89">
        <w:rPr>
          <w:lang w:val="en-US"/>
        </w:rPr>
        <w:t xml:space="preserve">, a number of interesting and innovative policies </w:t>
      </w:r>
      <w:proofErr w:type="gramStart"/>
      <w:r w:rsidR="00381E89">
        <w:rPr>
          <w:lang w:val="en-US"/>
        </w:rPr>
        <w:t>are being implemented</w:t>
      </w:r>
      <w:proofErr w:type="gramEnd"/>
      <w:r w:rsidR="00381E89">
        <w:rPr>
          <w:lang w:val="en-US"/>
        </w:rPr>
        <w:t xml:space="preserve"> on city level today, which may be a driver towards a generally more sustainable transport system in Europe. The urban system is a smaller, more compact version of the national </w:t>
      </w:r>
      <w:r w:rsidR="00381E89">
        <w:rPr>
          <w:lang w:val="en-US"/>
        </w:rPr>
        <w:lastRenderedPageBreak/>
        <w:t>economy, characterized by an important interaction between land use, job location and employment. The urban system p</w:t>
      </w:r>
      <w:r w:rsidR="0018327B">
        <w:rPr>
          <w:lang w:val="en-US"/>
        </w:rPr>
        <w:t xml:space="preserve">rovides an excellent </w:t>
      </w:r>
      <w:proofErr w:type="gramStart"/>
      <w:r w:rsidR="0018327B">
        <w:rPr>
          <w:lang w:val="en-US"/>
        </w:rPr>
        <w:t>case-study</w:t>
      </w:r>
      <w:proofErr w:type="gramEnd"/>
      <w:r w:rsidR="0018327B">
        <w:rPr>
          <w:lang w:val="en-US"/>
        </w:rPr>
        <w:t xml:space="preserve"> for sustainable strategies and green job creation. </w:t>
      </w:r>
      <w:r w:rsidR="00381E89" w:rsidRPr="00381E89">
        <w:rPr>
          <w:rFonts w:cs="Book Antiqua"/>
        </w:rPr>
        <w:t>Adaptive and better urban</w:t>
      </w:r>
      <w:r w:rsidR="00381E89">
        <w:rPr>
          <w:rFonts w:cs="Book Antiqua"/>
        </w:rPr>
        <w:t xml:space="preserve"> (transport)</w:t>
      </w:r>
      <w:r w:rsidR="00381E89" w:rsidRPr="00381E89">
        <w:rPr>
          <w:rFonts w:cs="Book Antiqua"/>
        </w:rPr>
        <w:t xml:space="preserve"> planning and the request of innovative solutions could be a motor for green jobs. (</w:t>
      </w:r>
      <w:proofErr w:type="spellStart"/>
      <w:r w:rsidR="00381E89" w:rsidRPr="00381E89">
        <w:rPr>
          <w:rFonts w:cs="Book Antiqua"/>
        </w:rPr>
        <w:t>UNE</w:t>
      </w:r>
      <w:r w:rsidR="007E13C2">
        <w:rPr>
          <w:rFonts w:cs="Book Antiqua"/>
        </w:rPr>
        <w:t>Pb</w:t>
      </w:r>
      <w:proofErr w:type="spellEnd"/>
      <w:r w:rsidR="007E13C2">
        <w:rPr>
          <w:rFonts w:cs="Book Antiqua"/>
        </w:rPr>
        <w:t>, 2011, see especially p.183)</w:t>
      </w:r>
    </w:p>
    <w:p w:rsidR="000C6E2E" w:rsidRPr="007E13C2" w:rsidRDefault="000C6E2E" w:rsidP="007E13C2">
      <w:pPr>
        <w:autoSpaceDE w:val="0"/>
        <w:autoSpaceDN w:val="0"/>
        <w:adjustRightInd w:val="0"/>
        <w:spacing w:after="0"/>
        <w:rPr>
          <w:rFonts w:cs="Book Antiqua"/>
        </w:rPr>
      </w:pPr>
    </w:p>
    <w:p w:rsidR="00C5756C" w:rsidRDefault="00C5756C" w:rsidP="00CF5903">
      <w:pPr>
        <w:rPr>
          <w:lang w:val="en-US"/>
        </w:rPr>
      </w:pPr>
      <w:r>
        <w:rPr>
          <w:lang w:val="en-US"/>
        </w:rPr>
        <w:t>The structure of this paper will be as follows:</w:t>
      </w:r>
    </w:p>
    <w:p w:rsidR="00C5756C" w:rsidRDefault="00110254" w:rsidP="00622C19">
      <w:pPr>
        <w:rPr>
          <w:lang w:val="en-US"/>
        </w:rPr>
      </w:pPr>
      <w:r>
        <w:rPr>
          <w:lang w:val="en-US"/>
        </w:rPr>
        <w:t>We start this paper</w:t>
      </w:r>
      <w:r w:rsidR="00622C19">
        <w:rPr>
          <w:lang w:val="en-US"/>
        </w:rPr>
        <w:t xml:space="preserve"> with some empirical facts on urbanization across Europe. To analyze the current trends in urban development and put it into perspective with the socio-ecolog</w:t>
      </w:r>
      <w:r w:rsidR="002848E9">
        <w:rPr>
          <w:lang w:val="en-US"/>
        </w:rPr>
        <w:t>ical transition, we give an</w:t>
      </w:r>
      <w:r w:rsidR="00622C19">
        <w:rPr>
          <w:lang w:val="en-US"/>
        </w:rPr>
        <w:t xml:space="preserve"> overview</w:t>
      </w:r>
      <w:r w:rsidR="002848E9">
        <w:rPr>
          <w:lang w:val="en-US"/>
        </w:rPr>
        <w:t xml:space="preserve"> of</w:t>
      </w:r>
      <w:r w:rsidR="00622C19">
        <w:rPr>
          <w:lang w:val="en-US"/>
        </w:rPr>
        <w:t xml:space="preserve"> the basic principles of urban economics. This theory will serve us to discuss some of the mayor trends in urban economics and to discuss the impact of urban policies more in detail.</w:t>
      </w:r>
    </w:p>
    <w:p w:rsidR="007E13C2" w:rsidRDefault="007E13C2" w:rsidP="00622C19">
      <w:pPr>
        <w:rPr>
          <w:lang w:val="en-US"/>
        </w:rPr>
      </w:pPr>
      <w:r>
        <w:rPr>
          <w:lang w:val="en-US"/>
        </w:rPr>
        <w:t xml:space="preserve">In a next step, we connect the macro-scenarios from D15.2 with the present policies on the urban scale. We look into specific policies aimed at more sustainable urban planning that </w:t>
      </w:r>
      <w:proofErr w:type="gramStart"/>
      <w:r>
        <w:rPr>
          <w:lang w:val="en-US"/>
        </w:rPr>
        <w:t>are currently being implemented</w:t>
      </w:r>
      <w:proofErr w:type="gramEnd"/>
      <w:r>
        <w:rPr>
          <w:lang w:val="en-US"/>
        </w:rPr>
        <w:t xml:space="preserve"> in various cities in the EU and show that they can be arranged in the same lines as our macro-scenarios. We give examples of policy made on the EU, national and city level. Urban planning is a very broad domain, covering among others transport, energy, and waste management. In this </w:t>
      </w:r>
      <w:proofErr w:type="gramStart"/>
      <w:r>
        <w:rPr>
          <w:lang w:val="en-US"/>
        </w:rPr>
        <w:t>report</w:t>
      </w:r>
      <w:proofErr w:type="gramEnd"/>
      <w:r>
        <w:rPr>
          <w:lang w:val="en-US"/>
        </w:rPr>
        <w:t xml:space="preserve"> we will focus on policies related to urban transport. We will discuss these policies and check them against urban-economic principles.</w:t>
      </w:r>
    </w:p>
    <w:p w:rsidR="00580497" w:rsidRDefault="00C5756C" w:rsidP="003D3C09">
      <w:pPr>
        <w:rPr>
          <w:lang w:val="en-US"/>
        </w:rPr>
      </w:pPr>
      <w:r>
        <w:rPr>
          <w:lang w:val="en-US"/>
        </w:rPr>
        <w:t>Then this paper</w:t>
      </w:r>
      <w:r w:rsidR="0012204D">
        <w:rPr>
          <w:lang w:val="en-US"/>
        </w:rPr>
        <w:t xml:space="preserve"> will focus</w:t>
      </w:r>
      <w:r w:rsidR="00580497">
        <w:rPr>
          <w:lang w:val="en-US"/>
        </w:rPr>
        <w:t xml:space="preserve"> on marginal</w:t>
      </w:r>
      <w:r w:rsidR="007D4D57">
        <w:rPr>
          <w:lang w:val="en-US"/>
        </w:rPr>
        <w:t xml:space="preserve"> changes towards sustainability. In </w:t>
      </w:r>
      <w:proofErr w:type="gramStart"/>
      <w:r w:rsidR="007D4D57">
        <w:rPr>
          <w:lang w:val="en-US"/>
        </w:rPr>
        <w:t>D15.2</w:t>
      </w:r>
      <w:proofErr w:type="gramEnd"/>
      <w:r w:rsidR="007D4D57">
        <w:rPr>
          <w:lang w:val="en-US"/>
        </w:rPr>
        <w:t xml:space="preserve"> we developed complex scenarios of the future situation and modeled the impact of radical changes in</w:t>
      </w:r>
      <w:r>
        <w:rPr>
          <w:lang w:val="en-US"/>
        </w:rPr>
        <w:t xml:space="preserve"> the transport system. Here </w:t>
      </w:r>
      <w:r w:rsidR="007D4D57">
        <w:rPr>
          <w:lang w:val="en-US"/>
        </w:rPr>
        <w:t xml:space="preserve">we develop multipliers </w:t>
      </w:r>
      <w:proofErr w:type="gramStart"/>
      <w:r w:rsidR="007D4D57">
        <w:rPr>
          <w:lang w:val="en-US"/>
        </w:rPr>
        <w:t>on the basis of</w:t>
      </w:r>
      <w:proofErr w:type="gramEnd"/>
      <w:r w:rsidR="007D4D57">
        <w:rPr>
          <w:lang w:val="en-US"/>
        </w:rPr>
        <w:t xml:space="preserve"> scaled-down scenarios, that can be applied on a much smaller scale and which are relevant for the present economic situation. In fact, while D15.2 would provide the result of promoting a certain policy (or set of policies) over a longer term, </w:t>
      </w:r>
      <w:r>
        <w:rPr>
          <w:lang w:val="en-US"/>
        </w:rPr>
        <w:t>this paper</w:t>
      </w:r>
      <w:r w:rsidR="007D4D57">
        <w:rPr>
          <w:lang w:val="en-US"/>
        </w:rPr>
        <w:t xml:space="preserve"> shows what the marginal impact can be of policy when implemented now. </w:t>
      </w:r>
      <w:r w:rsidR="00043A09">
        <w:rPr>
          <w:lang w:val="en-US"/>
        </w:rPr>
        <w:t>Multipliers, as those calculated in this deliverable are an excellent tool to use on this more limited setting.</w:t>
      </w:r>
    </w:p>
    <w:p w:rsidR="003D3C09" w:rsidRDefault="003D3C09" w:rsidP="003D3C09">
      <w:pPr>
        <w:rPr>
          <w:lang w:val="en-US"/>
        </w:rPr>
      </w:pPr>
      <w:r>
        <w:rPr>
          <w:lang w:val="en-US"/>
        </w:rPr>
        <w:t>Based on the ca</w:t>
      </w:r>
      <w:r w:rsidR="00834B98">
        <w:rPr>
          <w:lang w:val="en-US"/>
        </w:rPr>
        <w:t xml:space="preserve">se studies and other studies, we present an overview that </w:t>
      </w:r>
      <w:r>
        <w:rPr>
          <w:lang w:val="en-US"/>
        </w:rPr>
        <w:t xml:space="preserve">summarizes the main elements of a </w:t>
      </w:r>
      <w:r w:rsidR="00745769">
        <w:rPr>
          <w:lang w:val="en-US"/>
        </w:rPr>
        <w:t xml:space="preserve">successful urban transport plan and gives an indication of possible effects on the side of the </w:t>
      </w:r>
      <w:proofErr w:type="spellStart"/>
      <w:r w:rsidR="00745769">
        <w:rPr>
          <w:lang w:val="en-US"/>
        </w:rPr>
        <w:t>labour</w:t>
      </w:r>
      <w:proofErr w:type="spellEnd"/>
      <w:r w:rsidR="00745769">
        <w:rPr>
          <w:lang w:val="en-US"/>
        </w:rPr>
        <w:t xml:space="preserve"> market. </w:t>
      </w:r>
    </w:p>
    <w:p w:rsidR="000C6E2E" w:rsidRDefault="000C6E2E">
      <w:pPr>
        <w:spacing w:before="70"/>
        <w:ind w:left="850" w:right="965"/>
        <w:rPr>
          <w:lang w:val="en-US"/>
        </w:rPr>
      </w:pPr>
      <w:r>
        <w:rPr>
          <w:lang w:val="en-US"/>
        </w:rPr>
        <w:br w:type="page"/>
      </w:r>
    </w:p>
    <w:p w:rsidR="00B2651D" w:rsidRDefault="00B2651D" w:rsidP="00660344">
      <w:pPr>
        <w:pStyle w:val="Heading1"/>
        <w:rPr>
          <w:lang w:val="en-US"/>
        </w:rPr>
      </w:pPr>
      <w:bookmarkStart w:id="1" w:name="_Toc366244920"/>
      <w:r>
        <w:rPr>
          <w:lang w:val="en-US"/>
        </w:rPr>
        <w:lastRenderedPageBreak/>
        <w:t xml:space="preserve">Urbanization: </w:t>
      </w:r>
      <w:r w:rsidR="00427A09">
        <w:rPr>
          <w:lang w:val="en-US"/>
        </w:rPr>
        <w:t>theory and</w:t>
      </w:r>
      <w:r w:rsidR="0070074D">
        <w:rPr>
          <w:lang w:val="en-US"/>
        </w:rPr>
        <w:t xml:space="preserve"> </w:t>
      </w:r>
      <w:r>
        <w:rPr>
          <w:lang w:val="en-US"/>
        </w:rPr>
        <w:t>empirical findings</w:t>
      </w:r>
      <w:bookmarkEnd w:id="1"/>
      <w:r>
        <w:rPr>
          <w:lang w:val="en-US"/>
        </w:rPr>
        <w:t xml:space="preserve"> </w:t>
      </w:r>
    </w:p>
    <w:p w:rsidR="0070074D" w:rsidRDefault="00D96929" w:rsidP="00660344">
      <w:pPr>
        <w:pStyle w:val="Heading2"/>
        <w:rPr>
          <w:lang w:val="en-US"/>
        </w:rPr>
      </w:pPr>
      <w:bookmarkStart w:id="2" w:name="_Toc366244921"/>
      <w:r>
        <w:rPr>
          <w:lang w:val="en-US"/>
        </w:rPr>
        <w:t>The r</w:t>
      </w:r>
      <w:r w:rsidR="0070074D">
        <w:rPr>
          <w:lang w:val="en-US"/>
        </w:rPr>
        <w:t>ole of cities</w:t>
      </w:r>
      <w:bookmarkEnd w:id="2"/>
      <w:r w:rsidR="0070074D">
        <w:rPr>
          <w:lang w:val="en-US"/>
        </w:rPr>
        <w:t xml:space="preserve"> </w:t>
      </w:r>
    </w:p>
    <w:p w:rsidR="0070074D" w:rsidRDefault="0070074D" w:rsidP="0070074D">
      <w:pPr>
        <w:rPr>
          <w:lang w:val="en-US"/>
        </w:rPr>
      </w:pPr>
      <w:r>
        <w:rPr>
          <w:lang w:val="en-US"/>
        </w:rPr>
        <w:t xml:space="preserve">Economic explanations for the existence of cities focus on jobs and the location of employment. There are certain economic forces that cause concentration of employment in certain places. People will settle near these work places, leading to a concentration of residences. A city is the outcome of this process. According to </w:t>
      </w:r>
      <w:proofErr w:type="spellStart"/>
      <w:r>
        <w:rPr>
          <w:lang w:val="en-US"/>
        </w:rPr>
        <w:t>Brueckner</w:t>
      </w:r>
      <w:proofErr w:type="spellEnd"/>
      <w:r>
        <w:rPr>
          <w:lang w:val="en-US"/>
        </w:rPr>
        <w:t xml:space="preserve"> (</w:t>
      </w:r>
      <w:proofErr w:type="gramStart"/>
      <w:r>
        <w:rPr>
          <w:lang w:val="en-US"/>
        </w:rPr>
        <w:t>2011)</w:t>
      </w:r>
      <w:proofErr w:type="gramEnd"/>
      <w:r>
        <w:rPr>
          <w:lang w:val="en-US"/>
        </w:rPr>
        <w:t xml:space="preserve"> there are two important economic forces that govern this process: </w:t>
      </w:r>
      <w:r w:rsidRPr="00B5112A">
        <w:rPr>
          <w:lang w:val="en-US"/>
        </w:rPr>
        <w:t>scale economies and agglomeration economies.</w:t>
      </w:r>
    </w:p>
    <w:p w:rsidR="0070074D" w:rsidRDefault="0070074D" w:rsidP="0070074D">
      <w:pPr>
        <w:rPr>
          <w:lang w:val="en-US"/>
        </w:rPr>
      </w:pPr>
      <w:r>
        <w:rPr>
          <w:lang w:val="en-US"/>
        </w:rPr>
        <w:t xml:space="preserve">Economies of scale happen when businesses become more efficient at larger scales of operation. The cost per unit of output decreases with increasing scales, as fixed costs </w:t>
      </w:r>
      <w:proofErr w:type="gramStart"/>
      <w:r>
        <w:rPr>
          <w:lang w:val="en-US"/>
        </w:rPr>
        <w:t>are spread</w:t>
      </w:r>
      <w:proofErr w:type="gramEnd"/>
      <w:r>
        <w:rPr>
          <w:lang w:val="en-US"/>
        </w:rPr>
        <w:t xml:space="preserve"> over more units of output. A greater operational efficiency can also lead to lower variable costs. These economies operate within a </w:t>
      </w:r>
      <w:proofErr w:type="gramStart"/>
      <w:r>
        <w:rPr>
          <w:lang w:val="en-US"/>
        </w:rPr>
        <w:t>firm ,</w:t>
      </w:r>
      <w:proofErr w:type="gramEnd"/>
      <w:r>
        <w:rPr>
          <w:lang w:val="en-US"/>
        </w:rPr>
        <w:t xml:space="preserve"> and </w:t>
      </w:r>
      <w:proofErr w:type="spellStart"/>
      <w:r>
        <w:rPr>
          <w:lang w:val="en-US"/>
        </w:rPr>
        <w:t>favour</w:t>
      </w:r>
      <w:proofErr w:type="spellEnd"/>
      <w:r>
        <w:rPr>
          <w:lang w:val="en-US"/>
        </w:rPr>
        <w:t xml:space="preserve"> the formation of large firms over small. The ability to exploit economies of scale in general depends on the size of the market, and the availability of input factors.  In the context of urban economics, this comes down to the size of the city, in the sense that both the size of the market and the availability of </w:t>
      </w:r>
      <w:proofErr w:type="spellStart"/>
      <w:r>
        <w:rPr>
          <w:lang w:val="en-US"/>
        </w:rPr>
        <w:t>labour</w:t>
      </w:r>
      <w:proofErr w:type="spellEnd"/>
      <w:r>
        <w:rPr>
          <w:lang w:val="en-US"/>
        </w:rPr>
        <w:t xml:space="preserve"> force depends on population density. Of course, the markets of more distant regions </w:t>
      </w:r>
      <w:proofErr w:type="gramStart"/>
      <w:r>
        <w:rPr>
          <w:lang w:val="en-US"/>
        </w:rPr>
        <w:t>can also be accessed</w:t>
      </w:r>
      <w:proofErr w:type="gramEnd"/>
      <w:r>
        <w:rPr>
          <w:lang w:val="en-US"/>
        </w:rPr>
        <w:t xml:space="preserve">, but this access is limited by transportation costs. Economies of scale explain the formation of company towns (e.g. automobile assembly plant). However, it cannot explain how very large urban agglomerations form. For this to happen </w:t>
      </w:r>
      <w:proofErr w:type="gramStart"/>
      <w:r>
        <w:rPr>
          <w:lang w:val="en-US"/>
        </w:rPr>
        <w:t>agglomeration</w:t>
      </w:r>
      <w:proofErr w:type="gramEnd"/>
      <w:r>
        <w:rPr>
          <w:lang w:val="en-US"/>
        </w:rPr>
        <w:t xml:space="preserve"> economies are necessary.</w:t>
      </w:r>
    </w:p>
    <w:p w:rsidR="0070074D" w:rsidRDefault="0070074D" w:rsidP="0070074D">
      <w:pPr>
        <w:rPr>
          <w:b/>
          <w:lang w:val="en-US"/>
        </w:rPr>
      </w:pPr>
      <w:r>
        <w:rPr>
          <w:lang w:val="en-US"/>
        </w:rPr>
        <w:t xml:space="preserve">Agglomeration economies are the benefits that firms experience when locating in a large city. They are external to a firm. There is a distinction between </w:t>
      </w:r>
      <w:r w:rsidRPr="00B5112A">
        <w:rPr>
          <w:lang w:val="en-US"/>
        </w:rPr>
        <w:t>pecuniary and technological agglomeration economies. Pecuniary agglomeration econ</w:t>
      </w:r>
      <w:r>
        <w:rPr>
          <w:lang w:val="en-US"/>
        </w:rPr>
        <w:t xml:space="preserve">omies reduce the cost </w:t>
      </w:r>
      <w:r w:rsidR="00D96929">
        <w:rPr>
          <w:lang w:val="en-US"/>
        </w:rPr>
        <w:t>of firm’s inputs</w:t>
      </w:r>
      <w:r>
        <w:rPr>
          <w:lang w:val="en-US"/>
        </w:rPr>
        <w:t xml:space="preserve"> without affecting the productivity of the inputs. Technological agglomeration economies on the other hand raise the productivity of the inputs without lowering their costs.</w:t>
      </w:r>
    </w:p>
    <w:p w:rsidR="0070074D" w:rsidRDefault="0070074D" w:rsidP="0070074D">
      <w:pPr>
        <w:rPr>
          <w:lang w:val="en-US"/>
        </w:rPr>
      </w:pPr>
      <w:r>
        <w:rPr>
          <w:lang w:val="en-US"/>
        </w:rPr>
        <w:t xml:space="preserve">Pecuniary agglomeration economies occur for example in the </w:t>
      </w:r>
      <w:proofErr w:type="spellStart"/>
      <w:r>
        <w:rPr>
          <w:lang w:val="en-US"/>
        </w:rPr>
        <w:t>labour</w:t>
      </w:r>
      <w:proofErr w:type="spellEnd"/>
      <w:r>
        <w:rPr>
          <w:lang w:val="en-US"/>
        </w:rPr>
        <w:t xml:space="preserve"> market. The pool of specialized workers a firm is looking for is larger in big cities, and therefore the cost for finding this type of specialized personnel is lower. On its turn, this can attract </w:t>
      </w:r>
      <w:proofErr w:type="gramStart"/>
      <w:r>
        <w:rPr>
          <w:lang w:val="en-US"/>
        </w:rPr>
        <w:t xml:space="preserve">more specialized </w:t>
      </w:r>
      <w:proofErr w:type="spellStart"/>
      <w:r>
        <w:rPr>
          <w:lang w:val="en-US"/>
        </w:rPr>
        <w:t>labour</w:t>
      </w:r>
      <w:proofErr w:type="spellEnd"/>
      <w:r>
        <w:rPr>
          <w:lang w:val="en-US"/>
        </w:rPr>
        <w:t>, strengthening the agglomeration effect</w:t>
      </w:r>
      <w:proofErr w:type="gramEnd"/>
      <w:r>
        <w:rPr>
          <w:lang w:val="en-US"/>
        </w:rPr>
        <w:t xml:space="preserve">. Furthermore, in a big city there might be a large concentration of suppliers of a product or service that </w:t>
      </w:r>
      <w:proofErr w:type="gramStart"/>
      <w:r>
        <w:rPr>
          <w:lang w:val="en-US"/>
        </w:rPr>
        <w:t>is used</w:t>
      </w:r>
      <w:proofErr w:type="gramEnd"/>
      <w:r>
        <w:rPr>
          <w:lang w:val="en-US"/>
        </w:rPr>
        <w:t xml:space="preserve"> by a certain firm. This large concentration will increase competition, and bring down prices, leading to a lower production cost for the firm. Finally, a firm can reduce its transportation costs by moving close to its market, and close to its suppliers. For many types of enterprises, a big city represents a large market, </w:t>
      </w:r>
      <w:proofErr w:type="gramStart"/>
      <w:r>
        <w:rPr>
          <w:lang w:val="en-US"/>
        </w:rPr>
        <w:t>and also</w:t>
      </w:r>
      <w:proofErr w:type="gramEnd"/>
      <w:r>
        <w:rPr>
          <w:lang w:val="en-US"/>
        </w:rPr>
        <w:t xml:space="preserve"> hosts a large amount of suppliers. </w:t>
      </w:r>
    </w:p>
    <w:p w:rsidR="0070074D" w:rsidRDefault="0070074D" w:rsidP="0070074D">
      <w:pPr>
        <w:rPr>
          <w:lang w:val="en-US" w:eastAsia="nl-BE"/>
        </w:rPr>
      </w:pPr>
      <w:r w:rsidRPr="00B5112A">
        <w:rPr>
          <w:lang w:val="en-US"/>
        </w:rPr>
        <w:t xml:space="preserve">In technological agglomeration </w:t>
      </w:r>
      <w:proofErr w:type="gramStart"/>
      <w:r w:rsidRPr="00B5112A">
        <w:rPr>
          <w:lang w:val="en-US"/>
        </w:rPr>
        <w:t>economies</w:t>
      </w:r>
      <w:proofErr w:type="gramEnd"/>
      <w:r w:rsidRPr="00B5112A">
        <w:rPr>
          <w:lang w:val="en-US"/>
        </w:rPr>
        <w:t xml:space="preserve"> one can distinguish between </w:t>
      </w:r>
      <w:r w:rsidRPr="00B5112A">
        <w:rPr>
          <w:lang w:val="en-US" w:eastAsia="nl-BE"/>
        </w:rPr>
        <w:t>urbanization economies and localization economies. Urbanization economies occur if one firm’s costs fall, with a rise in local</w:t>
      </w:r>
      <w:r>
        <w:rPr>
          <w:lang w:val="en-US" w:eastAsia="nl-BE"/>
        </w:rPr>
        <w:t xml:space="preserve"> output (regardless of industry). Localization economies occur if one firm’s costs fall, with a rise in local output from other firms in same </w:t>
      </w:r>
      <w:r>
        <w:rPr>
          <w:lang w:val="en-US" w:eastAsia="nl-BE"/>
        </w:rPr>
        <w:lastRenderedPageBreak/>
        <w:t xml:space="preserve">industry. Empirical research has found a positive relationship between worker productivity and total employment in a city (i.e. urbanization economies). </w:t>
      </w:r>
      <w:proofErr w:type="gramStart"/>
      <w:r>
        <w:rPr>
          <w:lang w:val="en-US" w:eastAsia="nl-BE"/>
        </w:rPr>
        <w:t>But</w:t>
      </w:r>
      <w:proofErr w:type="gramEnd"/>
      <w:r>
        <w:rPr>
          <w:lang w:val="en-US" w:eastAsia="nl-BE"/>
        </w:rPr>
        <w:t xml:space="preserve"> the link between worker productivity and employment within the own industry is much stronger (i.e. localization economies).</w:t>
      </w:r>
      <w:r>
        <w:rPr>
          <w:lang w:val="en-US"/>
        </w:rPr>
        <w:t xml:space="preserve"> </w:t>
      </w:r>
      <w:r>
        <w:t xml:space="preserve">There are different sources of localization economies. A first is the benefit of labour pooling. A concentration of firms generates a large pool of workers. The increased number of potential employers allows firms to make a better selection, and thus leads to a better match between workers and employers. A second type of benefit is the development of industries due to the increasing returns to scale in intermediate inputs for a product.  Finally, there is a relative ease of communication and exchange of supplies, labourers and innovative ideas due to the proximity among firms. This latter is also known as “knowledge </w:t>
      </w:r>
      <w:proofErr w:type="spellStart"/>
      <w:r>
        <w:t>spillovers</w:t>
      </w:r>
      <w:proofErr w:type="spellEnd"/>
      <w:r>
        <w:t>”.</w:t>
      </w:r>
    </w:p>
    <w:p w:rsidR="0070074D" w:rsidRPr="0070074D" w:rsidRDefault="0070074D" w:rsidP="0070074D">
      <w:pPr>
        <w:rPr>
          <w:lang w:val="en-US"/>
        </w:rPr>
      </w:pPr>
    </w:p>
    <w:p w:rsidR="00B2651D" w:rsidRDefault="00B2651D" w:rsidP="00660344">
      <w:pPr>
        <w:pStyle w:val="Heading2"/>
        <w:rPr>
          <w:lang w:val="en-US"/>
        </w:rPr>
      </w:pPr>
      <w:bookmarkStart w:id="3" w:name="_Toc366244922"/>
      <w:r>
        <w:rPr>
          <w:lang w:val="en-US"/>
        </w:rPr>
        <w:t>Urbanization trends across Europe</w:t>
      </w:r>
      <w:bookmarkEnd w:id="3"/>
    </w:p>
    <w:p w:rsidR="00B2651D" w:rsidRDefault="00B2651D" w:rsidP="00B2651D">
      <w:pPr>
        <w:rPr>
          <w:rFonts w:ascii="Times New Roman" w:hAnsi="Times New Roman" w:cs="Times New Roman"/>
          <w:lang w:val="en-US"/>
        </w:rPr>
      </w:pPr>
      <w:r>
        <w:rPr>
          <w:lang w:val="en-US"/>
        </w:rPr>
        <w:t xml:space="preserve">The world is becoming more and </w:t>
      </w:r>
      <w:proofErr w:type="gramStart"/>
      <w:r>
        <w:rPr>
          <w:lang w:val="en-US"/>
        </w:rPr>
        <w:t>more urban</w:t>
      </w:r>
      <w:proofErr w:type="gramEnd"/>
      <w:r>
        <w:rPr>
          <w:lang w:val="en-US"/>
        </w:rPr>
        <w:t xml:space="preserve">. Since </w:t>
      </w:r>
      <w:proofErr w:type="gramStart"/>
      <w:r>
        <w:rPr>
          <w:lang w:val="en-US"/>
        </w:rPr>
        <w:t>2009</w:t>
      </w:r>
      <w:proofErr w:type="gramEnd"/>
      <w:r>
        <w:rPr>
          <w:lang w:val="en-US"/>
        </w:rPr>
        <w:t xml:space="preserve"> more than half of the world population lives in urban areas according to the World Urbanization Prospects (2010). In developed </w:t>
      </w:r>
      <w:proofErr w:type="gramStart"/>
      <w:r>
        <w:rPr>
          <w:lang w:val="en-US"/>
        </w:rPr>
        <w:t>countries</w:t>
      </w:r>
      <w:proofErr w:type="gramEnd"/>
      <w:r>
        <w:rPr>
          <w:lang w:val="en-US"/>
        </w:rPr>
        <w:t xml:space="preserve"> this number is even higher: here 78% of the inhabitants lived in urban areas in 2011. Urbanization is expected to continue rising in both the more developed and the less developed regions so that, by 2050, urban dwellers will likely account for 86% of the population in the more developed </w:t>
      </w:r>
      <w:r>
        <w:rPr>
          <w:rFonts w:ascii="Times New Roman" w:hAnsi="Times New Roman" w:cs="Times New Roman"/>
          <w:lang w:val="en-US"/>
        </w:rPr>
        <w:t xml:space="preserve">regions (see </w:t>
      </w:r>
      <w:r>
        <w:rPr>
          <w:rFonts w:ascii="Times New Roman" w:hAnsi="Times New Roman" w:cs="Times New Roman"/>
          <w:lang w:val="en-US"/>
        </w:rPr>
        <w:fldChar w:fldCharType="begin"/>
      </w:r>
      <w:r>
        <w:rPr>
          <w:rFonts w:ascii="Times New Roman" w:hAnsi="Times New Roman" w:cs="Times New Roman"/>
          <w:lang w:val="en-US"/>
        </w:rPr>
        <w:instrText xml:space="preserve"> REF _Ref359505564 \h </w:instrText>
      </w:r>
      <w:r>
        <w:rPr>
          <w:rFonts w:ascii="Times New Roman" w:hAnsi="Times New Roman" w:cs="Times New Roman"/>
          <w:lang w:val="en-US"/>
        </w:rPr>
      </w:r>
      <w:r>
        <w:rPr>
          <w:rFonts w:ascii="Times New Roman" w:hAnsi="Times New Roman" w:cs="Times New Roman"/>
          <w:lang w:val="en-US"/>
        </w:rPr>
        <w:fldChar w:fldCharType="separate"/>
      </w:r>
      <w:r w:rsidR="0013270A">
        <w:t xml:space="preserve">Table </w:t>
      </w:r>
      <w:r w:rsidR="0013270A">
        <w:rPr>
          <w:noProof/>
        </w:rPr>
        <w:t>1</w:t>
      </w:r>
      <w:r>
        <w:rPr>
          <w:rFonts w:ascii="Times New Roman" w:hAnsi="Times New Roman" w:cs="Times New Roman"/>
          <w:lang w:val="en-US"/>
        </w:rPr>
        <w:fldChar w:fldCharType="end"/>
      </w:r>
      <w:r>
        <w:rPr>
          <w:rFonts w:ascii="Times New Roman" w:hAnsi="Times New Roman" w:cs="Times New Roman"/>
          <w:lang w:val="en-US"/>
        </w:rPr>
        <w:t xml:space="preserve">). </w:t>
      </w:r>
    </w:p>
    <w:p w:rsidR="00B2651D" w:rsidRDefault="00B2651D" w:rsidP="00B2651D">
      <w:pPr>
        <w:pStyle w:val="Caption"/>
        <w:rPr>
          <w:rFonts w:asciiTheme="minorHAnsi" w:hAnsiTheme="minorHAnsi" w:cstheme="minorBidi"/>
        </w:rPr>
      </w:pPr>
      <w:bookmarkStart w:id="4" w:name="_Ref359505564"/>
      <w:bookmarkStart w:id="5" w:name="_Toc373136638"/>
      <w:r>
        <w:t xml:space="preserve">Table </w:t>
      </w:r>
      <w:r>
        <w:fldChar w:fldCharType="begin"/>
      </w:r>
      <w:r>
        <w:instrText xml:space="preserve"> SEQ Table \* ARABIC </w:instrText>
      </w:r>
      <w:r>
        <w:fldChar w:fldCharType="separate"/>
      </w:r>
      <w:r w:rsidR="0013270A">
        <w:rPr>
          <w:noProof/>
        </w:rPr>
        <w:t>1</w:t>
      </w:r>
      <w:r>
        <w:fldChar w:fldCharType="end"/>
      </w:r>
      <w:bookmarkEnd w:id="4"/>
      <w:r>
        <w:t xml:space="preserve">: Percentage urban by development group, selected periods, 1950-2050 (from </w:t>
      </w:r>
      <w:r>
        <w:rPr>
          <w:lang w:val="en-US"/>
        </w:rPr>
        <w:t>World Urbanization Prospects (2012)</w:t>
      </w:r>
      <w:r>
        <w:t>)</w:t>
      </w:r>
      <w:bookmarkEnd w:id="5"/>
      <w:r>
        <w:t xml:space="preserve"> </w:t>
      </w:r>
    </w:p>
    <w:p w:rsidR="00B2651D" w:rsidRDefault="00B2651D" w:rsidP="00B2651D">
      <w:pPr>
        <w:rPr>
          <w:rFonts w:ascii="Times New Roman" w:hAnsi="Times New Roman" w:cs="Times New Roman"/>
          <w:lang w:val="en-US"/>
        </w:rPr>
      </w:pPr>
      <w:r>
        <w:rPr>
          <w:rFonts w:ascii="Times New Roman" w:hAnsi="Times New Roman" w:cs="Times New Roman"/>
          <w:noProof/>
          <w:lang w:eastAsia="en-GB"/>
        </w:rPr>
        <w:drawing>
          <wp:inline distT="0" distB="0" distL="0" distR="0" wp14:anchorId="35C71B9A" wp14:editId="327AAF13">
            <wp:extent cx="5673469" cy="13335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lum contrast="-3000"/>
                      <a:extLst>
                        <a:ext uri="{28A0092B-C50C-407E-A947-70E740481C1C}">
                          <a14:useLocalDpi xmlns:a14="http://schemas.microsoft.com/office/drawing/2010/main" val="0"/>
                        </a:ext>
                      </a:extLst>
                    </a:blip>
                    <a:srcRect/>
                    <a:stretch>
                      <a:fillRect/>
                    </a:stretch>
                  </pic:blipFill>
                  <pic:spPr bwMode="auto">
                    <a:xfrm>
                      <a:off x="0" y="0"/>
                      <a:ext cx="5692928" cy="1338074"/>
                    </a:xfrm>
                    <a:prstGeom prst="rect">
                      <a:avLst/>
                    </a:prstGeom>
                    <a:noFill/>
                    <a:ln>
                      <a:noFill/>
                    </a:ln>
                  </pic:spPr>
                </pic:pic>
              </a:graphicData>
            </a:graphic>
          </wp:inline>
        </w:drawing>
      </w:r>
    </w:p>
    <w:p w:rsidR="000C6E2E" w:rsidRDefault="000C6E2E" w:rsidP="00B2651D">
      <w:pPr>
        <w:rPr>
          <w:rFonts w:ascii="Times New Roman" w:hAnsi="Times New Roman" w:cs="Times New Roman"/>
          <w:lang w:val="en-US"/>
        </w:rPr>
      </w:pPr>
    </w:p>
    <w:p w:rsidR="00B2651D" w:rsidRDefault="00B2651D" w:rsidP="00B2651D">
      <w:pPr>
        <w:rPr>
          <w:rFonts w:asciiTheme="minorHAnsi" w:hAnsiTheme="minorHAnsi"/>
          <w:lang w:val="en-US"/>
        </w:rPr>
      </w:pPr>
      <w:r>
        <w:rPr>
          <w:rFonts w:ascii="Times New Roman" w:hAnsi="Times New Roman" w:cs="Times New Roman"/>
          <w:lang w:val="en-US"/>
        </w:rPr>
        <w:t>In the European Union (</w:t>
      </w:r>
      <w:proofErr w:type="gramStart"/>
      <w:r>
        <w:rPr>
          <w:rFonts w:ascii="Times New Roman" w:hAnsi="Times New Roman" w:cs="Times New Roman"/>
          <w:lang w:val="en-US"/>
        </w:rPr>
        <w:t>EU)</w:t>
      </w:r>
      <w:proofErr w:type="gramEnd"/>
      <w:r>
        <w:rPr>
          <w:rFonts w:ascii="Times New Roman" w:hAnsi="Times New Roman" w:cs="Times New Roman"/>
          <w:lang w:val="en-US"/>
        </w:rPr>
        <w:t xml:space="preserve"> o</w:t>
      </w:r>
      <w:r>
        <w:rPr>
          <w:lang w:val="en-US"/>
        </w:rPr>
        <w:t xml:space="preserve">ver 75% of the population lives in urban areas today, with a projection for this to reach 80% by 2020 (EEA 2006). This translates to a dense urban network containing about 5000 towns with a population between 5000 and 50,000 inhabitants, and almost 1,000 cities with more than 50,000 inhabitants. However, only few of these cities are very large: only 7% of the EU </w:t>
      </w:r>
      <w:proofErr w:type="gramStart"/>
      <w:r>
        <w:rPr>
          <w:lang w:val="en-US"/>
        </w:rPr>
        <w:t>population live</w:t>
      </w:r>
      <w:proofErr w:type="gramEnd"/>
      <w:r>
        <w:rPr>
          <w:lang w:val="en-US"/>
        </w:rPr>
        <w:t xml:space="preserve"> in cities bigger than 5 million inhabitants, compared to 25% in the USA, </w:t>
      </w:r>
      <w:r>
        <w:rPr>
          <w:lang w:val="en-US" w:eastAsia="nl-BE"/>
        </w:rPr>
        <w:t>and only 5 EU cities appear among the 100 largest in the world</w:t>
      </w:r>
      <w:r>
        <w:rPr>
          <w:lang w:val="en-US"/>
        </w:rPr>
        <w:t xml:space="preserve"> (CEC 2008). </w:t>
      </w:r>
    </w:p>
    <w:p w:rsidR="00B2651D" w:rsidRDefault="00B2651D" w:rsidP="00B2651D">
      <w:r>
        <w:rPr>
          <w:lang w:val="en-US"/>
        </w:rPr>
        <w:t xml:space="preserve">In WP 8.3 of the Neujobs project (Cullman &amp; </w:t>
      </w:r>
      <w:proofErr w:type="spellStart"/>
      <w:r>
        <w:rPr>
          <w:lang w:val="en-US"/>
        </w:rPr>
        <w:t>Geppert</w:t>
      </w:r>
      <w:proofErr w:type="spellEnd"/>
      <w:r>
        <w:rPr>
          <w:lang w:val="en-US"/>
        </w:rPr>
        <w:t xml:space="preserve"> (</w:t>
      </w:r>
      <w:proofErr w:type="gramStart"/>
      <w:r>
        <w:rPr>
          <w:lang w:val="en-US"/>
        </w:rPr>
        <w:t>2012))</w:t>
      </w:r>
      <w:proofErr w:type="gramEnd"/>
      <w:r>
        <w:rPr>
          <w:lang w:val="en-US"/>
        </w:rPr>
        <w:t xml:space="preserve"> a slow but constant trend of </w:t>
      </w:r>
      <w:proofErr w:type="spellStart"/>
      <w:r>
        <w:rPr>
          <w:lang w:val="en-US"/>
        </w:rPr>
        <w:t>urbanisation</w:t>
      </w:r>
      <w:proofErr w:type="spellEnd"/>
      <w:r>
        <w:rPr>
          <w:lang w:val="en-US"/>
        </w:rPr>
        <w:t xml:space="preserve"> was observed both for the EU15 and the EU12. The shares of large metropolitan areas in total population and total GDP are rising, the shares of small metropolitan areas are remaining constant and the shares of the other regions are falling. However, this gradual process of spatial concentration does not necessarily </w:t>
      </w:r>
      <w:r>
        <w:rPr>
          <w:lang w:val="en-US"/>
        </w:rPr>
        <w:lastRenderedPageBreak/>
        <w:t xml:space="preserve">involve </w:t>
      </w:r>
      <w:proofErr w:type="spellStart"/>
      <w:r>
        <w:rPr>
          <w:lang w:val="en-US"/>
        </w:rPr>
        <w:t>urbanisation</w:t>
      </w:r>
      <w:proofErr w:type="spellEnd"/>
      <w:r>
        <w:rPr>
          <w:lang w:val="en-US"/>
        </w:rPr>
        <w:t xml:space="preserve"> in a stricter sense. Most of the large metropolitan areas consist of core cities and vast hinterlands of intermediate and rural territories. Such a regional concept is not </w:t>
      </w:r>
      <w:proofErr w:type="gramStart"/>
      <w:r>
        <w:rPr>
          <w:lang w:val="en-US"/>
        </w:rPr>
        <w:t>really appropriate</w:t>
      </w:r>
      <w:proofErr w:type="gramEnd"/>
      <w:r>
        <w:rPr>
          <w:lang w:val="en-US"/>
        </w:rPr>
        <w:t xml:space="preserve"> for the identification of potential changes in the </w:t>
      </w:r>
      <w:proofErr w:type="spellStart"/>
      <w:r>
        <w:rPr>
          <w:lang w:val="en-US"/>
        </w:rPr>
        <w:t>behaviour</w:t>
      </w:r>
      <w:proofErr w:type="spellEnd"/>
      <w:r>
        <w:rPr>
          <w:lang w:val="en-US"/>
        </w:rPr>
        <w:t xml:space="preserve"> of individuals or firms in terms of urban locations.</w:t>
      </w:r>
    </w:p>
    <w:p w:rsidR="00B2651D" w:rsidRDefault="00B2651D" w:rsidP="00B2651D">
      <w:pPr>
        <w:rPr>
          <w:lang w:val="en-US"/>
        </w:rPr>
      </w:pPr>
      <w:r>
        <w:rPr>
          <w:lang w:val="en-US"/>
        </w:rPr>
        <w:t>According to the Piorr et al. (2011), urban areas expanded their surface area by 78% between the 1950s and 1990. In the same period the population increased only by 33%. This trend continued to 2000 where the population in the EU25 increased by 2% while the urban area increased by more than 5%, mainly as a result of increased numbers of households and decreasing size of households (</w:t>
      </w:r>
      <w:proofErr w:type="spellStart"/>
      <w:r>
        <w:rPr>
          <w:lang w:val="en-US"/>
        </w:rPr>
        <w:t>Jansson</w:t>
      </w:r>
      <w:proofErr w:type="spellEnd"/>
      <w:r>
        <w:rPr>
          <w:lang w:val="en-US"/>
        </w:rPr>
        <w:t xml:space="preserve"> et al. 2009). The result of this trend is </w:t>
      </w:r>
      <w:r>
        <w:rPr>
          <w:b/>
          <w:lang w:val="en-US"/>
        </w:rPr>
        <w:t>urban sprawl</w:t>
      </w:r>
      <w:r>
        <w:rPr>
          <w:lang w:val="en-US"/>
        </w:rPr>
        <w:t xml:space="preserve">: the physical pattern of low-density expansion of large urban areas, under market conditions, mainly into the surrounding agricultural areas (EEA 2006). The causes of urban sprawl are various: means of transportation, price of land, housing preferences, demographic trends, cultural traditions, attractiveness of existing urban areas, land use policies, etc. The urban model of section </w:t>
      </w:r>
      <w:r w:rsidR="00EB473F">
        <w:rPr>
          <w:lang w:val="en-US"/>
        </w:rPr>
        <w:t xml:space="preserve">3.1 </w:t>
      </w:r>
      <w:r>
        <w:rPr>
          <w:lang w:val="en-US"/>
        </w:rPr>
        <w:t xml:space="preserve">provides a framework that links these factors and urban sprawl. </w:t>
      </w:r>
    </w:p>
    <w:p w:rsidR="00B2651D" w:rsidRDefault="00B2651D" w:rsidP="00B2651D">
      <w:pPr>
        <w:rPr>
          <w:lang w:val="en-US"/>
        </w:rPr>
      </w:pPr>
      <w:r>
        <w:rPr>
          <w:lang w:val="en-US"/>
        </w:rPr>
        <w:t xml:space="preserve">A case study for Germany in WP 8.3 reveals some interesting trends regarding the urbanization process. It </w:t>
      </w:r>
      <w:proofErr w:type="gramStart"/>
      <w:r>
        <w:rPr>
          <w:lang w:val="en-US"/>
        </w:rPr>
        <w:t>was found</w:t>
      </w:r>
      <w:proofErr w:type="gramEnd"/>
      <w:r>
        <w:rPr>
          <w:lang w:val="en-US"/>
        </w:rPr>
        <w:t xml:space="preserve"> that cities with a population of at least half a million were not affected by the general process of shrinking population, but instead increased the number of their inhabitants. Big cities are also getting younger compared to the national average. The number of people under the age of 18, for example, is decreasing only half as much in cities as in Germany as a whole. At the same time, the number of people aged 18-25 is growing nearly twice as fast in big cities as on average. The age group of 25-30 years is increasing in big cities but shrinking in Germany as a whole. From 1999 to </w:t>
      </w:r>
      <w:proofErr w:type="gramStart"/>
      <w:r>
        <w:rPr>
          <w:lang w:val="en-US"/>
        </w:rPr>
        <w:t>2010</w:t>
      </w:r>
      <w:proofErr w:type="gramEnd"/>
      <w:r>
        <w:rPr>
          <w:lang w:val="en-US"/>
        </w:rPr>
        <w:t xml:space="preserve"> the number of births has risen in the cities while having declined in the rest of Germany. The birth rate per inhabitant is now significantly higher in cities than in other areas. Regarding </w:t>
      </w:r>
      <w:proofErr w:type="gramStart"/>
      <w:r>
        <w:rPr>
          <w:lang w:val="en-US"/>
        </w:rPr>
        <w:t>employment</w:t>
      </w:r>
      <w:proofErr w:type="gramEnd"/>
      <w:r>
        <w:rPr>
          <w:lang w:val="en-US"/>
        </w:rPr>
        <w:t xml:space="preserve"> the process of spatial </w:t>
      </w:r>
      <w:proofErr w:type="spellStart"/>
      <w:r>
        <w:rPr>
          <w:lang w:val="en-US"/>
        </w:rPr>
        <w:t>decentralisation</w:t>
      </w:r>
      <w:proofErr w:type="spellEnd"/>
      <w:r>
        <w:rPr>
          <w:lang w:val="en-US"/>
        </w:rPr>
        <w:t xml:space="preserve"> of jobs and income that was observed until the second half of the 1990s has changed form.</w:t>
      </w:r>
      <w:r>
        <w:rPr>
          <w:sz w:val="14"/>
          <w:szCs w:val="14"/>
          <w:lang w:val="en-US"/>
        </w:rPr>
        <w:t xml:space="preserve"> </w:t>
      </w:r>
      <w:r>
        <w:rPr>
          <w:lang w:val="en-US"/>
        </w:rPr>
        <w:t xml:space="preserve">Since then, employment in big cities increased more than in other areas. Over the last 10 years, German cities have lost disproportionally more industrial jobs. The increase of total employment in big cities is mainly due to the improved position of cities in traded services, such as financing, insurance and consulting. Spatial clustering and </w:t>
      </w:r>
      <w:proofErr w:type="spellStart"/>
      <w:r>
        <w:rPr>
          <w:lang w:val="en-US"/>
        </w:rPr>
        <w:t>localised</w:t>
      </w:r>
      <w:proofErr w:type="spellEnd"/>
      <w:r>
        <w:rPr>
          <w:lang w:val="en-US"/>
        </w:rPr>
        <w:t xml:space="preserve"> knowledge </w:t>
      </w:r>
      <w:proofErr w:type="gramStart"/>
      <w:r>
        <w:rPr>
          <w:lang w:val="en-US"/>
        </w:rPr>
        <w:t>spill-overs</w:t>
      </w:r>
      <w:proofErr w:type="gramEnd"/>
      <w:r>
        <w:rPr>
          <w:lang w:val="en-US"/>
        </w:rPr>
        <w:t xml:space="preserve"> play an important role here. Two tendencies reinforce each other: knowledge-intensive firms are pulling skilled workers to urban places and skilled workers are pulling knowledge-intensive firms to these places. Cullman &amp; </w:t>
      </w:r>
      <w:proofErr w:type="spellStart"/>
      <w:r>
        <w:rPr>
          <w:lang w:val="en-US"/>
        </w:rPr>
        <w:t>Geppert</w:t>
      </w:r>
      <w:proofErr w:type="spellEnd"/>
      <w:r>
        <w:rPr>
          <w:lang w:val="en-US"/>
        </w:rPr>
        <w:t xml:space="preserve"> (2012) conclude that there is a significant shift in the spatial distribution of population and employment, and that there is little reason to assume that this tendency is only happening in Germany.</w:t>
      </w:r>
    </w:p>
    <w:p w:rsidR="00B2651D" w:rsidRDefault="00B2651D" w:rsidP="00B2651D">
      <w:pPr>
        <w:autoSpaceDE w:val="0"/>
        <w:autoSpaceDN w:val="0"/>
        <w:adjustRightInd w:val="0"/>
        <w:spacing w:after="0"/>
        <w:rPr>
          <w:lang w:val="en-US"/>
        </w:rPr>
      </w:pPr>
      <w:r>
        <w:rPr>
          <w:lang w:val="en-US"/>
        </w:rPr>
        <w:t xml:space="preserve">Summarizing, </w:t>
      </w:r>
      <w:r w:rsidR="00AA0EE2">
        <w:rPr>
          <w:lang w:val="en-US"/>
        </w:rPr>
        <w:t>we see that European society is characterized by</w:t>
      </w:r>
      <w:r>
        <w:rPr>
          <w:lang w:val="en-US"/>
        </w:rPr>
        <w:t xml:space="preserve"> an </w:t>
      </w:r>
      <w:r w:rsidR="00AA0EE2">
        <w:rPr>
          <w:lang w:val="en-US"/>
        </w:rPr>
        <w:t xml:space="preserve">overall increase </w:t>
      </w:r>
      <w:proofErr w:type="gramStart"/>
      <w:r w:rsidR="00AA0EE2">
        <w:rPr>
          <w:lang w:val="en-US"/>
        </w:rPr>
        <w:t>in the</w:t>
      </w:r>
      <w:r>
        <w:rPr>
          <w:lang w:val="en-US"/>
        </w:rPr>
        <w:t xml:space="preserve"> amount of</w:t>
      </w:r>
      <w:proofErr w:type="gramEnd"/>
      <w:r>
        <w:rPr>
          <w:lang w:val="en-US"/>
        </w:rPr>
        <w:t xml:space="preserve"> </w:t>
      </w:r>
      <w:r w:rsidR="00AA0EE2">
        <w:rPr>
          <w:lang w:val="en-US"/>
        </w:rPr>
        <w:t>urbanization</w:t>
      </w:r>
      <w:r>
        <w:rPr>
          <w:lang w:val="en-US"/>
        </w:rPr>
        <w:t>.</w:t>
      </w:r>
      <w:r w:rsidR="00AA0EE2">
        <w:rPr>
          <w:lang w:val="en-US"/>
        </w:rPr>
        <w:t xml:space="preserve"> The Green Paper for Europe (GHG 2050) projects a further urbanization in Europe from 72% to 78% in 2030 and 84% in 2050. This urbanization process is incorporating two tendencies. The first is an increase </w:t>
      </w:r>
      <w:proofErr w:type="gramStart"/>
      <w:r w:rsidR="00AA0EE2">
        <w:rPr>
          <w:lang w:val="en-US"/>
        </w:rPr>
        <w:t>in the amount of</w:t>
      </w:r>
      <w:proofErr w:type="gramEnd"/>
      <w:r w:rsidR="00AA0EE2">
        <w:rPr>
          <w:lang w:val="en-US"/>
        </w:rPr>
        <w:t xml:space="preserve"> urban sprawl, which is the physical pattern of low-density expansion of large urban areas. </w:t>
      </w:r>
      <w:r>
        <w:rPr>
          <w:lang w:val="en-US"/>
        </w:rPr>
        <w:t>Secondly, there is a re-</w:t>
      </w:r>
      <w:proofErr w:type="spellStart"/>
      <w:r>
        <w:rPr>
          <w:lang w:val="en-US"/>
        </w:rPr>
        <w:t>urbanisation</w:t>
      </w:r>
      <w:proofErr w:type="spellEnd"/>
      <w:r>
        <w:rPr>
          <w:lang w:val="en-US"/>
        </w:rPr>
        <w:t xml:space="preserve"> tendency. These findings </w:t>
      </w:r>
      <w:proofErr w:type="gramStart"/>
      <w:r>
        <w:rPr>
          <w:lang w:val="en-US"/>
        </w:rPr>
        <w:t>are also confirmed</w:t>
      </w:r>
      <w:proofErr w:type="gramEnd"/>
      <w:r>
        <w:rPr>
          <w:lang w:val="en-US"/>
        </w:rPr>
        <w:t xml:space="preserve"> in other studi</w:t>
      </w:r>
      <w:r w:rsidR="00AA0EE2">
        <w:rPr>
          <w:lang w:val="en-US"/>
        </w:rPr>
        <w:t xml:space="preserve">es such as </w:t>
      </w:r>
      <w:proofErr w:type="spellStart"/>
      <w:r w:rsidR="00AA0EE2">
        <w:rPr>
          <w:lang w:val="en-US"/>
        </w:rPr>
        <w:t>Sessa</w:t>
      </w:r>
      <w:proofErr w:type="spellEnd"/>
      <w:r w:rsidR="00AA0EE2">
        <w:rPr>
          <w:lang w:val="en-US"/>
        </w:rPr>
        <w:t xml:space="preserve"> &amp; </w:t>
      </w:r>
      <w:proofErr w:type="spellStart"/>
      <w:r w:rsidR="00AA0EE2">
        <w:rPr>
          <w:lang w:val="en-US"/>
        </w:rPr>
        <w:t>Enei</w:t>
      </w:r>
      <w:proofErr w:type="spellEnd"/>
      <w:r w:rsidR="00AA0EE2">
        <w:rPr>
          <w:lang w:val="en-US"/>
        </w:rPr>
        <w:t xml:space="preserve"> (2009).</w:t>
      </w:r>
    </w:p>
    <w:p w:rsidR="008A44E6" w:rsidRDefault="008A44E6">
      <w:pPr>
        <w:spacing w:before="70"/>
        <w:ind w:left="850" w:right="965"/>
        <w:rPr>
          <w:lang w:val="en-US"/>
        </w:rPr>
      </w:pPr>
      <w:r>
        <w:rPr>
          <w:lang w:val="en-US"/>
        </w:rPr>
        <w:br w:type="page"/>
      </w:r>
    </w:p>
    <w:p w:rsidR="003D3C09" w:rsidRDefault="00AA0EE2" w:rsidP="00660344">
      <w:pPr>
        <w:pStyle w:val="Heading1"/>
        <w:rPr>
          <w:lang w:val="en-US"/>
        </w:rPr>
      </w:pPr>
      <w:bookmarkStart w:id="6" w:name="_Toc366244923"/>
      <w:r>
        <w:rPr>
          <w:lang w:val="en-US"/>
        </w:rPr>
        <w:lastRenderedPageBreak/>
        <w:t>Urbanization and the transport system</w:t>
      </w:r>
      <w:bookmarkEnd w:id="6"/>
    </w:p>
    <w:p w:rsidR="00660344" w:rsidRDefault="00EE7DC6" w:rsidP="00660344">
      <w:pPr>
        <w:pStyle w:val="Heading2"/>
        <w:rPr>
          <w:lang w:val="en-US"/>
        </w:rPr>
      </w:pPr>
      <w:bookmarkStart w:id="7" w:name="_Toc366244924"/>
      <w:r>
        <w:rPr>
          <w:lang w:val="en-US"/>
        </w:rPr>
        <w:t xml:space="preserve">Theory of urban </w:t>
      </w:r>
      <w:r w:rsidR="00660344">
        <w:rPr>
          <w:lang w:val="en-US"/>
        </w:rPr>
        <w:t>economics:</w:t>
      </w:r>
      <w:r>
        <w:rPr>
          <w:lang w:val="en-US"/>
        </w:rPr>
        <w:t xml:space="preserve"> land use, commuting and transport</w:t>
      </w:r>
      <w:bookmarkEnd w:id="7"/>
    </w:p>
    <w:p w:rsidR="00837766" w:rsidRDefault="003D3C09" w:rsidP="003D3C09">
      <w:pPr>
        <w:rPr>
          <w:lang w:val="en-US"/>
        </w:rPr>
      </w:pPr>
      <w:r>
        <w:rPr>
          <w:lang w:val="en-US"/>
        </w:rPr>
        <w:t xml:space="preserve">Urban economics describes the relationship between the spatial structure in a city and the location of households and firms. It </w:t>
      </w:r>
      <w:proofErr w:type="gramStart"/>
      <w:r>
        <w:rPr>
          <w:lang w:val="en-US"/>
        </w:rPr>
        <w:t>can also be used</w:t>
      </w:r>
      <w:proofErr w:type="gramEnd"/>
      <w:r>
        <w:rPr>
          <w:lang w:val="en-US"/>
        </w:rPr>
        <w:t xml:space="preserve"> more broadly to </w:t>
      </w:r>
      <w:proofErr w:type="spellStart"/>
      <w:r>
        <w:rPr>
          <w:lang w:val="en-US"/>
        </w:rPr>
        <w:t>analyse</w:t>
      </w:r>
      <w:proofErr w:type="spellEnd"/>
      <w:r>
        <w:rPr>
          <w:lang w:val="en-US"/>
        </w:rPr>
        <w:t xml:space="preserve"> topics such as public transit, education, pollution, crime, housing policy, and many others. Many analyses in urban </w:t>
      </w:r>
      <w:r>
        <w:t>economics rely on a particular model of urban spatial structure,</w:t>
      </w:r>
      <w:r>
        <w:rPr>
          <w:lang w:val="en-US"/>
        </w:rPr>
        <w:t xml:space="preserve"> originating from the work of Alonso, </w:t>
      </w:r>
      <w:proofErr w:type="spellStart"/>
      <w:r>
        <w:rPr>
          <w:lang w:val="en-US"/>
        </w:rPr>
        <w:t>Muth</w:t>
      </w:r>
      <w:proofErr w:type="spellEnd"/>
      <w:r>
        <w:rPr>
          <w:lang w:val="en-US"/>
        </w:rPr>
        <w:t xml:space="preserve"> and Mills</w:t>
      </w:r>
      <w:r w:rsidR="00766700">
        <w:rPr>
          <w:lang w:val="en-US"/>
        </w:rPr>
        <w:t xml:space="preserve"> (AMM)</w:t>
      </w:r>
      <w:r>
        <w:rPr>
          <w:lang w:val="en-US"/>
        </w:rPr>
        <w:t xml:space="preserve"> in the 1960s. The following discussion on this model is a summary of the excellent work of </w:t>
      </w:r>
      <w:proofErr w:type="spellStart"/>
      <w:r>
        <w:rPr>
          <w:lang w:val="en-US"/>
        </w:rPr>
        <w:t>Brueckner</w:t>
      </w:r>
      <w:proofErr w:type="spellEnd"/>
      <w:r>
        <w:rPr>
          <w:lang w:val="en-US"/>
        </w:rPr>
        <w:t xml:space="preserve"> </w:t>
      </w:r>
      <w:r w:rsidR="00837766">
        <w:rPr>
          <w:lang w:val="en-US"/>
        </w:rPr>
        <w:t xml:space="preserve">J.K. </w:t>
      </w:r>
      <w:r w:rsidR="00881132">
        <w:rPr>
          <w:lang w:val="en-US"/>
        </w:rPr>
        <w:t xml:space="preserve">(2011), for a more detailed analysis we refer to this author. </w:t>
      </w:r>
    </w:p>
    <w:p w:rsidR="00EE7DC6" w:rsidRDefault="003D3C09" w:rsidP="003D3C09">
      <w:pPr>
        <w:rPr>
          <w:lang w:val="en-US"/>
        </w:rPr>
      </w:pPr>
      <w:r>
        <w:rPr>
          <w:lang w:val="en-US"/>
        </w:rPr>
        <w:t>There are a number of simplifying assumptions in the basic model that still capture essential relationships in cities, but at the same time allow for an easier analysis. The first assumption in this model is the existence of a Central Business District (CBD) located in the center of the city</w:t>
      </w:r>
      <w:r w:rsidR="002A14F7">
        <w:rPr>
          <w:lang w:val="en-US"/>
        </w:rPr>
        <w:t xml:space="preserve">, which </w:t>
      </w:r>
      <w:proofErr w:type="gramStart"/>
      <w:r w:rsidR="002A14F7">
        <w:rPr>
          <w:lang w:val="en-US"/>
        </w:rPr>
        <w:t>is collapsed</w:t>
      </w:r>
      <w:proofErr w:type="gramEnd"/>
      <w:r w:rsidR="002A14F7">
        <w:rPr>
          <w:lang w:val="en-US"/>
        </w:rPr>
        <w:t xml:space="preserve"> into one point</w:t>
      </w:r>
      <w:r>
        <w:rPr>
          <w:lang w:val="en-US"/>
        </w:rPr>
        <w:t xml:space="preserve">. </w:t>
      </w:r>
      <w:r w:rsidR="002A14F7">
        <w:rPr>
          <w:lang w:val="en-US"/>
        </w:rPr>
        <w:t xml:space="preserve">We assume that </w:t>
      </w:r>
      <w:r w:rsidR="00EE7DC6">
        <w:rPr>
          <w:lang w:val="en-US"/>
        </w:rPr>
        <w:t xml:space="preserve">all consumers need to commute to this CBD to earn a certain income (y) which </w:t>
      </w:r>
      <w:r w:rsidR="002A14F7">
        <w:rPr>
          <w:lang w:val="en-US"/>
        </w:rPr>
        <w:t xml:space="preserve">is independent from their commuting </w:t>
      </w:r>
      <w:r w:rsidR="00203CAA">
        <w:rPr>
          <w:lang w:val="en-US"/>
        </w:rPr>
        <w:t>costs</w:t>
      </w:r>
      <w:r w:rsidR="002A14F7">
        <w:rPr>
          <w:lang w:val="en-US"/>
        </w:rPr>
        <w:t>. The second assumption is that the use of transport</w:t>
      </w:r>
      <w:r w:rsidR="00203CAA">
        <w:rPr>
          <w:lang w:val="en-US"/>
        </w:rPr>
        <w:t xml:space="preserve"> for commuting</w:t>
      </w:r>
      <w:r w:rsidR="002A14F7">
        <w:rPr>
          <w:lang w:val="en-US"/>
        </w:rPr>
        <w:t xml:space="preserve"> is a real cost to the consumer and thus does not contribute to the utility of the consumer. We also assume that there is a transport network going to / from the CBD, such that the total transport cost of the household strictly rises when the household is locating farther from the CBD. </w:t>
      </w:r>
      <w:r w:rsidR="00203CAA">
        <w:rPr>
          <w:lang w:val="en-US"/>
        </w:rPr>
        <w:t xml:space="preserve">The two former assumptions give the basic premise of the model: </w:t>
      </w:r>
      <w:r w:rsidR="00203CAA" w:rsidRPr="00203CAA">
        <w:rPr>
          <w:b/>
          <w:lang w:val="en-US"/>
        </w:rPr>
        <w:t>the disposable income of the household goes down when locating farther from the CBD</w:t>
      </w:r>
      <w:r w:rsidR="00203CAA">
        <w:rPr>
          <w:lang w:val="en-US"/>
        </w:rPr>
        <w:t>. A</w:t>
      </w:r>
      <w:r w:rsidR="002A14F7">
        <w:rPr>
          <w:lang w:val="en-US"/>
        </w:rPr>
        <w:t xml:space="preserve">ll households have the same preferences, which are given by a utility function with </w:t>
      </w:r>
      <w:proofErr w:type="gramStart"/>
      <w:r w:rsidR="002A14F7">
        <w:rPr>
          <w:lang w:val="en-US"/>
        </w:rPr>
        <w:t>2</w:t>
      </w:r>
      <w:proofErr w:type="gramEnd"/>
      <w:r w:rsidR="002A14F7">
        <w:rPr>
          <w:lang w:val="en-US"/>
        </w:rPr>
        <w:t xml:space="preserve"> variables: ‘housing’ and ‘other goods’. </w:t>
      </w:r>
    </w:p>
    <w:p w:rsidR="00203CAA" w:rsidRDefault="00203CAA" w:rsidP="00203CAA">
      <w:pPr>
        <w:rPr>
          <w:lang w:val="en-US"/>
        </w:rPr>
      </w:pPr>
      <w:r>
        <w:rPr>
          <w:lang w:val="en-US"/>
        </w:rPr>
        <w:t xml:space="preserve">Consumers are thus maximizing a utility function </w:t>
      </w:r>
      <w:r w:rsidRPr="00203CAA">
        <w:rPr>
          <w:lang w:val="en-US"/>
        </w:rPr>
        <w:t>u(</w:t>
      </w:r>
      <w:proofErr w:type="spellStart"/>
      <w:r w:rsidRPr="00203CAA">
        <w:rPr>
          <w:lang w:val="en-US"/>
        </w:rPr>
        <w:t>c</w:t>
      </w:r>
      <w:proofErr w:type="gramStart"/>
      <w:r w:rsidRPr="00203CAA">
        <w:rPr>
          <w:lang w:val="en-US"/>
        </w:rPr>
        <w:t>,q</w:t>
      </w:r>
      <w:proofErr w:type="spellEnd"/>
      <w:proofErr w:type="gramEnd"/>
      <w:r w:rsidRPr="00203CAA">
        <w:rPr>
          <w:lang w:val="en-US"/>
        </w:rPr>
        <w:t>)</w:t>
      </w:r>
      <w:r>
        <w:rPr>
          <w:lang w:val="en-US"/>
        </w:rPr>
        <w:t xml:space="preserve"> that expresses their satisfaction over the current amount of housing (q) and other goods (c). Consumers try to maximize their satisfaction given their budget constraint. This budget constraint </w:t>
      </w:r>
      <w:proofErr w:type="gramStart"/>
      <w:r>
        <w:rPr>
          <w:lang w:val="en-US"/>
        </w:rPr>
        <w:t>is determined</w:t>
      </w:r>
      <w:proofErr w:type="gramEnd"/>
      <w:r>
        <w:rPr>
          <w:lang w:val="en-US"/>
        </w:rPr>
        <w:t xml:space="preserve"> by their income (y) minus the total transportation cost</w:t>
      </w:r>
      <w:r w:rsidR="00006624">
        <w:rPr>
          <w:lang w:val="en-US"/>
        </w:rPr>
        <w:t xml:space="preserve"> (</w:t>
      </w:r>
      <w:proofErr w:type="spellStart"/>
      <w:r w:rsidR="00006624">
        <w:rPr>
          <w:lang w:val="en-US"/>
        </w:rPr>
        <w:t>t.x</w:t>
      </w:r>
      <w:proofErr w:type="spellEnd"/>
      <w:r w:rsidR="00006624">
        <w:rPr>
          <w:lang w:val="en-US"/>
        </w:rPr>
        <w:t>)</w:t>
      </w:r>
      <w:r>
        <w:rPr>
          <w:lang w:val="en-US"/>
        </w:rPr>
        <w:t xml:space="preserve">. This </w:t>
      </w:r>
      <w:r w:rsidR="00006624">
        <w:rPr>
          <w:lang w:val="en-US"/>
        </w:rPr>
        <w:t xml:space="preserve">represents </w:t>
      </w:r>
      <w:r>
        <w:rPr>
          <w:lang w:val="en-US"/>
        </w:rPr>
        <w:t xml:space="preserve">the transport cost per km </w:t>
      </w:r>
      <w:r>
        <w:rPr>
          <w:i/>
          <w:lang w:val="en-US"/>
        </w:rPr>
        <w:t>t</w:t>
      </w:r>
      <w:r>
        <w:rPr>
          <w:lang w:val="en-US"/>
        </w:rPr>
        <w:t xml:space="preserve"> (consisting of various components such as gasoline, insurance, depreciation, opportunity cost) and the </w:t>
      </w:r>
      <w:r w:rsidR="00006624">
        <w:rPr>
          <w:lang w:val="en-US"/>
        </w:rPr>
        <w:t>distance from the CBD (x)</w:t>
      </w:r>
      <w:r>
        <w:rPr>
          <w:lang w:val="en-US"/>
        </w:rPr>
        <w:t xml:space="preserve">. </w:t>
      </w:r>
      <w:r w:rsidR="00006624">
        <w:rPr>
          <w:lang w:val="en-US"/>
        </w:rPr>
        <w:t xml:space="preserve">The price of other goods is put equal to </w:t>
      </w:r>
      <w:proofErr w:type="gramStart"/>
      <w:r w:rsidR="00006624">
        <w:rPr>
          <w:lang w:val="en-US"/>
        </w:rPr>
        <w:t>1</w:t>
      </w:r>
      <w:proofErr w:type="gramEnd"/>
      <w:r w:rsidR="00006624">
        <w:rPr>
          <w:lang w:val="en-US"/>
        </w:rPr>
        <w:t xml:space="preserve"> and is used as a </w:t>
      </w:r>
      <w:proofErr w:type="spellStart"/>
      <w:r w:rsidR="00006624">
        <w:rPr>
          <w:lang w:val="en-US"/>
        </w:rPr>
        <w:t>numeraire</w:t>
      </w:r>
      <w:proofErr w:type="spellEnd"/>
      <w:r w:rsidR="00006624">
        <w:rPr>
          <w:lang w:val="en-US"/>
        </w:rPr>
        <w:t xml:space="preserve">, </w:t>
      </w:r>
      <w:r w:rsidR="00006624" w:rsidRPr="00165405">
        <w:rPr>
          <w:b/>
          <w:lang w:val="en-US"/>
        </w:rPr>
        <w:t>only the price of housing (p) varies when moving away from the CBD.</w:t>
      </w:r>
      <w:r w:rsidR="00006624">
        <w:rPr>
          <w:lang w:val="en-US"/>
        </w:rPr>
        <w:t xml:space="preserve"> </w:t>
      </w:r>
    </w:p>
    <w:p w:rsidR="00006624" w:rsidRDefault="00006624" w:rsidP="00CA6F40">
      <w:pPr>
        <w:jc w:val="center"/>
        <w:rPr>
          <w:lang w:val="en-US"/>
        </w:rPr>
      </w:pPr>
      <m:oMathPara>
        <m:oMath>
          <m:r>
            <w:rPr>
              <w:rFonts w:ascii="Cambria Math" w:hAnsi="Cambria Math"/>
              <w:lang w:val="en-US"/>
            </w:rPr>
            <m:t>c+pq=y-tx (1)</m:t>
          </m:r>
        </m:oMath>
      </m:oMathPara>
    </w:p>
    <w:p w:rsidR="00165405" w:rsidRDefault="00165405" w:rsidP="003D3C09">
      <w:pPr>
        <w:rPr>
          <w:lang w:val="en-US"/>
        </w:rPr>
      </w:pPr>
      <w:r>
        <w:rPr>
          <w:lang w:val="en-US"/>
        </w:rPr>
        <w:t>The final assumption necessary to solve this model is that the</w:t>
      </w:r>
      <w:r w:rsidR="003D3C09">
        <w:rPr>
          <w:lang w:val="en-US"/>
        </w:rPr>
        <w:t xml:space="preserve"> consumers</w:t>
      </w:r>
      <w:r>
        <w:rPr>
          <w:lang w:val="en-US"/>
        </w:rPr>
        <w:t xml:space="preserve"> </w:t>
      </w:r>
      <w:proofErr w:type="gramStart"/>
      <w:r>
        <w:rPr>
          <w:lang w:val="en-US"/>
        </w:rPr>
        <w:t>are distributed</w:t>
      </w:r>
      <w:proofErr w:type="gramEnd"/>
      <w:r w:rsidR="003D3C09">
        <w:rPr>
          <w:lang w:val="en-US"/>
        </w:rPr>
        <w:t xml:space="preserve"> over all locations </w:t>
      </w:r>
      <w:r w:rsidR="003D3C09" w:rsidRPr="00165405">
        <w:rPr>
          <w:b/>
          <w:lang w:val="en-US"/>
        </w:rPr>
        <w:t xml:space="preserve">such that </w:t>
      </w:r>
      <w:r w:rsidRPr="00165405">
        <w:rPr>
          <w:b/>
          <w:lang w:val="en-US"/>
        </w:rPr>
        <w:t>the utility of the households is equal in all locations</w:t>
      </w:r>
      <w:r>
        <w:rPr>
          <w:lang w:val="en-US"/>
        </w:rPr>
        <w:t xml:space="preserve">. In this </w:t>
      </w:r>
      <w:proofErr w:type="gramStart"/>
      <w:r>
        <w:rPr>
          <w:lang w:val="en-US"/>
        </w:rPr>
        <w:t>way</w:t>
      </w:r>
      <w:proofErr w:type="gramEnd"/>
      <w:r>
        <w:rPr>
          <w:lang w:val="en-US"/>
        </w:rPr>
        <w:t xml:space="preserve"> no consumer has an incentive to deviate from his/her choices of location. This </w:t>
      </w:r>
      <w:proofErr w:type="gramStart"/>
      <w:r w:rsidR="003D3C09">
        <w:rPr>
          <w:lang w:val="en-US"/>
        </w:rPr>
        <w:t>is called</w:t>
      </w:r>
      <w:proofErr w:type="gramEnd"/>
      <w:r w:rsidR="003D3C09">
        <w:rPr>
          <w:lang w:val="en-US"/>
        </w:rPr>
        <w:t xml:space="preserve"> a </w:t>
      </w:r>
      <w:r w:rsidR="003D3C09">
        <w:rPr>
          <w:b/>
          <w:lang w:val="en-US"/>
        </w:rPr>
        <w:t>consumer locational equilibrium</w:t>
      </w:r>
      <w:r w:rsidR="003D3C09">
        <w:rPr>
          <w:lang w:val="en-US"/>
        </w:rPr>
        <w:t xml:space="preserve">. In </w:t>
      </w:r>
      <w:proofErr w:type="gramStart"/>
      <w:r w:rsidR="003D3C09">
        <w:rPr>
          <w:lang w:val="en-US"/>
        </w:rPr>
        <w:t>this</w:t>
      </w:r>
      <w:proofErr w:type="gramEnd"/>
      <w:r w:rsidR="003D3C09">
        <w:rPr>
          <w:lang w:val="en-US"/>
        </w:rPr>
        <w:t xml:space="preserve"> equilibrium all consumers having the same preferences are equally well off in terms of utility, regardless where they choose to locate their residence. </w:t>
      </w:r>
    </w:p>
    <w:p w:rsidR="0022471B" w:rsidRDefault="003D3C09" w:rsidP="003D3C09">
      <w:pPr>
        <w:rPr>
          <w:lang w:val="en-US"/>
        </w:rPr>
      </w:pPr>
      <w:r>
        <w:rPr>
          <w:lang w:val="en-US"/>
        </w:rPr>
        <w:t xml:space="preserve">For this to be possible, </w:t>
      </w:r>
      <w:r w:rsidRPr="00165405">
        <w:rPr>
          <w:b/>
          <w:lang w:val="en-US"/>
        </w:rPr>
        <w:t xml:space="preserve">the housing price </w:t>
      </w:r>
      <w:r w:rsidRPr="00165405">
        <w:rPr>
          <w:b/>
          <w:i/>
          <w:lang w:val="en-US"/>
        </w:rPr>
        <w:t>p</w:t>
      </w:r>
      <w:r w:rsidRPr="00165405">
        <w:rPr>
          <w:b/>
          <w:lang w:val="en-US"/>
        </w:rPr>
        <w:t xml:space="preserve"> should be a function of the distance</w:t>
      </w:r>
      <w:r w:rsidR="00165405" w:rsidRPr="00165405">
        <w:rPr>
          <w:b/>
          <w:lang w:val="en-US"/>
        </w:rPr>
        <w:t xml:space="preserve"> to the CBD</w:t>
      </w:r>
      <w:r w:rsidR="00165405">
        <w:rPr>
          <w:lang w:val="en-US"/>
        </w:rPr>
        <w:t xml:space="preserve">. As can be seen in </w:t>
      </w:r>
      <w:r>
        <w:rPr>
          <w:lang w:val="en-US"/>
        </w:rPr>
        <w:fldChar w:fldCharType="begin"/>
      </w:r>
      <w:r>
        <w:rPr>
          <w:lang w:val="en-US"/>
        </w:rPr>
        <w:instrText xml:space="preserve"> REF _Ref358878808 \h </w:instrText>
      </w:r>
      <w:r>
        <w:rPr>
          <w:lang w:val="en-US"/>
        </w:rPr>
      </w:r>
      <w:r>
        <w:rPr>
          <w:lang w:val="en-US"/>
        </w:rPr>
        <w:fldChar w:fldCharType="separate"/>
      </w:r>
      <w:r w:rsidR="0013270A">
        <w:t xml:space="preserve">Figure </w:t>
      </w:r>
      <w:r w:rsidR="0013270A">
        <w:rPr>
          <w:noProof/>
        </w:rPr>
        <w:t>1</w:t>
      </w:r>
      <w:r>
        <w:rPr>
          <w:lang w:val="en-US"/>
        </w:rPr>
        <w:fldChar w:fldCharType="end"/>
      </w:r>
      <w:r>
        <w:rPr>
          <w:lang w:val="en-US"/>
        </w:rPr>
        <w:t xml:space="preserve">, people living closer to the CBD have a higher consumption budget (after deduction of the travel costs). To end up with equal utility as people living further (and thus having a lower net consumption budget), prices of housing should be higher near the CBD. </w:t>
      </w:r>
      <w:r w:rsidR="0022471B">
        <w:rPr>
          <w:lang w:val="en-US"/>
        </w:rPr>
        <w:t xml:space="preserve">This means in turn, that the higher the </w:t>
      </w:r>
      <w:r w:rsidR="0022471B">
        <w:rPr>
          <w:lang w:val="en-US"/>
        </w:rPr>
        <w:lastRenderedPageBreak/>
        <w:t>locational distance of the consumer from the CBD, the more living space they can consume. It is exactly this trade-</w:t>
      </w:r>
      <w:proofErr w:type="gramStart"/>
      <w:r w:rsidR="0022471B">
        <w:rPr>
          <w:lang w:val="en-US"/>
        </w:rPr>
        <w:t>off which</w:t>
      </w:r>
      <w:proofErr w:type="gramEnd"/>
      <w:r w:rsidR="0022471B">
        <w:rPr>
          <w:lang w:val="en-US"/>
        </w:rPr>
        <w:t xml:space="preserve"> is leading to the formation of a dense core-city with high housing prices in the center and a sub-urban periphery with low densities and low prices per square meter. This trade-off </w:t>
      </w:r>
      <w:proofErr w:type="gramStart"/>
      <w:r w:rsidR="0022471B">
        <w:rPr>
          <w:lang w:val="en-US"/>
        </w:rPr>
        <w:t>is represented</w:t>
      </w:r>
      <w:proofErr w:type="gramEnd"/>
      <w:r w:rsidR="0022471B">
        <w:rPr>
          <w:lang w:val="en-US"/>
        </w:rPr>
        <w:t xml:space="preserve"> in </w:t>
      </w:r>
      <w:r w:rsidR="0022471B">
        <w:rPr>
          <w:lang w:val="en-US"/>
        </w:rPr>
        <w:fldChar w:fldCharType="begin"/>
      </w:r>
      <w:r w:rsidR="0022471B">
        <w:rPr>
          <w:lang w:val="en-US"/>
        </w:rPr>
        <w:instrText xml:space="preserve"> REF _Ref358878808 \h </w:instrText>
      </w:r>
      <w:r w:rsidR="0022471B">
        <w:rPr>
          <w:lang w:val="en-US"/>
        </w:rPr>
      </w:r>
      <w:r w:rsidR="0022471B">
        <w:rPr>
          <w:lang w:val="en-US"/>
        </w:rPr>
        <w:fldChar w:fldCharType="separate"/>
      </w:r>
      <w:r w:rsidR="0013270A">
        <w:t xml:space="preserve">Figure </w:t>
      </w:r>
      <w:r w:rsidR="0013270A">
        <w:rPr>
          <w:noProof/>
        </w:rPr>
        <w:t>1</w:t>
      </w:r>
      <w:r w:rsidR="0022471B">
        <w:rPr>
          <w:lang w:val="en-US"/>
        </w:rPr>
        <w:fldChar w:fldCharType="end"/>
      </w:r>
      <w:r w:rsidR="0022471B">
        <w:rPr>
          <w:lang w:val="en-US"/>
        </w:rPr>
        <w:t>.</w:t>
      </w:r>
    </w:p>
    <w:p w:rsidR="00CA6F40" w:rsidRDefault="00CA6F40" w:rsidP="00CA6F40">
      <w:pPr>
        <w:keepNext/>
      </w:pPr>
      <w:r>
        <w:rPr>
          <w:noProof/>
          <w:lang w:eastAsia="en-GB"/>
        </w:rPr>
        <w:drawing>
          <wp:inline distT="0" distB="0" distL="0" distR="0" wp14:anchorId="2A591346" wp14:editId="36452D09">
            <wp:extent cx="3459192" cy="2670079"/>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9281" cy="2670147"/>
                    </a:xfrm>
                    <a:prstGeom prst="rect">
                      <a:avLst/>
                    </a:prstGeom>
                    <a:noFill/>
                    <a:ln>
                      <a:noFill/>
                    </a:ln>
                  </pic:spPr>
                </pic:pic>
              </a:graphicData>
            </a:graphic>
          </wp:inline>
        </w:drawing>
      </w:r>
    </w:p>
    <w:p w:rsidR="00CA6F40" w:rsidRDefault="00CA6F40" w:rsidP="00CA6F40">
      <w:pPr>
        <w:pStyle w:val="Caption"/>
        <w:rPr>
          <w:lang w:val="en-US"/>
        </w:rPr>
      </w:pPr>
      <w:bookmarkStart w:id="8" w:name="_Ref358878808"/>
      <w:bookmarkStart w:id="9" w:name="_Toc373136650"/>
      <w:r>
        <w:t xml:space="preserve">Figure </w:t>
      </w:r>
      <w:r>
        <w:fldChar w:fldCharType="begin"/>
      </w:r>
      <w:r>
        <w:instrText xml:space="preserve"> SEQ Figure \* ARABIC </w:instrText>
      </w:r>
      <w:r>
        <w:fldChar w:fldCharType="separate"/>
      </w:r>
      <w:r w:rsidR="0013270A">
        <w:rPr>
          <w:noProof/>
        </w:rPr>
        <w:t>1</w:t>
      </w:r>
      <w:r>
        <w:fldChar w:fldCharType="end"/>
      </w:r>
      <w:bookmarkEnd w:id="8"/>
      <w:r>
        <w:t>: Consumer choice (</w:t>
      </w:r>
      <w:proofErr w:type="spellStart"/>
      <w:r>
        <w:t>Brueckner</w:t>
      </w:r>
      <w:proofErr w:type="spellEnd"/>
      <w:r>
        <w:t xml:space="preserve"> J.K, 2011)</w:t>
      </w:r>
      <w:bookmarkEnd w:id="9"/>
    </w:p>
    <w:p w:rsidR="00CA6F40" w:rsidRDefault="00CA6F40" w:rsidP="003D3C09">
      <w:pPr>
        <w:rPr>
          <w:lang w:val="en-US"/>
        </w:rPr>
      </w:pPr>
    </w:p>
    <w:p w:rsidR="0022471B" w:rsidRDefault="0022471B" w:rsidP="0022471B">
      <w:pPr>
        <w:rPr>
          <w:lang w:val="en-US"/>
        </w:rPr>
      </w:pPr>
      <w:r>
        <w:rPr>
          <w:lang w:val="en-US"/>
        </w:rPr>
        <w:t xml:space="preserve">Further mathematical analysis shows that the slope of the housing prices as a function of the distance to the center </w:t>
      </w:r>
      <w:proofErr w:type="gramStart"/>
      <w:r>
        <w:rPr>
          <w:lang w:val="en-US"/>
        </w:rPr>
        <w:t>is given</w:t>
      </w:r>
      <w:proofErr w:type="gramEnd"/>
      <w:r>
        <w:rPr>
          <w:lang w:val="en-US"/>
        </w:rPr>
        <w:t xml:space="preserve"> by the following equation:</w:t>
      </w:r>
    </w:p>
    <w:p w:rsidR="0022471B" w:rsidRDefault="00FC5AA5" w:rsidP="0022471B">
      <w:pPr>
        <w:rPr>
          <w:rFonts w:eastAsiaTheme="minorEastAsia"/>
          <w:lang w:val="en-US"/>
        </w:rPr>
      </w:pPr>
      <m:oMathPara>
        <m:oMath>
          <m:f>
            <m:fPr>
              <m:ctrlPr>
                <w:rPr>
                  <w:rFonts w:ascii="Cambria Math" w:hAnsi="Cambria Math"/>
                  <w:i/>
                  <w:lang w:val="en-US"/>
                </w:rPr>
              </m:ctrlPr>
            </m:fPr>
            <m:num>
              <m:r>
                <w:rPr>
                  <w:rFonts w:ascii="Cambria Math" w:hAnsi="Cambria Math"/>
                  <w:lang w:val="en-US"/>
                </w:rPr>
                <m:t>∂p</m:t>
              </m:r>
            </m:num>
            <m:den>
              <m:r>
                <w:rPr>
                  <w:rFonts w:ascii="Cambria Math" w:hAnsi="Cambria Math"/>
                  <w:lang w:val="en-US"/>
                </w:rPr>
                <m:t>∂x</m:t>
              </m:r>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t</m:t>
              </m:r>
            </m:num>
            <m:den>
              <m:r>
                <w:rPr>
                  <w:rFonts w:ascii="Cambria Math" w:eastAsiaTheme="minorEastAsia" w:hAnsi="Cambria Math"/>
                  <w:lang w:val="en-US"/>
                </w:rPr>
                <m:t>q</m:t>
              </m:r>
            </m:den>
          </m:f>
          <m:r>
            <w:rPr>
              <w:rFonts w:ascii="Cambria Math" w:eastAsiaTheme="minorEastAsia" w:hAnsi="Cambria Math"/>
              <w:lang w:val="en-US"/>
            </w:rPr>
            <m:t xml:space="preserve"> (2)</m:t>
          </m:r>
        </m:oMath>
      </m:oMathPara>
    </w:p>
    <w:p w:rsidR="00165405" w:rsidRPr="00CA6F40" w:rsidRDefault="003D3C09" w:rsidP="00165405">
      <w:pPr>
        <w:rPr>
          <w:rFonts w:eastAsiaTheme="minorEastAsia"/>
          <w:lang w:val="en-US"/>
        </w:rPr>
      </w:pPr>
      <w:r>
        <w:rPr>
          <w:lang w:val="en-US"/>
        </w:rPr>
        <w:t xml:space="preserve">This </w:t>
      </w:r>
      <w:r w:rsidRPr="00165405">
        <w:rPr>
          <w:b/>
          <w:lang w:val="en-US"/>
        </w:rPr>
        <w:t>model thus predicts that pricing per square meter drop</w:t>
      </w:r>
      <w:r w:rsidR="0022471B">
        <w:rPr>
          <w:b/>
          <w:lang w:val="en-US"/>
        </w:rPr>
        <w:t>s</w:t>
      </w:r>
      <w:r w:rsidRPr="00165405">
        <w:rPr>
          <w:b/>
          <w:lang w:val="en-US"/>
        </w:rPr>
        <w:t xml:space="preserve"> </w:t>
      </w:r>
      <w:r w:rsidR="00165405">
        <w:rPr>
          <w:b/>
          <w:lang w:val="en-US"/>
        </w:rPr>
        <w:t>when moving away from the</w:t>
      </w:r>
      <w:r w:rsidRPr="00165405">
        <w:rPr>
          <w:b/>
          <w:lang w:val="en-US"/>
        </w:rPr>
        <w:t xml:space="preserve"> city center</w:t>
      </w:r>
      <w:r w:rsidR="00165405">
        <w:rPr>
          <w:b/>
          <w:lang w:val="en-US"/>
        </w:rPr>
        <w:t>, relative to the increase in transportation costs incurred by a representative commuter</w:t>
      </w:r>
      <w:r>
        <w:rPr>
          <w:lang w:val="en-US"/>
        </w:rPr>
        <w:t xml:space="preserve">. This outcome is consistent with what </w:t>
      </w:r>
      <w:proofErr w:type="gramStart"/>
      <w:r>
        <w:rPr>
          <w:lang w:val="en-US"/>
        </w:rPr>
        <w:t>can be observed</w:t>
      </w:r>
      <w:proofErr w:type="gramEnd"/>
      <w:r>
        <w:rPr>
          <w:lang w:val="en-US"/>
        </w:rPr>
        <w:t xml:space="preserve"> in reality (see e.g. Coulson, 1991 for an empirical study). </w:t>
      </w:r>
    </w:p>
    <w:p w:rsidR="003D3C09" w:rsidRDefault="003D3C09" w:rsidP="003D3C09">
      <w:pPr>
        <w:rPr>
          <w:lang w:val="en-US"/>
        </w:rPr>
      </w:pPr>
      <w:r w:rsidRPr="00837766">
        <w:rPr>
          <w:b/>
          <w:lang w:val="en-US"/>
        </w:rPr>
        <w:t>The model also links population and land use with income and commuting cost</w:t>
      </w:r>
      <w:r>
        <w:rPr>
          <w:lang w:val="en-US"/>
        </w:rPr>
        <w:t xml:space="preserve">. To accomplish this, it is assumed that there is </w:t>
      </w:r>
      <w:proofErr w:type="gramStart"/>
      <w:r>
        <w:rPr>
          <w:lang w:val="en-US"/>
        </w:rPr>
        <w:t xml:space="preserve">a </w:t>
      </w:r>
      <w:r>
        <w:rPr>
          <w:b/>
          <w:lang w:val="en-US"/>
        </w:rPr>
        <w:t>supply</w:t>
      </w:r>
      <w:proofErr w:type="gramEnd"/>
      <w:r>
        <w:rPr>
          <w:b/>
          <w:lang w:val="en-US"/>
        </w:rPr>
        <w:t>-demand equilibrium</w:t>
      </w:r>
      <w:r>
        <w:rPr>
          <w:lang w:val="en-US"/>
        </w:rPr>
        <w:t xml:space="preserve"> in the city, meaning that the number of citizens wanting to live in the city equals the amount of dwellings in the city. The number of dwellings in a city </w:t>
      </w:r>
      <w:proofErr w:type="gramStart"/>
      <w:r>
        <w:rPr>
          <w:lang w:val="en-US"/>
        </w:rPr>
        <w:t>is determined</w:t>
      </w:r>
      <w:proofErr w:type="gramEnd"/>
      <w:r>
        <w:rPr>
          <w:lang w:val="en-US"/>
        </w:rPr>
        <w:t xml:space="preserve"> by the size (i.e. land area) of the city. This land area is on its turn determined by the land price: if the price that land developers are prepared to pay becomes too low, it will be better to use the land for other purposes (e.g. agriculture). This determines the size </w:t>
      </w:r>
      <m:oMath>
        <m:acc>
          <m:accPr>
            <m:chr m:val="̅"/>
            <m:ctrlPr>
              <w:rPr>
                <w:rFonts w:ascii="Cambria Math" w:hAnsi="Cambria Math"/>
                <w:i/>
                <w:lang w:val="en-US"/>
              </w:rPr>
            </m:ctrlPr>
          </m:accPr>
          <m:e>
            <m:r>
              <w:rPr>
                <w:rFonts w:ascii="Cambria Math" w:hAnsi="Cambria Math"/>
                <w:lang w:val="en-US"/>
              </w:rPr>
              <m:t>x</m:t>
            </m:r>
          </m:e>
        </m:acc>
      </m:oMath>
      <w:r>
        <w:rPr>
          <w:lang w:val="en-US"/>
        </w:rPr>
        <w:t xml:space="preserve"> of the city. Note that the price land developers are prepared to pay is related to the price </w:t>
      </w:r>
      <w:r>
        <w:rPr>
          <w:i/>
          <w:lang w:val="en-US"/>
        </w:rPr>
        <w:t>p</w:t>
      </w:r>
      <w:r>
        <w:rPr>
          <w:lang w:val="en-US"/>
        </w:rPr>
        <w:t xml:space="preserve"> consumers are prepared to pay for their dwellings, which is on its turn determined by the commuting cost </w:t>
      </w:r>
      <w:r>
        <w:rPr>
          <w:i/>
          <w:lang w:val="en-US"/>
        </w:rPr>
        <w:t>t</w:t>
      </w:r>
      <w:r>
        <w:rPr>
          <w:lang w:val="en-US"/>
        </w:rPr>
        <w:t xml:space="preserve"> and the income </w:t>
      </w:r>
      <w:r>
        <w:rPr>
          <w:i/>
          <w:lang w:val="en-US"/>
        </w:rPr>
        <w:t>y</w:t>
      </w:r>
      <w:r>
        <w:rPr>
          <w:lang w:val="en-US"/>
        </w:rPr>
        <w:t>.</w:t>
      </w:r>
    </w:p>
    <w:p w:rsidR="00CA6F40" w:rsidRDefault="00CA6F40" w:rsidP="00CA6F40">
      <w:pPr>
        <w:keepNext/>
      </w:pPr>
      <w:r>
        <w:rPr>
          <w:noProof/>
          <w:lang w:eastAsia="en-GB"/>
        </w:rPr>
        <w:lastRenderedPageBreak/>
        <w:drawing>
          <wp:inline distT="0" distB="0" distL="0" distR="0">
            <wp:extent cx="3258896" cy="269144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9136" cy="2691640"/>
                    </a:xfrm>
                    <a:prstGeom prst="rect">
                      <a:avLst/>
                    </a:prstGeom>
                    <a:noFill/>
                    <a:ln>
                      <a:noFill/>
                    </a:ln>
                  </pic:spPr>
                </pic:pic>
              </a:graphicData>
            </a:graphic>
          </wp:inline>
        </w:drawing>
      </w:r>
    </w:p>
    <w:p w:rsidR="00CA6F40" w:rsidRDefault="00CA6F40" w:rsidP="00CA6F40">
      <w:pPr>
        <w:pStyle w:val="Caption"/>
        <w:rPr>
          <w:lang w:val="en-US"/>
        </w:rPr>
      </w:pPr>
      <w:bookmarkStart w:id="10" w:name="_Ref360458674"/>
      <w:bookmarkStart w:id="11" w:name="_Toc373136651"/>
      <w:r>
        <w:t xml:space="preserve">Figure </w:t>
      </w:r>
      <w:r>
        <w:fldChar w:fldCharType="begin"/>
      </w:r>
      <w:r>
        <w:instrText xml:space="preserve"> SEQ Figure \* ARABIC </w:instrText>
      </w:r>
      <w:r>
        <w:fldChar w:fldCharType="separate"/>
      </w:r>
      <w:r w:rsidR="0013270A">
        <w:rPr>
          <w:noProof/>
        </w:rPr>
        <w:t>2</w:t>
      </w:r>
      <w:r>
        <w:fldChar w:fldCharType="end"/>
      </w:r>
      <w:bookmarkEnd w:id="10"/>
      <w:r>
        <w:t xml:space="preserve">: City size determined by an outside price for agricultural land (r), </w:t>
      </w:r>
      <w:proofErr w:type="spellStart"/>
      <w:r>
        <w:t>Brueckner</w:t>
      </w:r>
      <w:proofErr w:type="spellEnd"/>
      <w:r>
        <w:t xml:space="preserve"> J.K (2011)</w:t>
      </w:r>
      <w:bookmarkEnd w:id="11"/>
    </w:p>
    <w:p w:rsidR="00881132" w:rsidRDefault="00CA6F40" w:rsidP="003D3C09">
      <w:pPr>
        <w:rPr>
          <w:rFonts w:eastAsiaTheme="minorEastAsia"/>
          <w:lang w:val="en-US"/>
        </w:rPr>
      </w:pPr>
      <w:r>
        <w:rPr>
          <w:lang w:val="en-US"/>
        </w:rPr>
        <w:t xml:space="preserve">This </w:t>
      </w:r>
      <w:proofErr w:type="gramStart"/>
      <w:r>
        <w:rPr>
          <w:lang w:val="en-US"/>
        </w:rPr>
        <w:t>is illustrated</w:t>
      </w:r>
      <w:proofErr w:type="gramEnd"/>
      <w:r>
        <w:rPr>
          <w:lang w:val="en-US"/>
        </w:rPr>
        <w:t xml:space="preserve"> in </w:t>
      </w:r>
      <w:r>
        <w:rPr>
          <w:lang w:val="en-US"/>
        </w:rPr>
        <w:fldChar w:fldCharType="begin"/>
      </w:r>
      <w:r>
        <w:rPr>
          <w:lang w:val="en-US"/>
        </w:rPr>
        <w:instrText xml:space="preserve"> REF _Ref360458674 \h </w:instrText>
      </w:r>
      <w:r>
        <w:rPr>
          <w:lang w:val="en-US"/>
        </w:rPr>
      </w:r>
      <w:r>
        <w:rPr>
          <w:lang w:val="en-US"/>
        </w:rPr>
        <w:fldChar w:fldCharType="separate"/>
      </w:r>
      <w:r w:rsidR="0013270A">
        <w:t xml:space="preserve">Figure </w:t>
      </w:r>
      <w:r w:rsidR="0013270A">
        <w:rPr>
          <w:noProof/>
        </w:rPr>
        <w:t>2</w:t>
      </w:r>
      <w:r>
        <w:rPr>
          <w:lang w:val="en-US"/>
        </w:rPr>
        <w:fldChar w:fldCharType="end"/>
      </w:r>
      <w:r>
        <w:rPr>
          <w:lang w:val="en-US"/>
        </w:rPr>
        <w:t xml:space="preserve">, the area of the city (housing) is characterized by a declining </w:t>
      </w:r>
      <w:r w:rsidR="00881132">
        <w:rPr>
          <w:lang w:val="en-US"/>
        </w:rPr>
        <w:t xml:space="preserve">price </w:t>
      </w:r>
      <w:r>
        <w:rPr>
          <w:lang w:val="en-US"/>
        </w:rPr>
        <w:t xml:space="preserve">for </w:t>
      </w:r>
      <w:r w:rsidR="00881132">
        <w:rPr>
          <w:lang w:val="en-US"/>
        </w:rPr>
        <w:t>building grounds</w:t>
      </w:r>
      <w:r>
        <w:rPr>
          <w:lang w:val="en-US"/>
        </w:rPr>
        <w:t xml:space="preserve"> while moving away from the center (CBD). At some </w:t>
      </w:r>
      <w:proofErr w:type="gramStart"/>
      <w:r>
        <w:rPr>
          <w:lang w:val="en-US"/>
        </w:rPr>
        <w:t xml:space="preserve">point </w:t>
      </w:r>
      <w:proofErr w:type="gramEnd"/>
      <m:oMath>
        <m:acc>
          <m:accPr>
            <m:chr m:val="̅"/>
            <m:ctrlPr>
              <w:rPr>
                <w:rFonts w:ascii="Cambria Math" w:hAnsi="Cambria Math"/>
                <w:i/>
                <w:lang w:val="en-US"/>
              </w:rPr>
            </m:ctrlPr>
          </m:accPr>
          <m:e>
            <m:r>
              <w:rPr>
                <w:rFonts w:ascii="Cambria Math" w:hAnsi="Cambria Math"/>
                <w:lang w:val="en-US"/>
              </w:rPr>
              <m:t>X</m:t>
            </m:r>
          </m:e>
        </m:acc>
      </m:oMath>
      <w:r w:rsidR="00881132">
        <w:rPr>
          <w:rFonts w:eastAsiaTheme="minorEastAsia"/>
          <w:lang w:val="en-US"/>
        </w:rPr>
        <w:t xml:space="preserve">, the alternative price for land use </w:t>
      </w:r>
      <m:oMath>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 xml:space="preserve">A </m:t>
            </m:r>
          </m:sub>
        </m:sSub>
      </m:oMath>
      <w:r w:rsidR="00881132">
        <w:rPr>
          <w:rFonts w:eastAsiaTheme="minorEastAsia"/>
          <w:lang w:val="en-US"/>
        </w:rPr>
        <w:t xml:space="preserve">(given in this example by agricultural use) is higher than the land rent for building. This determines the size of the city. </w:t>
      </w:r>
    </w:p>
    <w:p w:rsidR="00CA6F40" w:rsidRDefault="00881132" w:rsidP="003D3C09">
      <w:pPr>
        <w:rPr>
          <w:rFonts w:eastAsiaTheme="minorEastAsia"/>
          <w:lang w:val="en-US"/>
        </w:rPr>
      </w:pPr>
      <w:r>
        <w:rPr>
          <w:rFonts w:eastAsiaTheme="minorEastAsia"/>
          <w:lang w:val="en-US"/>
        </w:rPr>
        <w:t>If the bid price for building grounds shifts upwards, because:</w:t>
      </w:r>
    </w:p>
    <w:p w:rsidR="00881132" w:rsidRPr="00881132" w:rsidRDefault="00881132" w:rsidP="00881132">
      <w:pPr>
        <w:pStyle w:val="ListParagraph"/>
        <w:numPr>
          <w:ilvl w:val="0"/>
          <w:numId w:val="27"/>
        </w:numPr>
        <w:rPr>
          <w:rFonts w:ascii="Book Antiqua" w:eastAsiaTheme="minorEastAsia" w:hAnsi="Book Antiqua"/>
          <w:lang w:val="en-US"/>
        </w:rPr>
      </w:pPr>
      <w:r w:rsidRPr="00881132">
        <w:rPr>
          <w:rFonts w:ascii="Book Antiqua" w:eastAsiaTheme="minorEastAsia" w:hAnsi="Book Antiqua"/>
          <w:lang w:val="en-US"/>
        </w:rPr>
        <w:t>The population of the city increases and hence the demand for building grounds</w:t>
      </w:r>
      <w:r>
        <w:rPr>
          <w:rFonts w:ascii="Book Antiqua" w:eastAsiaTheme="minorEastAsia" w:hAnsi="Book Antiqua"/>
          <w:lang w:val="en-US"/>
        </w:rPr>
        <w:t>, this is actually characterized by a lower utility of the consumers (u)</w:t>
      </w:r>
    </w:p>
    <w:p w:rsidR="00881132" w:rsidRPr="00881132" w:rsidRDefault="00881132" w:rsidP="00881132">
      <w:pPr>
        <w:pStyle w:val="ListParagraph"/>
        <w:numPr>
          <w:ilvl w:val="0"/>
          <w:numId w:val="27"/>
        </w:numPr>
        <w:rPr>
          <w:rFonts w:ascii="Book Antiqua" w:eastAsiaTheme="minorEastAsia" w:hAnsi="Book Antiqua"/>
          <w:lang w:val="en-US"/>
        </w:rPr>
      </w:pPr>
      <w:r w:rsidRPr="00881132">
        <w:rPr>
          <w:rFonts w:ascii="Book Antiqua" w:eastAsiaTheme="minorEastAsia" w:hAnsi="Book Antiqua"/>
          <w:lang w:val="en-US"/>
        </w:rPr>
        <w:t>The transport system is improved and is characterized by a lower relative cost per kilometer</w:t>
      </w:r>
      <w:r>
        <w:rPr>
          <w:rFonts w:ascii="Book Antiqua" w:eastAsiaTheme="minorEastAsia" w:hAnsi="Book Antiqua"/>
          <w:lang w:val="en-US"/>
        </w:rPr>
        <w:t xml:space="preserve"> (t)</w:t>
      </w:r>
    </w:p>
    <w:p w:rsidR="00881132" w:rsidRPr="00881132" w:rsidRDefault="00881132" w:rsidP="00881132">
      <w:pPr>
        <w:pStyle w:val="ListParagraph"/>
        <w:numPr>
          <w:ilvl w:val="0"/>
          <w:numId w:val="27"/>
        </w:numPr>
        <w:rPr>
          <w:rFonts w:ascii="Book Antiqua" w:eastAsiaTheme="minorEastAsia" w:hAnsi="Book Antiqua"/>
          <w:lang w:val="en-US"/>
        </w:rPr>
      </w:pPr>
      <w:r w:rsidRPr="00881132">
        <w:rPr>
          <w:rFonts w:ascii="Book Antiqua" w:eastAsiaTheme="minorEastAsia" w:hAnsi="Book Antiqua"/>
          <w:lang w:val="en-US"/>
        </w:rPr>
        <w:t>The income in the city increases, which leads to a higher disposable income (y)</w:t>
      </w:r>
    </w:p>
    <w:p w:rsidR="00837766" w:rsidRDefault="00881132" w:rsidP="003D3C09">
      <w:pPr>
        <w:rPr>
          <w:lang w:val="en-US"/>
        </w:rPr>
      </w:pPr>
      <w:r>
        <w:rPr>
          <w:lang w:val="en-US"/>
        </w:rPr>
        <w:t xml:space="preserve">Then the city will grow until a new point is reached where the land rent (r) is equal </w:t>
      </w:r>
      <w:proofErr w:type="gramStart"/>
      <w:r>
        <w:rPr>
          <w:lang w:val="en-US"/>
        </w:rPr>
        <w:t xml:space="preserve">to </w:t>
      </w:r>
      <w:r>
        <w:rPr>
          <w:rFonts w:eastAsiaTheme="minorEastAsia"/>
          <w:lang w:val="en-US"/>
        </w:rPr>
        <w:t xml:space="preserve"> </w:t>
      </w:r>
      <w:proofErr w:type="gramEnd"/>
      <m:oMath>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 xml:space="preserve">A </m:t>
            </m:r>
          </m:sub>
        </m:sSub>
      </m:oMath>
      <w:r>
        <w:rPr>
          <w:rFonts w:eastAsiaTheme="minorEastAsia"/>
          <w:lang w:val="en-US"/>
        </w:rPr>
        <w:t>.</w:t>
      </w:r>
    </w:p>
    <w:p w:rsidR="00837766" w:rsidRDefault="00837766" w:rsidP="00837766">
      <w:pPr>
        <w:pStyle w:val="Heading2"/>
        <w:rPr>
          <w:lang w:val="en-US"/>
        </w:rPr>
      </w:pPr>
      <w:bookmarkStart w:id="12" w:name="_Toc366244925"/>
      <w:r>
        <w:rPr>
          <w:lang w:val="en-US"/>
        </w:rPr>
        <w:t>From model to reality: understanding urban transport policy</w:t>
      </w:r>
      <w:bookmarkEnd w:id="12"/>
    </w:p>
    <w:p w:rsidR="00837766" w:rsidRDefault="00766700" w:rsidP="003D3C09">
      <w:pPr>
        <w:rPr>
          <w:lang w:val="en-US"/>
        </w:rPr>
      </w:pPr>
      <w:r>
        <w:rPr>
          <w:lang w:val="en-US"/>
        </w:rPr>
        <w:t xml:space="preserve">The model described in the former section offers a strong basis for analyzing urban transport policy. </w:t>
      </w:r>
      <w:r w:rsidR="00CA6F40">
        <w:rPr>
          <w:lang w:val="en-US"/>
        </w:rPr>
        <w:t xml:space="preserve">Of course, it </w:t>
      </w:r>
      <w:r>
        <w:rPr>
          <w:lang w:val="en-US"/>
        </w:rPr>
        <w:t>is impossible to review all possible applications of this model for urban transport, but summarizing its main conclusions will help us to gain better understanding of urban policies.</w:t>
      </w:r>
    </w:p>
    <w:p w:rsidR="008E1A7B" w:rsidRDefault="00881132" w:rsidP="00881132">
      <w:pPr>
        <w:rPr>
          <w:lang w:val="en-US"/>
        </w:rPr>
      </w:pPr>
      <w:r>
        <w:rPr>
          <w:lang w:val="en-US"/>
        </w:rPr>
        <w:t xml:space="preserve">The </w:t>
      </w:r>
      <w:r w:rsidR="007E49A7">
        <w:rPr>
          <w:lang w:val="en-US"/>
        </w:rPr>
        <w:t>main</w:t>
      </w:r>
      <w:r>
        <w:rPr>
          <w:lang w:val="en-US"/>
        </w:rPr>
        <w:t xml:space="preserve"> conclusion is that t</w:t>
      </w:r>
      <w:r w:rsidR="00CA6F40" w:rsidRPr="00881132">
        <w:rPr>
          <w:lang w:val="en-US"/>
        </w:rPr>
        <w:t>here is an intricate link between the transport system, the housing and land prices and the system of urban settlement</w:t>
      </w:r>
      <w:r>
        <w:rPr>
          <w:lang w:val="en-US"/>
        </w:rPr>
        <w:t>s</w:t>
      </w:r>
      <w:r w:rsidR="00CA6F40" w:rsidRPr="00881132">
        <w:rPr>
          <w:lang w:val="en-US"/>
        </w:rPr>
        <w:t>. The lower the transportation costs to and from the city</w:t>
      </w:r>
      <w:r w:rsidR="00F92DB6">
        <w:rPr>
          <w:lang w:val="en-US"/>
        </w:rPr>
        <w:t xml:space="preserve"> center</w:t>
      </w:r>
      <w:r w:rsidR="00CA6F40" w:rsidRPr="00881132">
        <w:rPr>
          <w:lang w:val="en-US"/>
        </w:rPr>
        <w:t>, th</w:t>
      </w:r>
      <w:r w:rsidR="00F92DB6">
        <w:rPr>
          <w:lang w:val="en-US"/>
        </w:rPr>
        <w:t xml:space="preserve">e lower the land rents within the city and the lower the population density of the city altogether. Urban systems characterized by very low transport costs will spread out remarkably far from the center and </w:t>
      </w:r>
      <w:proofErr w:type="gramStart"/>
      <w:r w:rsidR="00F92DB6">
        <w:rPr>
          <w:lang w:val="en-US"/>
        </w:rPr>
        <w:t>will be characterized</w:t>
      </w:r>
      <w:proofErr w:type="gramEnd"/>
      <w:r w:rsidR="00F92DB6">
        <w:rPr>
          <w:lang w:val="en-US"/>
        </w:rPr>
        <w:t xml:space="preserve"> by low population densities. Empirical proof of the link between the introduction of highways and the rise of suburban settlement in the United States </w:t>
      </w:r>
      <w:proofErr w:type="gramStart"/>
      <w:r w:rsidR="00F92DB6">
        <w:rPr>
          <w:lang w:val="en-US"/>
        </w:rPr>
        <w:t>is shown</w:t>
      </w:r>
      <w:proofErr w:type="gramEnd"/>
      <w:r w:rsidR="00F92DB6">
        <w:rPr>
          <w:lang w:val="en-US"/>
        </w:rPr>
        <w:t xml:space="preserve"> </w:t>
      </w:r>
      <w:r w:rsidR="008E1A7B">
        <w:rPr>
          <w:lang w:val="en-US"/>
        </w:rPr>
        <w:t xml:space="preserve">for example </w:t>
      </w:r>
      <w:r w:rsidR="00F92DB6">
        <w:rPr>
          <w:lang w:val="en-US"/>
        </w:rPr>
        <w:t xml:space="preserve">in Baum-Snow N. (2007). </w:t>
      </w:r>
    </w:p>
    <w:p w:rsidR="00A810D2" w:rsidRDefault="00A810D2" w:rsidP="00881132">
      <w:pPr>
        <w:rPr>
          <w:lang w:val="en-US"/>
        </w:rPr>
      </w:pPr>
    </w:p>
    <w:p w:rsidR="00E11015" w:rsidRDefault="008E1A7B" w:rsidP="00881132">
      <w:pPr>
        <w:rPr>
          <w:lang w:val="en-US"/>
        </w:rPr>
      </w:pPr>
      <w:r>
        <w:rPr>
          <w:lang w:val="en-US"/>
        </w:rPr>
        <w:t>Starting from the mechanisms explained above, it is easy to understand that if the personal cost of transport is</w:t>
      </w:r>
      <w:r w:rsidR="006D19FA">
        <w:rPr>
          <w:lang w:val="en-US"/>
        </w:rPr>
        <w:t xml:space="preserve"> lower than </w:t>
      </w:r>
      <w:r>
        <w:rPr>
          <w:lang w:val="en-US"/>
        </w:rPr>
        <w:t xml:space="preserve">the full social costs of transport, cities will </w:t>
      </w:r>
      <w:r w:rsidR="006D19FA">
        <w:rPr>
          <w:lang w:val="en-US"/>
        </w:rPr>
        <w:t xml:space="preserve">be too big and characterized by a lower efficiency of land use. If transport users </w:t>
      </w:r>
      <w:proofErr w:type="gramStart"/>
      <w:r w:rsidR="006D19FA">
        <w:rPr>
          <w:lang w:val="en-US"/>
        </w:rPr>
        <w:t>can be made</w:t>
      </w:r>
      <w:proofErr w:type="gramEnd"/>
      <w:r w:rsidR="006D19FA">
        <w:rPr>
          <w:lang w:val="en-US"/>
        </w:rPr>
        <w:t xml:space="preserve"> to pay the </w:t>
      </w:r>
      <w:r>
        <w:rPr>
          <w:lang w:val="en-US"/>
        </w:rPr>
        <w:t>external costs</w:t>
      </w:r>
      <w:r w:rsidR="006D19FA">
        <w:rPr>
          <w:lang w:val="en-US"/>
        </w:rPr>
        <w:t xml:space="preserve"> of transport</w:t>
      </w:r>
      <w:r>
        <w:rPr>
          <w:lang w:val="en-US"/>
        </w:rPr>
        <w:t xml:space="preserve"> </w:t>
      </w:r>
      <w:r w:rsidR="006D19FA">
        <w:rPr>
          <w:lang w:val="en-US"/>
        </w:rPr>
        <w:t>(</w:t>
      </w:r>
      <w:r w:rsidR="0042674E">
        <w:rPr>
          <w:lang w:val="en-US"/>
        </w:rPr>
        <w:t xml:space="preserve">f. ex. </w:t>
      </w:r>
      <w:r>
        <w:rPr>
          <w:lang w:val="en-US"/>
        </w:rPr>
        <w:t>congestion, environmental damages and accident costs</w:t>
      </w:r>
      <w:r w:rsidR="006D19FA">
        <w:rPr>
          <w:lang w:val="en-US"/>
        </w:rPr>
        <w:t>), cities become smaller and denser</w:t>
      </w:r>
      <w:r w:rsidR="0042674E">
        <w:rPr>
          <w:lang w:val="en-US"/>
        </w:rPr>
        <w:t xml:space="preserve"> with a better functioning transport system</w:t>
      </w:r>
      <w:r w:rsidR="006D19FA">
        <w:rPr>
          <w:lang w:val="en-US"/>
        </w:rPr>
        <w:t xml:space="preserve">. </w:t>
      </w:r>
    </w:p>
    <w:p w:rsidR="00D47164" w:rsidRDefault="006D19FA" w:rsidP="00881132">
      <w:pPr>
        <w:rPr>
          <w:lang w:val="en-US"/>
        </w:rPr>
      </w:pPr>
      <w:r>
        <w:rPr>
          <w:lang w:val="en-US"/>
        </w:rPr>
        <w:t xml:space="preserve">In theory, the </w:t>
      </w:r>
      <w:r w:rsidR="00E11015">
        <w:rPr>
          <w:lang w:val="en-US"/>
        </w:rPr>
        <w:t xml:space="preserve">social </w:t>
      </w:r>
      <w:r>
        <w:rPr>
          <w:lang w:val="en-US"/>
        </w:rPr>
        <w:t xml:space="preserve">optimum </w:t>
      </w:r>
      <w:proofErr w:type="gramStart"/>
      <w:r>
        <w:rPr>
          <w:lang w:val="en-US"/>
        </w:rPr>
        <w:t>can be reached</w:t>
      </w:r>
      <w:proofErr w:type="gramEnd"/>
      <w:r>
        <w:rPr>
          <w:lang w:val="en-US"/>
        </w:rPr>
        <w:t xml:space="preserve"> by introducing a system of variable road charging on the transport network, treated </w:t>
      </w:r>
      <w:proofErr w:type="spellStart"/>
      <w:r>
        <w:rPr>
          <w:lang w:val="en-US"/>
        </w:rPr>
        <w:t>a.o</w:t>
      </w:r>
      <w:proofErr w:type="spellEnd"/>
      <w:r>
        <w:rPr>
          <w:lang w:val="en-US"/>
        </w:rPr>
        <w:t xml:space="preserve"> in Small &amp; </w:t>
      </w:r>
      <w:proofErr w:type="spellStart"/>
      <w:r>
        <w:rPr>
          <w:lang w:val="en-US"/>
        </w:rPr>
        <w:t>Verhoef</w:t>
      </w:r>
      <w:proofErr w:type="spellEnd"/>
      <w:r>
        <w:rPr>
          <w:lang w:val="en-US"/>
        </w:rPr>
        <w:t xml:space="preserve"> (2007)</w:t>
      </w:r>
      <w:r w:rsidR="003515C5">
        <w:rPr>
          <w:lang w:val="en-US"/>
        </w:rPr>
        <w:t xml:space="preserve">, </w:t>
      </w:r>
      <w:proofErr w:type="spellStart"/>
      <w:r w:rsidR="003515C5">
        <w:rPr>
          <w:lang w:val="en-US"/>
        </w:rPr>
        <w:t>Anas</w:t>
      </w:r>
      <w:proofErr w:type="spellEnd"/>
      <w:r w:rsidR="003515C5">
        <w:rPr>
          <w:lang w:val="en-US"/>
        </w:rPr>
        <w:t xml:space="preserve"> A. et al (2006)</w:t>
      </w:r>
      <w:r>
        <w:rPr>
          <w:lang w:val="en-US"/>
        </w:rPr>
        <w:t xml:space="preserve">. </w:t>
      </w:r>
      <w:r w:rsidR="0042674E">
        <w:rPr>
          <w:lang w:val="en-US"/>
        </w:rPr>
        <w:t xml:space="preserve">In the absence of a system of road charging, which is often hard to </w:t>
      </w:r>
      <w:r w:rsidR="00BB33B0">
        <w:rPr>
          <w:lang w:val="en-US"/>
        </w:rPr>
        <w:t>realize</w:t>
      </w:r>
      <w:r w:rsidR="0042674E">
        <w:rPr>
          <w:lang w:val="en-US"/>
        </w:rPr>
        <w:t xml:space="preserve"> politically, cities have tried to </w:t>
      </w:r>
      <w:r w:rsidR="00D47164">
        <w:rPr>
          <w:lang w:val="en-US"/>
        </w:rPr>
        <w:t xml:space="preserve">use alternative measures to reduce the external costs of urban transport. </w:t>
      </w:r>
    </w:p>
    <w:p w:rsidR="00BB33B0" w:rsidRDefault="00BB33B0" w:rsidP="00132671">
      <w:pPr>
        <w:pStyle w:val="ListParagraph"/>
        <w:numPr>
          <w:ilvl w:val="0"/>
          <w:numId w:val="28"/>
        </w:numPr>
        <w:jc w:val="both"/>
        <w:rPr>
          <w:rFonts w:ascii="Book Antiqua" w:hAnsi="Book Antiqua"/>
          <w:lang w:val="en-US"/>
        </w:rPr>
      </w:pPr>
      <w:r>
        <w:rPr>
          <w:rFonts w:ascii="Book Antiqua" w:hAnsi="Book Antiqua"/>
          <w:lang w:val="en-US"/>
        </w:rPr>
        <w:t>Urban planning</w:t>
      </w:r>
      <w:r w:rsidR="00E11015">
        <w:rPr>
          <w:rFonts w:ascii="Book Antiqua" w:hAnsi="Book Antiqua"/>
          <w:lang w:val="en-US"/>
        </w:rPr>
        <w:t xml:space="preserve"> and implementing ‘soft’ measures to reduce the capacity for road traffic in the city center (narrowing streets, creating speed bumps, introducing low traffic zones, reducing accessibility for car transport to certain hours, etc.)</w:t>
      </w:r>
    </w:p>
    <w:p w:rsidR="00B02815" w:rsidRDefault="00B02815" w:rsidP="00132671">
      <w:pPr>
        <w:pStyle w:val="ListParagraph"/>
        <w:numPr>
          <w:ilvl w:val="0"/>
          <w:numId w:val="28"/>
        </w:numPr>
        <w:jc w:val="both"/>
        <w:rPr>
          <w:rFonts w:ascii="Book Antiqua" w:hAnsi="Book Antiqua"/>
          <w:lang w:val="en-US"/>
        </w:rPr>
      </w:pPr>
      <w:proofErr w:type="gramStart"/>
      <w:r>
        <w:rPr>
          <w:rFonts w:ascii="Book Antiqua" w:hAnsi="Book Antiqua"/>
          <w:lang w:val="en-US"/>
        </w:rPr>
        <w:t>Investing in public services and city amenities to increase the attraction of the city and its</w:t>
      </w:r>
      <w:r w:rsidR="003515C5">
        <w:rPr>
          <w:rFonts w:ascii="Book Antiqua" w:hAnsi="Book Antiqua"/>
          <w:lang w:val="en-US"/>
        </w:rPr>
        <w:t xml:space="preserve"> central region for households (</w:t>
      </w:r>
      <w:proofErr w:type="spellStart"/>
      <w:r w:rsidR="003515C5">
        <w:rPr>
          <w:rFonts w:ascii="Book Antiqua" w:hAnsi="Book Antiqua"/>
          <w:lang w:val="en-US"/>
        </w:rPr>
        <w:t>Thisse</w:t>
      </w:r>
      <w:proofErr w:type="spellEnd"/>
      <w:r w:rsidR="003515C5">
        <w:rPr>
          <w:rFonts w:ascii="Book Antiqua" w:hAnsi="Book Antiqua"/>
          <w:lang w:val="en-US"/>
        </w:rPr>
        <w:t xml:space="preserve"> et al, 1999).</w:t>
      </w:r>
      <w:proofErr w:type="gramEnd"/>
    </w:p>
    <w:p w:rsidR="00D47164" w:rsidRDefault="00D47164" w:rsidP="00132671">
      <w:pPr>
        <w:pStyle w:val="ListParagraph"/>
        <w:numPr>
          <w:ilvl w:val="0"/>
          <w:numId w:val="28"/>
        </w:numPr>
        <w:jc w:val="both"/>
        <w:rPr>
          <w:rFonts w:ascii="Book Antiqua" w:hAnsi="Book Antiqua"/>
          <w:lang w:val="en-US"/>
        </w:rPr>
      </w:pPr>
      <w:r w:rsidRPr="00D47164">
        <w:rPr>
          <w:rFonts w:ascii="Book Antiqua" w:hAnsi="Book Antiqua"/>
          <w:lang w:val="en-US"/>
        </w:rPr>
        <w:t>Tax based policies: taxation of the suburban land use and land development taxes</w:t>
      </w:r>
    </w:p>
    <w:p w:rsidR="00D47164" w:rsidRDefault="00BB33B0" w:rsidP="00132671">
      <w:pPr>
        <w:pStyle w:val="ListParagraph"/>
        <w:numPr>
          <w:ilvl w:val="0"/>
          <w:numId w:val="28"/>
        </w:numPr>
        <w:jc w:val="both"/>
        <w:rPr>
          <w:rFonts w:ascii="Book Antiqua" w:hAnsi="Book Antiqua"/>
          <w:lang w:val="en-US"/>
        </w:rPr>
      </w:pPr>
      <w:proofErr w:type="gramStart"/>
      <w:r>
        <w:rPr>
          <w:rFonts w:ascii="Book Antiqua" w:hAnsi="Book Antiqua"/>
          <w:lang w:val="en-US"/>
        </w:rPr>
        <w:t>Fiscal stimuli to promote the use of public transport for commuting</w:t>
      </w:r>
      <w:r w:rsidR="003515C5">
        <w:rPr>
          <w:rFonts w:ascii="Book Antiqua" w:hAnsi="Book Antiqua"/>
          <w:lang w:val="en-US"/>
        </w:rPr>
        <w:t xml:space="preserve"> (</w:t>
      </w:r>
      <w:proofErr w:type="spellStart"/>
      <w:r w:rsidR="003515C5">
        <w:rPr>
          <w:rFonts w:ascii="Book Antiqua" w:hAnsi="Book Antiqua"/>
          <w:lang w:val="en-US"/>
        </w:rPr>
        <w:t>Hirte</w:t>
      </w:r>
      <w:proofErr w:type="spellEnd"/>
      <w:r w:rsidR="003515C5">
        <w:rPr>
          <w:rFonts w:ascii="Book Antiqua" w:hAnsi="Book Antiqua"/>
          <w:lang w:val="en-US"/>
        </w:rPr>
        <w:t xml:space="preserve"> et al, 2011).</w:t>
      </w:r>
      <w:proofErr w:type="gramEnd"/>
    </w:p>
    <w:p w:rsidR="00D47164" w:rsidRPr="00D47164" w:rsidRDefault="00D47164" w:rsidP="00132671">
      <w:pPr>
        <w:pStyle w:val="ListParagraph"/>
        <w:numPr>
          <w:ilvl w:val="0"/>
          <w:numId w:val="28"/>
        </w:numPr>
        <w:jc w:val="both"/>
        <w:rPr>
          <w:rFonts w:ascii="Book Antiqua" w:hAnsi="Book Antiqua"/>
          <w:lang w:val="en-US"/>
        </w:rPr>
      </w:pPr>
      <w:r>
        <w:rPr>
          <w:rFonts w:ascii="Book Antiqua" w:hAnsi="Book Antiqua"/>
          <w:lang w:val="en-US"/>
        </w:rPr>
        <w:t>Decreasing the amount of parking space in the city or equivalently increasing the cost of parking</w:t>
      </w:r>
      <w:r w:rsidR="00BB33B0">
        <w:rPr>
          <w:rFonts w:ascii="Book Antiqua" w:hAnsi="Book Antiqua"/>
          <w:lang w:val="en-US"/>
        </w:rPr>
        <w:t xml:space="preserve"> in the ce</w:t>
      </w:r>
      <w:r w:rsidR="00767EE7">
        <w:rPr>
          <w:rFonts w:ascii="Book Antiqua" w:hAnsi="Book Antiqua"/>
          <w:lang w:val="en-US"/>
        </w:rPr>
        <w:t xml:space="preserve">nter (Anderson et al, 2004; </w:t>
      </w:r>
      <w:proofErr w:type="spellStart"/>
      <w:r w:rsidR="00767EE7">
        <w:rPr>
          <w:rFonts w:ascii="Book Antiqua" w:hAnsi="Book Antiqua"/>
          <w:lang w:val="en-US"/>
        </w:rPr>
        <w:t>Arnott</w:t>
      </w:r>
      <w:proofErr w:type="spellEnd"/>
      <w:r w:rsidR="00767EE7">
        <w:rPr>
          <w:rFonts w:ascii="Book Antiqua" w:hAnsi="Book Antiqua"/>
          <w:lang w:val="en-US"/>
        </w:rPr>
        <w:t xml:space="preserve"> J. ,2010 )</w:t>
      </w:r>
    </w:p>
    <w:p w:rsidR="00D47164" w:rsidRPr="00D47164" w:rsidRDefault="00D47164" w:rsidP="00132671">
      <w:pPr>
        <w:pStyle w:val="ListParagraph"/>
        <w:numPr>
          <w:ilvl w:val="0"/>
          <w:numId w:val="28"/>
        </w:numPr>
        <w:jc w:val="both"/>
        <w:rPr>
          <w:rFonts w:ascii="Book Antiqua" w:hAnsi="Book Antiqua"/>
          <w:lang w:val="en-US"/>
        </w:rPr>
      </w:pPr>
      <w:r w:rsidRPr="00D47164">
        <w:rPr>
          <w:rFonts w:ascii="Book Antiqua" w:hAnsi="Book Antiqua"/>
          <w:lang w:val="en-US"/>
        </w:rPr>
        <w:t>U</w:t>
      </w:r>
      <w:r w:rsidR="00BB33B0">
        <w:rPr>
          <w:rFonts w:ascii="Book Antiqua" w:hAnsi="Book Antiqua"/>
          <w:lang w:val="en-US"/>
        </w:rPr>
        <w:t>rban growth boundaries (</w:t>
      </w:r>
      <w:proofErr w:type="spellStart"/>
      <w:r w:rsidRPr="00D47164">
        <w:rPr>
          <w:rFonts w:ascii="Book Antiqua" w:hAnsi="Book Antiqua"/>
          <w:lang w:val="en-US"/>
        </w:rPr>
        <w:t>Brueckner</w:t>
      </w:r>
      <w:proofErr w:type="spellEnd"/>
      <w:r w:rsidRPr="00D47164">
        <w:rPr>
          <w:rFonts w:ascii="Book Antiqua" w:hAnsi="Book Antiqua"/>
          <w:lang w:val="en-US"/>
        </w:rPr>
        <w:t xml:space="preserve"> J.K., 2007</w:t>
      </w:r>
      <w:r w:rsidR="00BB33B0">
        <w:rPr>
          <w:rFonts w:ascii="Book Antiqua" w:hAnsi="Book Antiqua"/>
          <w:lang w:val="en-US"/>
        </w:rPr>
        <w:t>)</w:t>
      </w:r>
    </w:p>
    <w:p w:rsidR="00F92DB6" w:rsidRPr="00D47164" w:rsidRDefault="00D47164" w:rsidP="00132671">
      <w:pPr>
        <w:pStyle w:val="ListParagraph"/>
        <w:numPr>
          <w:ilvl w:val="0"/>
          <w:numId w:val="28"/>
        </w:numPr>
        <w:jc w:val="both"/>
        <w:rPr>
          <w:rFonts w:ascii="Book Antiqua" w:hAnsi="Book Antiqua"/>
          <w:lang w:val="en-US"/>
        </w:rPr>
      </w:pPr>
      <w:proofErr w:type="gramStart"/>
      <w:r w:rsidRPr="00D47164">
        <w:rPr>
          <w:rFonts w:ascii="Book Antiqua" w:hAnsi="Book Antiqua"/>
          <w:lang w:val="en-US"/>
        </w:rPr>
        <w:t>Investments in public transport</w:t>
      </w:r>
      <w:r>
        <w:rPr>
          <w:rFonts w:ascii="Book Antiqua" w:hAnsi="Book Antiqua"/>
          <w:lang w:val="en-US"/>
        </w:rPr>
        <w:t>, especially within the city.</w:t>
      </w:r>
      <w:proofErr w:type="gramEnd"/>
      <w:r>
        <w:rPr>
          <w:rFonts w:ascii="Book Antiqua" w:hAnsi="Book Antiqua"/>
          <w:lang w:val="en-US"/>
        </w:rPr>
        <w:t xml:space="preserve"> Sometimes combi</w:t>
      </w:r>
      <w:r w:rsidR="00BB33B0">
        <w:rPr>
          <w:rFonts w:ascii="Book Antiqua" w:hAnsi="Book Antiqua"/>
          <w:lang w:val="en-US"/>
        </w:rPr>
        <w:t>ned with park &amp; ride solutions or so called ‘Fringe parking’.</w:t>
      </w:r>
    </w:p>
    <w:p w:rsidR="00937F57" w:rsidRPr="00937F57" w:rsidRDefault="00D47164" w:rsidP="00937F57">
      <w:pPr>
        <w:pStyle w:val="ListParagraph"/>
        <w:numPr>
          <w:ilvl w:val="0"/>
          <w:numId w:val="28"/>
        </w:numPr>
        <w:jc w:val="both"/>
        <w:rPr>
          <w:rFonts w:ascii="Book Antiqua" w:hAnsi="Book Antiqua"/>
          <w:lang w:val="en-US"/>
        </w:rPr>
      </w:pPr>
      <w:r w:rsidRPr="00D47164">
        <w:rPr>
          <w:rFonts w:ascii="Book Antiqua" w:hAnsi="Book Antiqua"/>
          <w:lang w:val="en-US"/>
        </w:rPr>
        <w:t xml:space="preserve">Access </w:t>
      </w:r>
      <w:proofErr w:type="gramStart"/>
      <w:r w:rsidRPr="00D47164">
        <w:rPr>
          <w:rFonts w:ascii="Book Antiqua" w:hAnsi="Book Antiqua"/>
          <w:lang w:val="en-US"/>
        </w:rPr>
        <w:t>restrictions for certain</w:t>
      </w:r>
      <w:proofErr w:type="gramEnd"/>
      <w:r w:rsidRPr="00D47164">
        <w:rPr>
          <w:rFonts w:ascii="Book Antiqua" w:hAnsi="Book Antiqua"/>
          <w:lang w:val="en-US"/>
        </w:rPr>
        <w:t xml:space="preserve"> types of transport (freight, high polluting transport) </w:t>
      </w:r>
      <w:r w:rsidR="00937F57">
        <w:rPr>
          <w:rFonts w:ascii="Book Antiqua" w:hAnsi="Book Antiqua"/>
          <w:lang w:val="en-US"/>
        </w:rPr>
        <w:t xml:space="preserve">or certain users (residents only) </w:t>
      </w:r>
      <w:r w:rsidRPr="00D47164">
        <w:rPr>
          <w:rFonts w:ascii="Book Antiqua" w:hAnsi="Book Antiqua"/>
          <w:lang w:val="en-US"/>
        </w:rPr>
        <w:t>within the city</w:t>
      </w:r>
      <w:r w:rsidR="00BB33B0">
        <w:rPr>
          <w:rFonts w:ascii="Book Antiqua" w:hAnsi="Book Antiqua"/>
          <w:lang w:val="en-US"/>
        </w:rPr>
        <w:t>, sometimes combined</w:t>
      </w:r>
      <w:r w:rsidR="00937F57">
        <w:rPr>
          <w:rFonts w:ascii="Book Antiqua" w:hAnsi="Book Antiqua"/>
          <w:lang w:val="en-US"/>
        </w:rPr>
        <w:t xml:space="preserve"> with a Low Emission Zone (LEZ) or other systems of urban tolling. </w:t>
      </w:r>
    </w:p>
    <w:p w:rsidR="00BB33B0" w:rsidRDefault="00BB33B0" w:rsidP="00BB33B0">
      <w:pPr>
        <w:rPr>
          <w:lang w:val="en-US"/>
        </w:rPr>
      </w:pPr>
      <w:r>
        <w:rPr>
          <w:lang w:val="en-US"/>
        </w:rPr>
        <w:t xml:space="preserve">We will consider several of the </w:t>
      </w:r>
      <w:r w:rsidR="00E11015">
        <w:rPr>
          <w:lang w:val="en-US"/>
        </w:rPr>
        <w:t>alternatives mentioned above in more detail in the following sections.</w:t>
      </w:r>
      <w:r w:rsidR="00132671">
        <w:rPr>
          <w:lang w:val="en-US"/>
        </w:rPr>
        <w:t xml:space="preserve"> For a theoretical exposition of the impact of several of these measures </w:t>
      </w:r>
      <w:r w:rsidR="00937F57">
        <w:rPr>
          <w:lang w:val="en-US"/>
        </w:rPr>
        <w:t xml:space="preserve">in a city level general equilibrium, </w:t>
      </w:r>
      <w:r w:rsidR="00132671">
        <w:rPr>
          <w:lang w:val="en-US"/>
        </w:rPr>
        <w:t xml:space="preserve">we can refer to </w:t>
      </w:r>
      <w:proofErr w:type="spellStart"/>
      <w:r w:rsidR="00132671">
        <w:rPr>
          <w:lang w:val="en-US"/>
        </w:rPr>
        <w:t>Anas</w:t>
      </w:r>
      <w:proofErr w:type="spellEnd"/>
      <w:r w:rsidR="00132671">
        <w:rPr>
          <w:lang w:val="en-US"/>
        </w:rPr>
        <w:t xml:space="preserve"> A. (201</w:t>
      </w:r>
      <w:r w:rsidR="00937F57">
        <w:rPr>
          <w:lang w:val="en-US"/>
        </w:rPr>
        <w:t>2</w:t>
      </w:r>
      <w:r w:rsidR="00132671">
        <w:rPr>
          <w:lang w:val="en-US"/>
        </w:rPr>
        <w:t xml:space="preserve">). </w:t>
      </w:r>
    </w:p>
    <w:p w:rsidR="00937F57" w:rsidRDefault="00BA0B23" w:rsidP="00BB33B0">
      <w:pPr>
        <w:rPr>
          <w:lang w:val="en-US"/>
        </w:rPr>
      </w:pPr>
      <w:r>
        <w:rPr>
          <w:lang w:val="en-US"/>
        </w:rPr>
        <w:t xml:space="preserve">Alternatively, many interesting cases for the analysis of urban transport actually arise for those situations where the AMM model does not exactly hold or should be adapted </w:t>
      </w:r>
      <w:proofErr w:type="gramStart"/>
      <w:r>
        <w:rPr>
          <w:lang w:val="en-US"/>
        </w:rPr>
        <w:t>to better fit</w:t>
      </w:r>
      <w:proofErr w:type="gramEnd"/>
      <w:r>
        <w:rPr>
          <w:lang w:val="en-US"/>
        </w:rPr>
        <w:t xml:space="preserve"> with reality. Interesting real world deviations arise for example when:</w:t>
      </w:r>
    </w:p>
    <w:p w:rsidR="00BA0B23" w:rsidRDefault="00BA0B23" w:rsidP="00A7019A">
      <w:pPr>
        <w:pStyle w:val="ListParagraph"/>
        <w:numPr>
          <w:ilvl w:val="0"/>
          <w:numId w:val="29"/>
        </w:numPr>
        <w:jc w:val="both"/>
        <w:rPr>
          <w:rFonts w:ascii="Book Antiqua" w:hAnsi="Book Antiqua"/>
          <w:lang w:val="en-US"/>
        </w:rPr>
      </w:pPr>
      <w:r w:rsidRPr="00BA0B23">
        <w:rPr>
          <w:rFonts w:ascii="Book Antiqua" w:hAnsi="Book Antiqua"/>
          <w:lang w:val="en-US"/>
        </w:rPr>
        <w:t xml:space="preserve">Not all </w:t>
      </w:r>
      <w:r>
        <w:rPr>
          <w:rFonts w:ascii="Book Antiqua" w:hAnsi="Book Antiqua"/>
          <w:lang w:val="en-US"/>
        </w:rPr>
        <w:t xml:space="preserve">jobs are located in the center (CBD), but </w:t>
      </w:r>
      <w:proofErr w:type="gramStart"/>
      <w:r>
        <w:rPr>
          <w:rFonts w:ascii="Book Antiqua" w:hAnsi="Book Antiqua"/>
          <w:lang w:val="en-US"/>
        </w:rPr>
        <w:t>are subdivided</w:t>
      </w:r>
      <w:proofErr w:type="gramEnd"/>
      <w:r>
        <w:rPr>
          <w:rFonts w:ascii="Book Antiqua" w:hAnsi="Book Antiqua"/>
          <w:lang w:val="en-US"/>
        </w:rPr>
        <w:t xml:space="preserve"> over a number of sub-centers (SBD’s). This </w:t>
      </w:r>
      <w:proofErr w:type="gramStart"/>
      <w:r>
        <w:rPr>
          <w:rFonts w:ascii="Book Antiqua" w:hAnsi="Book Antiqua"/>
          <w:lang w:val="en-US"/>
        </w:rPr>
        <w:t>is often referred</w:t>
      </w:r>
      <w:proofErr w:type="gramEnd"/>
      <w:r>
        <w:rPr>
          <w:rFonts w:ascii="Book Antiqua" w:hAnsi="Book Antiqua"/>
          <w:lang w:val="en-US"/>
        </w:rPr>
        <w:t xml:space="preserve"> to as polycentric cities. </w:t>
      </w:r>
      <w:proofErr w:type="gramStart"/>
      <w:r>
        <w:rPr>
          <w:rFonts w:ascii="Book Antiqua" w:hAnsi="Book Antiqua"/>
          <w:lang w:val="en-US"/>
        </w:rPr>
        <w:t xml:space="preserve">Polycentric </w:t>
      </w:r>
      <w:r>
        <w:rPr>
          <w:rFonts w:ascii="Book Antiqua" w:hAnsi="Book Antiqua"/>
          <w:lang w:val="en-US"/>
        </w:rPr>
        <w:lastRenderedPageBreak/>
        <w:t xml:space="preserve">cities are often characterized by </w:t>
      </w:r>
      <w:r w:rsidR="008113CB">
        <w:rPr>
          <w:rFonts w:ascii="Book Antiqua" w:hAnsi="Book Antiqua"/>
          <w:lang w:val="en-US"/>
        </w:rPr>
        <w:t>lower densities and an absence of a clear ‘rent curve’ moving outward from the city</w:t>
      </w:r>
      <w:proofErr w:type="gramEnd"/>
      <w:r w:rsidR="008113CB">
        <w:rPr>
          <w:rFonts w:ascii="Book Antiqua" w:hAnsi="Book Antiqua"/>
          <w:lang w:val="en-US"/>
        </w:rPr>
        <w:t xml:space="preserve">. They are more difficult to understand than the standard AMM. Fujita &amp; Ogawa (1982) give a theoretical exposition on how this type of urban configuration can originate, based on the location costs, transport costs and benefits of co-location of firms and households. </w:t>
      </w:r>
      <w:r w:rsidR="00CC6EF8">
        <w:rPr>
          <w:rFonts w:ascii="Book Antiqua" w:hAnsi="Book Antiqua"/>
          <w:lang w:val="en-US"/>
        </w:rPr>
        <w:t xml:space="preserve">Polycentric cities </w:t>
      </w:r>
      <w:proofErr w:type="gramStart"/>
      <w:r w:rsidR="00CC6EF8">
        <w:rPr>
          <w:rFonts w:ascii="Book Antiqua" w:hAnsi="Book Antiqua"/>
          <w:lang w:val="en-US"/>
        </w:rPr>
        <w:t>are in general characterized</w:t>
      </w:r>
      <w:proofErr w:type="gramEnd"/>
      <w:r w:rsidR="00CC6EF8">
        <w:rPr>
          <w:rFonts w:ascii="Book Antiqua" w:hAnsi="Book Antiqua"/>
          <w:lang w:val="en-US"/>
        </w:rPr>
        <w:t xml:space="preserve"> by low transport costs and high</w:t>
      </w:r>
      <w:r w:rsidR="00A7019A">
        <w:rPr>
          <w:rFonts w:ascii="Book Antiqua" w:hAnsi="Book Antiqua"/>
          <w:lang w:val="en-US"/>
        </w:rPr>
        <w:t>er</w:t>
      </w:r>
      <w:r w:rsidR="00CC6EF8">
        <w:rPr>
          <w:rFonts w:ascii="Book Antiqua" w:hAnsi="Book Antiqua"/>
          <w:lang w:val="en-US"/>
        </w:rPr>
        <w:t xml:space="preserve"> degree of urban sprawl. </w:t>
      </w:r>
      <w:proofErr w:type="gramStart"/>
      <w:r w:rsidR="00A7019A">
        <w:rPr>
          <w:rFonts w:ascii="Book Antiqua" w:hAnsi="Book Antiqua"/>
          <w:lang w:val="en-US"/>
        </w:rPr>
        <w:t>However</w:t>
      </w:r>
      <w:proofErr w:type="gramEnd"/>
      <w:r w:rsidR="00A7019A">
        <w:rPr>
          <w:rFonts w:ascii="Book Antiqua" w:hAnsi="Book Antiqua"/>
          <w:lang w:val="en-US"/>
        </w:rPr>
        <w:t xml:space="preserve"> it is hard to prove that large poly-centric city would be less environmentally friendly than compact mono-centric cities (f. ex. </w:t>
      </w:r>
      <w:proofErr w:type="spellStart"/>
      <w:r w:rsidR="00A7019A">
        <w:rPr>
          <w:rFonts w:ascii="Book Antiqua" w:hAnsi="Book Antiqua"/>
          <w:lang w:val="en-US"/>
        </w:rPr>
        <w:t>Thisse</w:t>
      </w:r>
      <w:proofErr w:type="spellEnd"/>
      <w:r w:rsidR="00A7019A">
        <w:rPr>
          <w:rFonts w:ascii="Book Antiqua" w:hAnsi="Book Antiqua"/>
          <w:lang w:val="en-US"/>
        </w:rPr>
        <w:t xml:space="preserve"> et al, 2010). What matters is the mix between the population density and global pattern of activities.</w:t>
      </w:r>
    </w:p>
    <w:p w:rsidR="00A629BC" w:rsidRPr="00916A71" w:rsidRDefault="00CC6EF8" w:rsidP="00A629BC">
      <w:pPr>
        <w:pStyle w:val="ListParagraph"/>
        <w:numPr>
          <w:ilvl w:val="0"/>
          <w:numId w:val="29"/>
        </w:numPr>
        <w:jc w:val="both"/>
        <w:rPr>
          <w:lang w:val="en-US"/>
        </w:rPr>
      </w:pPr>
      <w:r w:rsidRPr="00A629BC">
        <w:rPr>
          <w:rFonts w:ascii="Book Antiqua" w:hAnsi="Book Antiqua"/>
          <w:lang w:val="en-US"/>
        </w:rPr>
        <w:t>Locating in the city gives consumers the possibility to use a number of public good</w:t>
      </w:r>
      <w:r w:rsidR="00A629BC">
        <w:rPr>
          <w:rFonts w:ascii="Book Antiqua" w:hAnsi="Book Antiqua"/>
          <w:lang w:val="en-US"/>
        </w:rPr>
        <w:t xml:space="preserve">s that </w:t>
      </w:r>
      <w:proofErr w:type="gramStart"/>
      <w:r w:rsidR="00A629BC">
        <w:rPr>
          <w:rFonts w:ascii="Book Antiqua" w:hAnsi="Book Antiqua"/>
          <w:lang w:val="en-US"/>
        </w:rPr>
        <w:t>cannot be consumed</w:t>
      </w:r>
      <w:proofErr w:type="gramEnd"/>
      <w:r w:rsidR="00A629BC">
        <w:rPr>
          <w:rFonts w:ascii="Book Antiqua" w:hAnsi="Book Antiqua"/>
          <w:lang w:val="en-US"/>
        </w:rPr>
        <w:t xml:space="preserve"> outside the city</w:t>
      </w:r>
      <w:r w:rsidRPr="00A629BC">
        <w:rPr>
          <w:rFonts w:ascii="Book Antiqua" w:hAnsi="Book Antiqua"/>
          <w:lang w:val="en-US"/>
        </w:rPr>
        <w:t xml:space="preserve">. Examples are cultural services (theaters, movie theaters, </w:t>
      </w:r>
      <w:proofErr w:type="spellStart"/>
      <w:r w:rsidRPr="00A629BC">
        <w:rPr>
          <w:rFonts w:ascii="Book Antiqua" w:hAnsi="Book Antiqua"/>
          <w:lang w:val="en-US"/>
        </w:rPr>
        <w:t>musea</w:t>
      </w:r>
      <w:proofErr w:type="spellEnd"/>
      <w:r w:rsidRPr="00A629BC">
        <w:rPr>
          <w:rFonts w:ascii="Book Antiqua" w:hAnsi="Book Antiqua"/>
          <w:lang w:val="en-US"/>
        </w:rPr>
        <w:t>, historical buildings, etc.), educational services (</w:t>
      </w:r>
      <w:r w:rsidR="00A629BC" w:rsidRPr="00A629BC">
        <w:rPr>
          <w:rFonts w:ascii="Book Antiqua" w:hAnsi="Book Antiqua"/>
          <w:lang w:val="en-US"/>
        </w:rPr>
        <w:t xml:space="preserve">good </w:t>
      </w:r>
      <w:r w:rsidRPr="00A629BC">
        <w:rPr>
          <w:rFonts w:ascii="Book Antiqua" w:hAnsi="Book Antiqua"/>
          <w:lang w:val="en-US"/>
        </w:rPr>
        <w:t>quality schools</w:t>
      </w:r>
      <w:r w:rsidR="00A629BC" w:rsidRPr="00A629BC">
        <w:rPr>
          <w:rFonts w:ascii="Book Antiqua" w:hAnsi="Book Antiqua"/>
          <w:lang w:val="en-US"/>
        </w:rPr>
        <w:t>, universities</w:t>
      </w:r>
      <w:r w:rsidRPr="00A629BC">
        <w:rPr>
          <w:rFonts w:ascii="Book Antiqua" w:hAnsi="Book Antiqua"/>
          <w:lang w:val="en-US"/>
        </w:rPr>
        <w:t>)</w:t>
      </w:r>
      <w:r w:rsidR="00A629BC" w:rsidRPr="00A629BC">
        <w:rPr>
          <w:rFonts w:ascii="Book Antiqua" w:hAnsi="Book Antiqua"/>
          <w:lang w:val="en-US"/>
        </w:rPr>
        <w:t xml:space="preserve"> </w:t>
      </w:r>
      <w:r w:rsidR="00A629BC">
        <w:rPr>
          <w:rFonts w:ascii="Book Antiqua" w:hAnsi="Book Antiqua"/>
          <w:lang w:val="en-US"/>
        </w:rPr>
        <w:t>and public services (fire protection, police</w:t>
      </w:r>
      <w:proofErr w:type="gramStart"/>
      <w:r w:rsidR="00A629BC">
        <w:rPr>
          <w:rFonts w:ascii="Book Antiqua" w:hAnsi="Book Antiqua"/>
          <w:lang w:val="en-US"/>
        </w:rPr>
        <w:t>,…</w:t>
      </w:r>
      <w:proofErr w:type="gramEnd"/>
      <w:r w:rsidR="00A629BC">
        <w:rPr>
          <w:rFonts w:ascii="Book Antiqua" w:hAnsi="Book Antiqua"/>
          <w:lang w:val="en-US"/>
        </w:rPr>
        <w:t xml:space="preserve">). It is claimed by for example </w:t>
      </w:r>
      <w:proofErr w:type="spellStart"/>
      <w:r w:rsidR="00A629BC">
        <w:rPr>
          <w:rFonts w:ascii="Book Antiqua" w:hAnsi="Book Antiqua"/>
          <w:lang w:val="en-US"/>
        </w:rPr>
        <w:t>Thisse</w:t>
      </w:r>
      <w:proofErr w:type="spellEnd"/>
      <w:r w:rsidR="00A629BC">
        <w:rPr>
          <w:rFonts w:ascii="Book Antiqua" w:hAnsi="Book Antiqua"/>
          <w:lang w:val="en-US"/>
        </w:rPr>
        <w:t xml:space="preserve"> et al (1999) that </w:t>
      </w:r>
      <w:r w:rsidR="00916A71">
        <w:rPr>
          <w:rFonts w:ascii="Book Antiqua" w:hAnsi="Book Antiqua"/>
          <w:lang w:val="en-US"/>
        </w:rPr>
        <w:t xml:space="preserve">the presence of </w:t>
      </w:r>
      <w:r w:rsidR="00A629BC">
        <w:rPr>
          <w:rFonts w:ascii="Book Antiqua" w:hAnsi="Book Antiqua"/>
          <w:lang w:val="en-US"/>
        </w:rPr>
        <w:t xml:space="preserve">this type of </w:t>
      </w:r>
      <w:r w:rsidR="00C80A03">
        <w:rPr>
          <w:rFonts w:ascii="Book Antiqua" w:hAnsi="Book Antiqua"/>
          <w:lang w:val="en-US"/>
        </w:rPr>
        <w:t>amenities</w:t>
      </w:r>
      <w:r w:rsidR="00A629BC">
        <w:rPr>
          <w:rFonts w:ascii="Book Antiqua" w:hAnsi="Book Antiqua"/>
          <w:lang w:val="en-US"/>
        </w:rPr>
        <w:t xml:space="preserve"> in Europe leads to a higher degree of mono-centricity and </w:t>
      </w:r>
      <w:r w:rsidR="00916A71">
        <w:rPr>
          <w:rFonts w:ascii="Book Antiqua" w:hAnsi="Book Antiqua"/>
          <w:lang w:val="en-US"/>
        </w:rPr>
        <w:t xml:space="preserve">promotes </w:t>
      </w:r>
      <w:r w:rsidR="00A629BC">
        <w:rPr>
          <w:rFonts w:ascii="Book Antiqua" w:hAnsi="Book Antiqua"/>
          <w:lang w:val="en-US"/>
        </w:rPr>
        <w:t>the central location of rich household</w:t>
      </w:r>
      <w:r w:rsidR="00916A71">
        <w:rPr>
          <w:rFonts w:ascii="Book Antiqua" w:hAnsi="Book Antiqua"/>
          <w:lang w:val="en-US"/>
        </w:rPr>
        <w:t>s</w:t>
      </w:r>
      <w:r w:rsidR="00A629BC">
        <w:rPr>
          <w:rFonts w:ascii="Book Antiqua" w:hAnsi="Book Antiqua"/>
          <w:lang w:val="en-US"/>
        </w:rPr>
        <w:t xml:space="preserve">, compared to the US. </w:t>
      </w:r>
    </w:p>
    <w:p w:rsidR="00916A71" w:rsidRPr="00A629BC" w:rsidRDefault="00916A71" w:rsidP="00A629BC">
      <w:pPr>
        <w:pStyle w:val="ListParagraph"/>
        <w:numPr>
          <w:ilvl w:val="0"/>
          <w:numId w:val="29"/>
        </w:numPr>
        <w:jc w:val="both"/>
        <w:rPr>
          <w:lang w:val="en-US"/>
        </w:rPr>
      </w:pPr>
      <w:r>
        <w:rPr>
          <w:rFonts w:ascii="Book Antiqua" w:hAnsi="Book Antiqua"/>
          <w:lang w:val="en-US"/>
        </w:rPr>
        <w:t xml:space="preserve">Access to distribution services, shopping centers, </w:t>
      </w:r>
      <w:r w:rsidR="005112FA">
        <w:rPr>
          <w:rFonts w:ascii="Book Antiqua" w:hAnsi="Book Antiqua"/>
          <w:lang w:val="en-US"/>
        </w:rPr>
        <w:t>goods moving inward from ports, access to agricultural goods, transport costs of goods,… play a larger role in the location of people than commuting. Even in a city where the commuting costs are non-existent, pricing differentials can aris</w:t>
      </w:r>
      <w:r w:rsidR="00C80A03">
        <w:rPr>
          <w:rFonts w:ascii="Book Antiqua" w:hAnsi="Book Antiqua"/>
          <w:lang w:val="en-US"/>
        </w:rPr>
        <w:t xml:space="preserve">e caused by accessibility to </w:t>
      </w:r>
      <w:r w:rsidR="005112FA">
        <w:rPr>
          <w:rFonts w:ascii="Book Antiqua" w:hAnsi="Book Antiqua"/>
          <w:lang w:val="en-US"/>
        </w:rPr>
        <w:t xml:space="preserve">consumption goods. </w:t>
      </w:r>
    </w:p>
    <w:p w:rsidR="00A629BC" w:rsidRPr="008A44E6" w:rsidRDefault="00A629BC" w:rsidP="007E49A7">
      <w:pPr>
        <w:pStyle w:val="ListParagraph"/>
        <w:numPr>
          <w:ilvl w:val="0"/>
          <w:numId w:val="29"/>
        </w:numPr>
        <w:jc w:val="both"/>
        <w:rPr>
          <w:lang w:val="en-US"/>
        </w:rPr>
      </w:pPr>
      <w:r>
        <w:rPr>
          <w:rFonts w:ascii="Book Antiqua" w:hAnsi="Book Antiqua"/>
          <w:lang w:val="en-US"/>
        </w:rPr>
        <w:t xml:space="preserve">There are multiple types of consumers, with a different </w:t>
      </w:r>
      <w:proofErr w:type="gramStart"/>
      <w:r>
        <w:rPr>
          <w:rFonts w:ascii="Book Antiqua" w:hAnsi="Book Antiqua"/>
          <w:lang w:val="en-US"/>
        </w:rPr>
        <w:t>income earning</w:t>
      </w:r>
      <w:proofErr w:type="gramEnd"/>
      <w:r>
        <w:rPr>
          <w:rFonts w:ascii="Book Antiqua" w:hAnsi="Book Antiqua"/>
          <w:lang w:val="en-US"/>
        </w:rPr>
        <w:t xml:space="preserve"> characteristic. </w:t>
      </w:r>
      <w:r w:rsidR="00A7019A">
        <w:rPr>
          <w:rFonts w:ascii="Book Antiqua" w:hAnsi="Book Antiqua"/>
          <w:lang w:val="en-US"/>
        </w:rPr>
        <w:t xml:space="preserve">These consumers have access to different types of transport modes (for example public versus private transport) and hence differ in their locational preference within the city. This </w:t>
      </w:r>
      <w:proofErr w:type="gramStart"/>
      <w:r w:rsidR="00A7019A">
        <w:rPr>
          <w:rFonts w:ascii="Book Antiqua" w:hAnsi="Book Antiqua"/>
          <w:lang w:val="en-US"/>
        </w:rPr>
        <w:t>is easily extended</w:t>
      </w:r>
      <w:proofErr w:type="gramEnd"/>
      <w:r w:rsidR="00A7019A">
        <w:rPr>
          <w:rFonts w:ascii="Book Antiqua" w:hAnsi="Book Antiqua"/>
          <w:lang w:val="en-US"/>
        </w:rPr>
        <w:t xml:space="preserve"> to oth</w:t>
      </w:r>
      <w:r w:rsidR="00525ED0">
        <w:rPr>
          <w:rFonts w:ascii="Book Antiqua" w:hAnsi="Book Antiqua"/>
          <w:lang w:val="en-US"/>
        </w:rPr>
        <w:t>er parameters than only income, such as access to a more extensive social network or even racial discrimination</w:t>
      </w:r>
      <w:r w:rsidR="00A7019A">
        <w:rPr>
          <w:rFonts w:ascii="Book Antiqua" w:hAnsi="Book Antiqua"/>
          <w:lang w:val="en-US"/>
        </w:rPr>
        <w:t xml:space="preserve">. </w:t>
      </w:r>
      <w:r w:rsidR="007E49A7">
        <w:rPr>
          <w:rFonts w:ascii="Book Antiqua" w:hAnsi="Book Antiqua"/>
          <w:lang w:val="en-US"/>
        </w:rPr>
        <w:t xml:space="preserve">This </w:t>
      </w:r>
      <w:proofErr w:type="gramStart"/>
      <w:r w:rsidR="007E49A7">
        <w:rPr>
          <w:rFonts w:ascii="Book Antiqua" w:hAnsi="Book Antiqua"/>
          <w:lang w:val="en-US"/>
        </w:rPr>
        <w:t>can also be used</w:t>
      </w:r>
      <w:proofErr w:type="gramEnd"/>
      <w:r w:rsidR="007E49A7">
        <w:rPr>
          <w:rFonts w:ascii="Book Antiqua" w:hAnsi="Book Antiqua"/>
          <w:lang w:val="en-US"/>
        </w:rPr>
        <w:t xml:space="preserve"> when there</w:t>
      </w:r>
      <w:r w:rsidR="00A7019A" w:rsidRPr="007E49A7">
        <w:rPr>
          <w:rFonts w:ascii="Book Antiqua" w:hAnsi="Book Antiqua"/>
          <w:lang w:val="en-US"/>
        </w:rPr>
        <w:t xml:space="preserve"> are obvious asymmetries in income and access to information, for example in the case of unemployment. This has been treated from example in </w:t>
      </w:r>
      <w:proofErr w:type="spellStart"/>
      <w:r w:rsidR="00A7019A" w:rsidRPr="007E49A7">
        <w:rPr>
          <w:rFonts w:ascii="Book Antiqua" w:hAnsi="Book Antiqua"/>
          <w:lang w:val="en-US"/>
        </w:rPr>
        <w:t>Wrede</w:t>
      </w:r>
      <w:proofErr w:type="spellEnd"/>
      <w:r w:rsidR="00A7019A" w:rsidRPr="007E49A7">
        <w:rPr>
          <w:rFonts w:ascii="Book Antiqua" w:hAnsi="Book Antiqua"/>
          <w:lang w:val="en-US"/>
        </w:rPr>
        <w:t xml:space="preserve"> (2011) and </w:t>
      </w:r>
      <w:proofErr w:type="spellStart"/>
      <w:r w:rsidR="00A7019A" w:rsidRPr="007E49A7">
        <w:rPr>
          <w:rFonts w:ascii="Book Antiqua" w:hAnsi="Book Antiqua"/>
          <w:lang w:val="en-US"/>
        </w:rPr>
        <w:t>Zenou</w:t>
      </w:r>
      <w:proofErr w:type="spellEnd"/>
      <w:r w:rsidR="00A7019A" w:rsidRPr="007E49A7">
        <w:rPr>
          <w:rFonts w:ascii="Book Antiqua" w:hAnsi="Book Antiqua"/>
          <w:lang w:val="en-US"/>
        </w:rPr>
        <w:t xml:space="preserve"> Y. (2003, 2005,</w:t>
      </w:r>
      <w:r w:rsidR="00892BAF" w:rsidRPr="007E49A7">
        <w:rPr>
          <w:rFonts w:ascii="Book Antiqua" w:hAnsi="Book Antiqua"/>
          <w:lang w:val="en-US"/>
        </w:rPr>
        <w:t xml:space="preserve"> </w:t>
      </w:r>
      <w:proofErr w:type="gramStart"/>
      <w:r w:rsidR="00892BAF" w:rsidRPr="007E49A7">
        <w:rPr>
          <w:rFonts w:ascii="Book Antiqua" w:hAnsi="Book Antiqua"/>
          <w:lang w:val="en-US"/>
        </w:rPr>
        <w:t>2010</w:t>
      </w:r>
      <w:proofErr w:type="gramEnd"/>
      <w:r w:rsidR="00892BAF" w:rsidRPr="007E49A7">
        <w:rPr>
          <w:rFonts w:ascii="Book Antiqua" w:hAnsi="Book Antiqua"/>
          <w:lang w:val="en-US"/>
        </w:rPr>
        <w:t>).</w:t>
      </w:r>
      <w:r w:rsidR="007E49A7" w:rsidRPr="007E49A7">
        <w:rPr>
          <w:rFonts w:ascii="Book Antiqua" w:hAnsi="Book Antiqua"/>
          <w:lang w:val="en-US"/>
        </w:rPr>
        <w:t xml:space="preserve"> </w:t>
      </w:r>
    </w:p>
    <w:p w:rsidR="008A44E6" w:rsidRDefault="008A44E6">
      <w:pPr>
        <w:spacing w:before="70"/>
        <w:ind w:left="850" w:right="965"/>
        <w:rPr>
          <w:rFonts w:eastAsia="Times New Roman" w:cs="Times New Roman"/>
          <w:szCs w:val="20"/>
          <w:lang w:val="en-US" w:eastAsia="nl-NL"/>
        </w:rPr>
      </w:pPr>
      <w:r>
        <w:rPr>
          <w:lang w:val="en-US"/>
        </w:rPr>
        <w:br w:type="page"/>
      </w:r>
    </w:p>
    <w:p w:rsidR="007E49A7" w:rsidRPr="00635A93" w:rsidRDefault="003D3C09" w:rsidP="003D3C09">
      <w:pPr>
        <w:pStyle w:val="Heading1"/>
        <w:rPr>
          <w:lang w:val="en-US"/>
        </w:rPr>
      </w:pPr>
      <w:bookmarkStart w:id="13" w:name="_Toc366244926"/>
      <w:r w:rsidRPr="00A629BC">
        <w:rPr>
          <w:lang w:val="en-US"/>
        </w:rPr>
        <w:lastRenderedPageBreak/>
        <w:t>Current measures and policies in urban transport</w:t>
      </w:r>
      <w:bookmarkEnd w:id="13"/>
    </w:p>
    <w:p w:rsidR="003D3C09" w:rsidRDefault="003D3C09" w:rsidP="003D3C09">
      <w:pPr>
        <w:rPr>
          <w:lang w:val="en-US"/>
        </w:rPr>
      </w:pPr>
      <w:r>
        <w:rPr>
          <w:lang w:val="en-US"/>
        </w:rPr>
        <w:t xml:space="preserve">This section discusses current measures, policies and initiatives relating to urban transport that </w:t>
      </w:r>
      <w:proofErr w:type="gramStart"/>
      <w:r>
        <w:rPr>
          <w:lang w:val="en-US"/>
        </w:rPr>
        <w:t>are taken</w:t>
      </w:r>
      <w:proofErr w:type="gramEnd"/>
      <w:r>
        <w:rPr>
          <w:lang w:val="en-US"/>
        </w:rPr>
        <w:t xml:space="preserve"> at different institutional levels in Europe.</w:t>
      </w:r>
    </w:p>
    <w:p w:rsidR="003D3C09" w:rsidRDefault="003D3C09" w:rsidP="00255C88">
      <w:pPr>
        <w:pStyle w:val="Heading2"/>
        <w:rPr>
          <w:lang w:val="en-US"/>
        </w:rPr>
      </w:pPr>
      <w:bookmarkStart w:id="14" w:name="_Toc366244927"/>
      <w:r>
        <w:rPr>
          <w:lang w:val="en-US"/>
        </w:rPr>
        <w:t>EU level: Green paper on urban mobility and action plan</w:t>
      </w:r>
      <w:bookmarkEnd w:id="14"/>
      <w:r w:rsidR="00677402">
        <w:rPr>
          <w:lang w:val="en-US"/>
        </w:rPr>
        <w:t xml:space="preserve"> &amp; White Paper</w:t>
      </w:r>
    </w:p>
    <w:p w:rsidR="006325B2" w:rsidRDefault="00255C88" w:rsidP="006325B2">
      <w:pPr>
        <w:rPr>
          <w:lang w:val="en-US"/>
        </w:rPr>
      </w:pPr>
      <w:r>
        <w:rPr>
          <w:lang w:val="en-US"/>
        </w:rPr>
        <w:t>Over</w:t>
      </w:r>
      <w:r w:rsidR="006325B2">
        <w:rPr>
          <w:lang w:val="en-US"/>
        </w:rPr>
        <w:t xml:space="preserve"> 60% of </w:t>
      </w:r>
      <w:r w:rsidR="00F2357D">
        <w:rPr>
          <w:lang w:val="en-US"/>
        </w:rPr>
        <w:t>the European</w:t>
      </w:r>
      <w:r w:rsidR="006325B2">
        <w:rPr>
          <w:lang w:val="en-US"/>
        </w:rPr>
        <w:t xml:space="preserve"> population lives in urbanized areas and urban mobility causes around 40% of all road CO2 emissions and 70% of the other pollutants of transport</w:t>
      </w:r>
      <w:r>
        <w:rPr>
          <w:lang w:val="en-US"/>
        </w:rPr>
        <w:t xml:space="preserve"> Congestion in</w:t>
      </w:r>
      <w:r w:rsidR="009F022E">
        <w:rPr>
          <w:lang w:val="en-US"/>
        </w:rPr>
        <w:t xml:space="preserve"> and</w:t>
      </w:r>
      <w:r>
        <w:rPr>
          <w:lang w:val="en-US"/>
        </w:rPr>
        <w:t xml:space="preserve"> around urban areas is estimated to cost nearly 100 billion euros (1% of the EU GDP), an</w:t>
      </w:r>
      <w:r w:rsidR="00F2357D">
        <w:rPr>
          <w:lang w:val="en-US"/>
        </w:rPr>
        <w:t>nually. The EC</w:t>
      </w:r>
      <w:r>
        <w:rPr>
          <w:lang w:val="en-US"/>
        </w:rPr>
        <w:t xml:space="preserve"> underlines the importance of a joint framework for assessing the impact of transport on the urban environment, but refers to the city level as the base place to take concrete actions</w:t>
      </w:r>
      <w:r>
        <w:rPr>
          <w:rStyle w:val="FootnoteReference"/>
          <w:lang w:val="en-US"/>
        </w:rPr>
        <w:footnoteReference w:id="2"/>
      </w:r>
      <w:r>
        <w:rPr>
          <w:lang w:val="en-US"/>
        </w:rPr>
        <w:t>.</w:t>
      </w:r>
    </w:p>
    <w:p w:rsidR="00F2357D" w:rsidRDefault="00F2357D" w:rsidP="00F2357D">
      <w:pPr>
        <w:rPr>
          <w:lang w:val="en-US"/>
        </w:rPr>
      </w:pPr>
      <w:r>
        <w:rPr>
          <w:lang w:val="en-US"/>
        </w:rPr>
        <w:t xml:space="preserve">In 2009, the European Commission adopted the EU level action plan on urban mobility (EC, COM/2009/0490 final). The European Commission places itself mainly as a supporter of innovation in urban policy, providing stimulus and facilitating communication between the actors. Significant funding </w:t>
      </w:r>
      <w:proofErr w:type="gramStart"/>
      <w:r>
        <w:rPr>
          <w:lang w:val="en-US"/>
        </w:rPr>
        <w:t>is provided</w:t>
      </w:r>
      <w:proofErr w:type="gramEnd"/>
      <w:r>
        <w:rPr>
          <w:lang w:val="en-US"/>
        </w:rPr>
        <w:t xml:space="preserve"> through the Structural and Cohesion Funds, of which urban policy is an extension. </w:t>
      </w:r>
    </w:p>
    <w:p w:rsidR="00F2357D" w:rsidRDefault="00F2357D" w:rsidP="00F2357D">
      <w:pPr>
        <w:rPr>
          <w:lang w:val="en-US"/>
        </w:rPr>
      </w:pPr>
      <w:r>
        <w:rPr>
          <w:lang w:val="en-US"/>
        </w:rPr>
        <w:t>The plan</w:t>
      </w:r>
      <w:r w:rsidR="00677402">
        <w:rPr>
          <w:lang w:val="en-US"/>
        </w:rPr>
        <w:t xml:space="preserve"> </w:t>
      </w:r>
      <w:r>
        <w:rPr>
          <w:lang w:val="en-US"/>
        </w:rPr>
        <w:t xml:space="preserve">is built around </w:t>
      </w:r>
      <w:proofErr w:type="gramStart"/>
      <w:r>
        <w:rPr>
          <w:lang w:val="en-US"/>
        </w:rPr>
        <w:t>6</w:t>
      </w:r>
      <w:proofErr w:type="gramEnd"/>
      <w:r>
        <w:rPr>
          <w:lang w:val="en-US"/>
        </w:rPr>
        <w:t xml:space="preserve"> themes.</w:t>
      </w:r>
    </w:p>
    <w:p w:rsidR="00255C88" w:rsidRPr="008D5FA1" w:rsidRDefault="008D5FA1" w:rsidP="00255C88">
      <w:pPr>
        <w:pStyle w:val="ListParagraph"/>
        <w:numPr>
          <w:ilvl w:val="0"/>
          <w:numId w:val="31"/>
        </w:numPr>
        <w:rPr>
          <w:rFonts w:ascii="Book Antiqua" w:hAnsi="Book Antiqua"/>
          <w:lang w:val="en-US"/>
        </w:rPr>
      </w:pPr>
      <w:r w:rsidRPr="008D5FA1">
        <w:rPr>
          <w:rFonts w:ascii="Book Antiqua" w:hAnsi="Book Antiqua"/>
          <w:lang w:val="en-US"/>
        </w:rPr>
        <w:t xml:space="preserve">Theme 1: </w:t>
      </w:r>
      <w:r w:rsidR="00255C88" w:rsidRPr="008D5FA1">
        <w:rPr>
          <w:rFonts w:ascii="Book Antiqua" w:hAnsi="Book Antiqua"/>
          <w:lang w:val="en-US"/>
        </w:rPr>
        <w:t>Promoting integrated policies</w:t>
      </w:r>
    </w:p>
    <w:p w:rsidR="00255C88" w:rsidRPr="008D5FA1" w:rsidRDefault="008D5FA1" w:rsidP="00255C88">
      <w:pPr>
        <w:pStyle w:val="ListParagraph"/>
        <w:numPr>
          <w:ilvl w:val="0"/>
          <w:numId w:val="31"/>
        </w:numPr>
        <w:rPr>
          <w:rFonts w:ascii="Book Antiqua" w:hAnsi="Book Antiqua"/>
          <w:lang w:val="en-US"/>
        </w:rPr>
      </w:pPr>
      <w:r w:rsidRPr="008D5FA1">
        <w:rPr>
          <w:rFonts w:ascii="Book Antiqua" w:hAnsi="Book Antiqua"/>
          <w:lang w:val="en-US"/>
        </w:rPr>
        <w:t>Theme 2: Focusing on citizens</w:t>
      </w:r>
    </w:p>
    <w:p w:rsidR="008D5FA1" w:rsidRPr="008D5FA1" w:rsidRDefault="008D5FA1" w:rsidP="00255C88">
      <w:pPr>
        <w:pStyle w:val="ListParagraph"/>
        <w:numPr>
          <w:ilvl w:val="0"/>
          <w:numId w:val="31"/>
        </w:numPr>
        <w:rPr>
          <w:rFonts w:ascii="Book Antiqua" w:hAnsi="Book Antiqua"/>
          <w:lang w:val="en-US"/>
        </w:rPr>
      </w:pPr>
      <w:r w:rsidRPr="008D5FA1">
        <w:rPr>
          <w:rFonts w:ascii="Book Antiqua" w:hAnsi="Book Antiqua"/>
          <w:lang w:val="en-US"/>
        </w:rPr>
        <w:t xml:space="preserve">Theme 3: Greening urban transport </w:t>
      </w:r>
    </w:p>
    <w:p w:rsidR="008D5FA1" w:rsidRPr="008D5FA1" w:rsidRDefault="008D5FA1" w:rsidP="00255C88">
      <w:pPr>
        <w:pStyle w:val="ListParagraph"/>
        <w:numPr>
          <w:ilvl w:val="0"/>
          <w:numId w:val="31"/>
        </w:numPr>
        <w:rPr>
          <w:rFonts w:ascii="Book Antiqua" w:hAnsi="Book Antiqua"/>
          <w:lang w:val="en-US"/>
        </w:rPr>
      </w:pPr>
      <w:r w:rsidRPr="008D5FA1">
        <w:rPr>
          <w:rFonts w:ascii="Book Antiqua" w:hAnsi="Book Antiqua"/>
          <w:lang w:val="en-US"/>
        </w:rPr>
        <w:t>Theme 4: Strengthening funding</w:t>
      </w:r>
    </w:p>
    <w:p w:rsidR="008D5FA1" w:rsidRPr="008D5FA1" w:rsidRDefault="008D5FA1" w:rsidP="00255C88">
      <w:pPr>
        <w:pStyle w:val="ListParagraph"/>
        <w:numPr>
          <w:ilvl w:val="0"/>
          <w:numId w:val="31"/>
        </w:numPr>
        <w:rPr>
          <w:rFonts w:ascii="Book Antiqua" w:hAnsi="Book Antiqua"/>
          <w:lang w:val="en-US"/>
        </w:rPr>
      </w:pPr>
      <w:r w:rsidRPr="008D5FA1">
        <w:rPr>
          <w:rFonts w:ascii="Book Antiqua" w:hAnsi="Book Antiqua"/>
          <w:lang w:val="en-US"/>
        </w:rPr>
        <w:t>Theme 5: Sharing experience and knowledge</w:t>
      </w:r>
    </w:p>
    <w:p w:rsidR="008D5FA1" w:rsidRPr="008D5FA1" w:rsidRDefault="008D5FA1" w:rsidP="00255C88">
      <w:pPr>
        <w:pStyle w:val="ListParagraph"/>
        <w:numPr>
          <w:ilvl w:val="0"/>
          <w:numId w:val="31"/>
        </w:numPr>
        <w:rPr>
          <w:rFonts w:ascii="Book Antiqua" w:hAnsi="Book Antiqua"/>
          <w:lang w:val="en-US"/>
        </w:rPr>
      </w:pPr>
      <w:r w:rsidRPr="008D5FA1">
        <w:rPr>
          <w:rFonts w:ascii="Book Antiqua" w:hAnsi="Book Antiqua"/>
          <w:lang w:val="en-US"/>
        </w:rPr>
        <w:t>Theme 6 Optimizing urban mobility</w:t>
      </w:r>
    </w:p>
    <w:p w:rsidR="00677402" w:rsidRDefault="00B5112A" w:rsidP="00403298">
      <w:pPr>
        <w:rPr>
          <w:lang w:val="en-US"/>
        </w:rPr>
      </w:pPr>
      <w:r>
        <w:rPr>
          <w:lang w:val="en-US"/>
        </w:rPr>
        <w:t>In the EC White Paper (</w:t>
      </w:r>
      <w:r w:rsidR="00677402">
        <w:rPr>
          <w:lang w:val="en-US"/>
        </w:rPr>
        <w:t xml:space="preserve">2011), the focus is on an integrated urban mobility. This concerns three concrete </w:t>
      </w:r>
      <w:r>
        <w:rPr>
          <w:lang w:val="en-US"/>
        </w:rPr>
        <w:t xml:space="preserve">measures, based </w:t>
      </w:r>
      <w:r w:rsidR="00677402">
        <w:rPr>
          <w:lang w:val="en-US"/>
        </w:rPr>
        <w:t>on the green paper on urban mobility.</w:t>
      </w:r>
    </w:p>
    <w:p w:rsidR="00677402" w:rsidRPr="00677402" w:rsidRDefault="00677402" w:rsidP="00677402">
      <w:pPr>
        <w:pStyle w:val="ListParagraph"/>
        <w:numPr>
          <w:ilvl w:val="0"/>
          <w:numId w:val="42"/>
        </w:numPr>
        <w:rPr>
          <w:rFonts w:ascii="Book Antiqua" w:hAnsi="Book Antiqua"/>
          <w:lang w:val="en-US"/>
        </w:rPr>
      </w:pPr>
      <w:r w:rsidRPr="00677402">
        <w:rPr>
          <w:rFonts w:ascii="Book Antiqua" w:hAnsi="Book Antiqua"/>
          <w:b/>
          <w:lang w:val="en-US"/>
        </w:rPr>
        <w:t>Establishing urban mobility plans</w:t>
      </w:r>
      <w:r w:rsidRPr="00677402">
        <w:rPr>
          <w:rFonts w:ascii="Book Antiqua" w:hAnsi="Book Antiqua"/>
          <w:lang w:val="en-US"/>
        </w:rPr>
        <w:t>, with independently validated Urban Mobility Performance and Sustainability certificates. These plans can be the basis for assigning regional development and cohesion funds.</w:t>
      </w:r>
    </w:p>
    <w:p w:rsidR="00677402" w:rsidRDefault="00677402" w:rsidP="00677402">
      <w:pPr>
        <w:pStyle w:val="ListParagraph"/>
        <w:numPr>
          <w:ilvl w:val="0"/>
          <w:numId w:val="42"/>
        </w:numPr>
        <w:rPr>
          <w:rFonts w:ascii="Book Antiqua" w:hAnsi="Book Antiqua"/>
          <w:lang w:val="en-US"/>
        </w:rPr>
      </w:pPr>
      <w:r w:rsidRPr="00677402">
        <w:rPr>
          <w:rFonts w:ascii="Book Antiqua" w:hAnsi="Book Antiqua"/>
          <w:b/>
          <w:lang w:val="en-US"/>
        </w:rPr>
        <w:t>Establish an EU framework for urban road user charging</w:t>
      </w:r>
      <w:r w:rsidR="00BB217D">
        <w:rPr>
          <w:rFonts w:ascii="Book Antiqua" w:hAnsi="Book Antiqua"/>
          <w:b/>
          <w:lang w:val="en-US"/>
        </w:rPr>
        <w:t xml:space="preserve">: </w:t>
      </w:r>
      <w:r w:rsidR="00BB217D">
        <w:rPr>
          <w:rFonts w:ascii="Book Antiqua" w:hAnsi="Book Antiqua"/>
          <w:lang w:val="en-US"/>
        </w:rPr>
        <w:t>this would be a legally valid framework of access restrictions and road charging.</w:t>
      </w:r>
    </w:p>
    <w:p w:rsidR="00BB217D" w:rsidRPr="00BB217D" w:rsidRDefault="00BB217D" w:rsidP="00677402">
      <w:pPr>
        <w:pStyle w:val="ListParagraph"/>
        <w:numPr>
          <w:ilvl w:val="0"/>
          <w:numId w:val="42"/>
        </w:numPr>
        <w:rPr>
          <w:rFonts w:ascii="Book Antiqua" w:hAnsi="Book Antiqua"/>
          <w:b/>
          <w:lang w:val="en-US"/>
        </w:rPr>
      </w:pPr>
      <w:r w:rsidRPr="00BB217D">
        <w:rPr>
          <w:rFonts w:ascii="Book Antiqua" w:hAnsi="Book Antiqua"/>
          <w:b/>
          <w:lang w:val="en-US"/>
        </w:rPr>
        <w:t>A strategy for near zero e</w:t>
      </w:r>
      <w:r>
        <w:rPr>
          <w:rFonts w:ascii="Book Antiqua" w:hAnsi="Book Antiqua"/>
          <w:b/>
          <w:lang w:val="en-US"/>
        </w:rPr>
        <w:t xml:space="preserve">mission urban logistics in 2030: </w:t>
      </w:r>
      <w:r>
        <w:rPr>
          <w:rFonts w:ascii="Book Antiqua" w:hAnsi="Book Antiqua"/>
          <w:lang w:val="en-US"/>
        </w:rPr>
        <w:t>guidelines to manage urban freight flows, regulatory limitations, charging zones (LEZ)</w:t>
      </w:r>
    </w:p>
    <w:p w:rsidR="00403298" w:rsidRDefault="00403298" w:rsidP="00403298">
      <w:pPr>
        <w:rPr>
          <w:lang w:val="en-US"/>
        </w:rPr>
      </w:pPr>
      <w:r w:rsidRPr="00403298">
        <w:rPr>
          <w:lang w:val="en-US"/>
        </w:rPr>
        <w:lastRenderedPageBreak/>
        <w:t xml:space="preserve">The action plan under theme 2 and theme 3, proposes a number of measures to reduce the environmental cost of transport, some of which </w:t>
      </w:r>
      <w:proofErr w:type="gramStart"/>
      <w:r w:rsidRPr="00403298">
        <w:rPr>
          <w:lang w:val="en-US"/>
        </w:rPr>
        <w:t>were also treated</w:t>
      </w:r>
      <w:proofErr w:type="gramEnd"/>
      <w:r w:rsidRPr="00403298">
        <w:rPr>
          <w:lang w:val="en-US"/>
        </w:rPr>
        <w:t xml:space="preserve"> within D15.1 and D15.2 of the NEUJOBS project. </w:t>
      </w:r>
      <w:r w:rsidR="001F2AE4">
        <w:rPr>
          <w:lang w:val="en-US"/>
        </w:rPr>
        <w:t>The</w:t>
      </w:r>
      <w:r w:rsidR="008743A6">
        <w:rPr>
          <w:lang w:val="en-US"/>
        </w:rPr>
        <w:t xml:space="preserve"> match between the action plan and the policy scenarios </w:t>
      </w:r>
      <w:proofErr w:type="gramStart"/>
      <w:r w:rsidR="008743A6">
        <w:rPr>
          <w:lang w:val="en-US"/>
        </w:rPr>
        <w:t>is presented</w:t>
      </w:r>
      <w:proofErr w:type="gramEnd"/>
      <w:r w:rsidR="008743A6">
        <w:rPr>
          <w:lang w:val="en-US"/>
        </w:rPr>
        <w:t xml:space="preserve"> in </w:t>
      </w:r>
      <w:r w:rsidR="008743A6">
        <w:rPr>
          <w:lang w:val="en-US"/>
        </w:rPr>
        <w:fldChar w:fldCharType="begin"/>
      </w:r>
      <w:r w:rsidR="008743A6">
        <w:rPr>
          <w:lang w:val="en-US"/>
        </w:rPr>
        <w:instrText xml:space="preserve"> REF _Ref360470612 \h </w:instrText>
      </w:r>
      <w:r w:rsidR="008743A6">
        <w:rPr>
          <w:lang w:val="en-US"/>
        </w:rPr>
      </w:r>
      <w:r w:rsidR="008743A6">
        <w:rPr>
          <w:lang w:val="en-US"/>
        </w:rPr>
        <w:fldChar w:fldCharType="separate"/>
      </w:r>
      <w:r w:rsidR="0013270A">
        <w:t xml:space="preserve">Table </w:t>
      </w:r>
      <w:r w:rsidR="0013270A">
        <w:rPr>
          <w:noProof/>
        </w:rPr>
        <w:t>2</w:t>
      </w:r>
      <w:r w:rsidR="008743A6">
        <w:rPr>
          <w:lang w:val="en-US"/>
        </w:rPr>
        <w:fldChar w:fldCharType="end"/>
      </w:r>
      <w:r w:rsidR="008743A6">
        <w:rPr>
          <w:lang w:val="en-US"/>
        </w:rPr>
        <w:t>.</w:t>
      </w:r>
    </w:p>
    <w:p w:rsidR="001F2AE4" w:rsidRPr="00403298" w:rsidRDefault="001F2AE4" w:rsidP="001F2AE4">
      <w:pPr>
        <w:rPr>
          <w:lang w:val="en-US"/>
        </w:rPr>
      </w:pPr>
      <w:r w:rsidRPr="00403298">
        <w:rPr>
          <w:lang w:val="en-US"/>
        </w:rPr>
        <w:t>Under theme 2, these are related to</w:t>
      </w:r>
      <w:r>
        <w:rPr>
          <w:lang w:val="en-US"/>
        </w:rPr>
        <w:t xml:space="preserve"> passenger rights (Action 4) and accessibility for all citizens (Action 5)</w:t>
      </w:r>
      <w:r w:rsidRPr="00403298">
        <w:rPr>
          <w:lang w:val="en-US"/>
        </w:rPr>
        <w:t xml:space="preserve">. Under theme 3, actions </w:t>
      </w:r>
      <w:proofErr w:type="gramStart"/>
      <w:r w:rsidRPr="00403298">
        <w:rPr>
          <w:lang w:val="en-US"/>
        </w:rPr>
        <w:t>are focused</w:t>
      </w:r>
      <w:proofErr w:type="gramEnd"/>
      <w:r w:rsidRPr="00403298">
        <w:rPr>
          <w:lang w:val="en-US"/>
        </w:rPr>
        <w:t xml:space="preserve"> mainly on promoting clean vehicles and pricing. Supporting research into lower zero emission vehicles, such as electric vehicles (Action 10) and an internet guide on efficient vehicles (Action 11). Pricing actions </w:t>
      </w:r>
      <w:proofErr w:type="gramStart"/>
      <w:r w:rsidRPr="00403298">
        <w:rPr>
          <w:lang w:val="en-US"/>
        </w:rPr>
        <w:t>are:</w:t>
      </w:r>
      <w:proofErr w:type="gramEnd"/>
      <w:r w:rsidRPr="00403298">
        <w:rPr>
          <w:lang w:val="en-US"/>
        </w:rPr>
        <w:t xml:space="preserve"> internalization of external costs (Action 12) and exchange of urban pricing schemes (Action 13). Under theme 4, this </w:t>
      </w:r>
      <w:proofErr w:type="gramStart"/>
      <w:r w:rsidRPr="00403298">
        <w:rPr>
          <w:lang w:val="en-US"/>
        </w:rPr>
        <w:t>is confirmed</w:t>
      </w:r>
      <w:proofErr w:type="gramEnd"/>
      <w:r w:rsidRPr="00403298">
        <w:rPr>
          <w:lang w:val="en-US"/>
        </w:rPr>
        <w:t xml:space="preserve"> again by maintaining support of the programs STEER and URBACT (Action 14) as well as the successful CIVITAS program (Action 15). </w:t>
      </w:r>
    </w:p>
    <w:p w:rsidR="001F2AE4" w:rsidRDefault="001F2AE4" w:rsidP="001F2AE4">
      <w:pPr>
        <w:rPr>
          <w:lang w:val="en-US"/>
        </w:rPr>
      </w:pPr>
      <w:r w:rsidRPr="00403298">
        <w:rPr>
          <w:lang w:val="en-US"/>
        </w:rPr>
        <w:t xml:space="preserve">Under theme 6, the main actions </w:t>
      </w:r>
      <w:proofErr w:type="gramStart"/>
      <w:r w:rsidRPr="00403298">
        <w:rPr>
          <w:lang w:val="en-US"/>
        </w:rPr>
        <w:t>are related</w:t>
      </w:r>
      <w:proofErr w:type="gramEnd"/>
      <w:r w:rsidRPr="00403298">
        <w:rPr>
          <w:lang w:val="en-US"/>
        </w:rPr>
        <w:t xml:space="preserve"> to supporting research in urban freight transport planning (Action 19) and the use of the new Galileo system for transport purposes (Action 20). </w:t>
      </w:r>
      <w:r>
        <w:rPr>
          <w:lang w:val="en-US"/>
        </w:rPr>
        <w:t xml:space="preserve"> </w:t>
      </w:r>
    </w:p>
    <w:p w:rsidR="00403298" w:rsidRDefault="001F2AE4" w:rsidP="001F2AE4">
      <w:pPr>
        <w:pStyle w:val="Caption"/>
        <w:rPr>
          <w:lang w:val="en-US"/>
        </w:rPr>
      </w:pPr>
      <w:bookmarkStart w:id="15" w:name="_Ref360470612"/>
      <w:bookmarkStart w:id="16" w:name="_Toc373136639"/>
      <w:r>
        <w:t xml:space="preserve">Table </w:t>
      </w:r>
      <w:r>
        <w:fldChar w:fldCharType="begin"/>
      </w:r>
      <w:r>
        <w:instrText xml:space="preserve"> SEQ Table \* ARABIC </w:instrText>
      </w:r>
      <w:r>
        <w:fldChar w:fldCharType="separate"/>
      </w:r>
      <w:r w:rsidR="0013270A">
        <w:rPr>
          <w:noProof/>
        </w:rPr>
        <w:t>2</w:t>
      </w:r>
      <w:r>
        <w:fldChar w:fldCharType="end"/>
      </w:r>
      <w:bookmarkEnd w:id="15"/>
      <w:r>
        <w:t>: Match between policy scenarios treated in D15.2 and the EU action plan on urban mobility</w:t>
      </w:r>
      <w:bookmarkEnd w:id="16"/>
    </w:p>
    <w:tbl>
      <w:tblPr>
        <w:tblStyle w:val="TableGrid"/>
        <w:tblW w:w="0" w:type="auto"/>
        <w:tblLook w:val="04A0" w:firstRow="1" w:lastRow="0" w:firstColumn="1" w:lastColumn="0" w:noHBand="0" w:noVBand="1"/>
      </w:tblPr>
      <w:tblGrid>
        <w:gridCol w:w="676"/>
        <w:gridCol w:w="2977"/>
        <w:gridCol w:w="4683"/>
      </w:tblGrid>
      <w:tr w:rsidR="00403298" w:rsidRPr="002172E5" w:rsidTr="00403298">
        <w:trPr>
          <w:trHeight w:val="529"/>
        </w:trPr>
        <w:tc>
          <w:tcPr>
            <w:tcW w:w="676" w:type="dxa"/>
            <w:shd w:val="clear" w:color="auto" w:fill="C4BC96" w:themeFill="background2" w:themeFillShade="BF"/>
          </w:tcPr>
          <w:p w:rsidR="00403298" w:rsidRDefault="00403298" w:rsidP="00F54F04">
            <w:pPr>
              <w:rPr>
                <w:b/>
              </w:rPr>
            </w:pPr>
          </w:p>
        </w:tc>
        <w:tc>
          <w:tcPr>
            <w:tcW w:w="2977" w:type="dxa"/>
            <w:shd w:val="clear" w:color="auto" w:fill="C4BC96" w:themeFill="background2" w:themeFillShade="BF"/>
          </w:tcPr>
          <w:p w:rsidR="00403298" w:rsidRPr="002172E5" w:rsidRDefault="00403298" w:rsidP="00403298">
            <w:pPr>
              <w:rPr>
                <w:b/>
              </w:rPr>
            </w:pPr>
            <w:r>
              <w:rPr>
                <w:b/>
              </w:rPr>
              <w:t xml:space="preserve">Policy scenarios in D15.2 </w:t>
            </w:r>
          </w:p>
        </w:tc>
        <w:tc>
          <w:tcPr>
            <w:tcW w:w="4683" w:type="dxa"/>
            <w:shd w:val="clear" w:color="auto" w:fill="C4BC96" w:themeFill="background2" w:themeFillShade="BF"/>
          </w:tcPr>
          <w:p w:rsidR="00403298" w:rsidRDefault="00403298" w:rsidP="00403298">
            <w:pPr>
              <w:rPr>
                <w:b/>
              </w:rPr>
            </w:pPr>
            <w:r>
              <w:rPr>
                <w:b/>
              </w:rPr>
              <w:t>EU policy under action plan</w:t>
            </w:r>
          </w:p>
        </w:tc>
      </w:tr>
      <w:tr w:rsidR="00403298" w:rsidTr="00403298">
        <w:trPr>
          <w:trHeight w:val="244"/>
        </w:trPr>
        <w:tc>
          <w:tcPr>
            <w:tcW w:w="676" w:type="dxa"/>
          </w:tcPr>
          <w:p w:rsidR="00403298" w:rsidRDefault="00807614" w:rsidP="00F54F04">
            <w:r>
              <w:t>1&amp;</w:t>
            </w:r>
            <w:r w:rsidR="001F2AE4">
              <w:t>2</w:t>
            </w:r>
          </w:p>
        </w:tc>
        <w:tc>
          <w:tcPr>
            <w:tcW w:w="2977" w:type="dxa"/>
          </w:tcPr>
          <w:p w:rsidR="00403298" w:rsidRDefault="00807614" w:rsidP="00807614">
            <w:r>
              <w:t>(Fuel) efficiency</w:t>
            </w:r>
          </w:p>
        </w:tc>
        <w:tc>
          <w:tcPr>
            <w:tcW w:w="4683" w:type="dxa"/>
          </w:tcPr>
          <w:p w:rsidR="00403298" w:rsidRDefault="00403298" w:rsidP="00F54F04">
            <w:pPr>
              <w:rPr>
                <w:lang w:val="en-US"/>
              </w:rPr>
            </w:pPr>
            <w:r>
              <w:rPr>
                <w:lang w:val="en-US"/>
              </w:rPr>
              <w:t>D</w:t>
            </w:r>
            <w:r w:rsidRPr="00403298">
              <w:rPr>
                <w:lang w:val="en-US"/>
              </w:rPr>
              <w:t>riving education</w:t>
            </w:r>
            <w:r>
              <w:rPr>
                <w:lang w:val="en-US"/>
              </w:rPr>
              <w:t xml:space="preserve"> for more efficiency</w:t>
            </w:r>
            <w:r w:rsidRPr="00403298">
              <w:rPr>
                <w:lang w:val="en-US"/>
              </w:rPr>
              <w:t xml:space="preserve"> (Action 9)</w:t>
            </w:r>
          </w:p>
          <w:p w:rsidR="000A7EDB" w:rsidRDefault="000A7EDB" w:rsidP="000A7EDB">
            <w:pPr>
              <w:jc w:val="left"/>
            </w:pPr>
            <w:r>
              <w:t>Low and z</w:t>
            </w:r>
            <w:r w:rsidR="006A140C">
              <w:t>ero emission vehicles (Action 10</w:t>
            </w:r>
            <w:r>
              <w:t>)</w:t>
            </w:r>
          </w:p>
          <w:p w:rsidR="006A140C" w:rsidRDefault="006A140C" w:rsidP="000A7EDB">
            <w:pPr>
              <w:jc w:val="left"/>
            </w:pPr>
            <w:r>
              <w:t>Internet guide on clean vehicles (Action 11)</w:t>
            </w:r>
          </w:p>
        </w:tc>
      </w:tr>
      <w:tr w:rsidR="00403298" w:rsidTr="00403298">
        <w:trPr>
          <w:trHeight w:val="746"/>
        </w:trPr>
        <w:tc>
          <w:tcPr>
            <w:tcW w:w="676" w:type="dxa"/>
          </w:tcPr>
          <w:p w:rsidR="00403298" w:rsidRDefault="001F2AE4" w:rsidP="00F54F04">
            <w:pPr>
              <w:jc w:val="left"/>
            </w:pPr>
            <w:r>
              <w:t>3</w:t>
            </w:r>
          </w:p>
        </w:tc>
        <w:tc>
          <w:tcPr>
            <w:tcW w:w="2977" w:type="dxa"/>
          </w:tcPr>
          <w:p w:rsidR="00403298" w:rsidRDefault="00403298" w:rsidP="00F54F04">
            <w:pPr>
              <w:jc w:val="left"/>
            </w:pPr>
            <w:r>
              <w:t xml:space="preserve">Electrification of transport </w:t>
            </w:r>
          </w:p>
        </w:tc>
        <w:tc>
          <w:tcPr>
            <w:tcW w:w="4683" w:type="dxa"/>
          </w:tcPr>
          <w:p w:rsidR="00403298" w:rsidRDefault="00A971F4" w:rsidP="00F54F04">
            <w:pPr>
              <w:jc w:val="left"/>
            </w:pPr>
            <w:r>
              <w:t>Low and z</w:t>
            </w:r>
            <w:r w:rsidR="006A140C">
              <w:t>ero emission vehicles (Action 10</w:t>
            </w:r>
            <w:r>
              <w:t>)</w:t>
            </w:r>
          </w:p>
          <w:p w:rsidR="00A971F4" w:rsidRDefault="000A7EDB" w:rsidP="00F54F04">
            <w:pPr>
              <w:jc w:val="left"/>
            </w:pPr>
            <w:r>
              <w:t>Support for STEER project (Action 14)</w:t>
            </w:r>
          </w:p>
        </w:tc>
      </w:tr>
      <w:tr w:rsidR="00403298" w:rsidTr="00403298">
        <w:trPr>
          <w:trHeight w:val="746"/>
        </w:trPr>
        <w:tc>
          <w:tcPr>
            <w:tcW w:w="676" w:type="dxa"/>
          </w:tcPr>
          <w:p w:rsidR="00403298" w:rsidRDefault="001F2AE4" w:rsidP="00F54F04">
            <w:pPr>
              <w:jc w:val="left"/>
            </w:pPr>
            <w:r>
              <w:t>4</w:t>
            </w:r>
          </w:p>
        </w:tc>
        <w:tc>
          <w:tcPr>
            <w:tcW w:w="2977" w:type="dxa"/>
          </w:tcPr>
          <w:p w:rsidR="00403298" w:rsidRDefault="00403298" w:rsidP="00F54F04">
            <w:pPr>
              <w:jc w:val="left"/>
            </w:pPr>
            <w:r>
              <w:t>Internalization of external costs of transport</w:t>
            </w:r>
          </w:p>
        </w:tc>
        <w:tc>
          <w:tcPr>
            <w:tcW w:w="4683" w:type="dxa"/>
          </w:tcPr>
          <w:p w:rsidR="00403298" w:rsidRDefault="00403298" w:rsidP="00F54F04">
            <w:pPr>
              <w:jc w:val="left"/>
            </w:pPr>
            <w:r>
              <w:t>Internalization of external costs in urban systems (Action 12)</w:t>
            </w:r>
          </w:p>
          <w:p w:rsidR="00403298" w:rsidRDefault="000A7EDB" w:rsidP="00F54F04">
            <w:pPr>
              <w:jc w:val="left"/>
            </w:pPr>
            <w:r>
              <w:t>Support of urban pricing schemes (Action 13)</w:t>
            </w:r>
          </w:p>
          <w:p w:rsidR="000A7EDB" w:rsidRDefault="000A7EDB" w:rsidP="00F54F04">
            <w:pPr>
              <w:jc w:val="left"/>
            </w:pPr>
          </w:p>
        </w:tc>
      </w:tr>
      <w:tr w:rsidR="00403298" w:rsidTr="00403298">
        <w:trPr>
          <w:trHeight w:val="990"/>
        </w:trPr>
        <w:tc>
          <w:tcPr>
            <w:tcW w:w="676" w:type="dxa"/>
          </w:tcPr>
          <w:p w:rsidR="00403298" w:rsidRDefault="001F2AE4" w:rsidP="00F54F04">
            <w:r>
              <w:t>5</w:t>
            </w:r>
          </w:p>
        </w:tc>
        <w:tc>
          <w:tcPr>
            <w:tcW w:w="2977" w:type="dxa"/>
          </w:tcPr>
          <w:p w:rsidR="00403298" w:rsidRDefault="00403298" w:rsidP="00F54F04">
            <w:r>
              <w:t>Reduced use of own car transport in favour of public transit and car sharing</w:t>
            </w:r>
          </w:p>
        </w:tc>
        <w:tc>
          <w:tcPr>
            <w:tcW w:w="4683" w:type="dxa"/>
          </w:tcPr>
          <w:p w:rsidR="00403298" w:rsidRDefault="00403298" w:rsidP="00403298">
            <w:pPr>
              <w:rPr>
                <w:lang w:val="en-US"/>
              </w:rPr>
            </w:pPr>
            <w:r>
              <w:rPr>
                <w:lang w:val="en-US"/>
              </w:rPr>
              <w:t>Passenger rights (Action 4)</w:t>
            </w:r>
          </w:p>
          <w:p w:rsidR="00403298" w:rsidRDefault="00403298" w:rsidP="00403298">
            <w:pPr>
              <w:rPr>
                <w:lang w:val="en-US"/>
              </w:rPr>
            </w:pPr>
            <w:r>
              <w:rPr>
                <w:lang w:val="en-US"/>
              </w:rPr>
              <w:t>Accessibility of transport for p</w:t>
            </w:r>
            <w:r w:rsidR="00A971F4">
              <w:rPr>
                <w:lang w:val="en-US"/>
              </w:rPr>
              <w:t>erso</w:t>
            </w:r>
            <w:r>
              <w:rPr>
                <w:lang w:val="en-US"/>
              </w:rPr>
              <w:t>ns with reduced mobility (Action 5)</w:t>
            </w:r>
          </w:p>
          <w:p w:rsidR="00403298" w:rsidRDefault="00A971F4" w:rsidP="00A971F4">
            <w:pPr>
              <w:rPr>
                <w:lang w:val="en-US"/>
              </w:rPr>
            </w:pPr>
            <w:r>
              <w:rPr>
                <w:lang w:val="en-US"/>
              </w:rPr>
              <w:t>Behavior for sustainable transport</w:t>
            </w:r>
            <w:r w:rsidR="00403298">
              <w:rPr>
                <w:lang w:val="en-US"/>
              </w:rPr>
              <w:t xml:space="preserve"> </w:t>
            </w:r>
            <w:r>
              <w:rPr>
                <w:lang w:val="en-US"/>
              </w:rPr>
              <w:t xml:space="preserve">use </w:t>
            </w:r>
            <w:r w:rsidR="00403298" w:rsidRPr="00403298">
              <w:rPr>
                <w:lang w:val="en-US"/>
              </w:rPr>
              <w:t xml:space="preserve">(Action 8) </w:t>
            </w:r>
          </w:p>
          <w:p w:rsidR="000A7EDB" w:rsidRDefault="000A7EDB" w:rsidP="00A971F4"/>
        </w:tc>
      </w:tr>
      <w:tr w:rsidR="00403298" w:rsidTr="00403298">
        <w:trPr>
          <w:trHeight w:val="746"/>
        </w:trPr>
        <w:tc>
          <w:tcPr>
            <w:tcW w:w="676" w:type="dxa"/>
          </w:tcPr>
          <w:p w:rsidR="00403298" w:rsidRDefault="001F2AE4" w:rsidP="00F54F04">
            <w:r>
              <w:t>6</w:t>
            </w:r>
          </w:p>
        </w:tc>
        <w:tc>
          <w:tcPr>
            <w:tcW w:w="2977" w:type="dxa"/>
          </w:tcPr>
          <w:p w:rsidR="00403298" w:rsidRDefault="00403298" w:rsidP="00F54F04">
            <w:r>
              <w:t>Increasing transport efficiency</w:t>
            </w:r>
          </w:p>
          <w:p w:rsidR="00403298" w:rsidRDefault="00403298" w:rsidP="00F54F04">
            <w:r>
              <w:t>Reduction in administrative inputs to transport (E-Freight)</w:t>
            </w:r>
          </w:p>
        </w:tc>
        <w:tc>
          <w:tcPr>
            <w:tcW w:w="4683" w:type="dxa"/>
          </w:tcPr>
          <w:p w:rsidR="00403298" w:rsidRDefault="00403298" w:rsidP="00F54F04">
            <w:r>
              <w:t>Improving travel information (Action 6)</w:t>
            </w:r>
          </w:p>
          <w:p w:rsidR="00A971F4" w:rsidRDefault="00A971F4" w:rsidP="00F54F04">
            <w:r>
              <w:t>Urban freight transport (Action 19)</w:t>
            </w:r>
          </w:p>
          <w:p w:rsidR="00A971F4" w:rsidRDefault="00A971F4" w:rsidP="00F54F04">
            <w:r>
              <w:t>Intelligent transport systems for urban mobility (Action 20)</w:t>
            </w:r>
          </w:p>
        </w:tc>
      </w:tr>
    </w:tbl>
    <w:p w:rsidR="00677402" w:rsidRDefault="00677402" w:rsidP="008D5FA1">
      <w:pPr>
        <w:rPr>
          <w:lang w:val="en-US"/>
        </w:rPr>
      </w:pPr>
    </w:p>
    <w:p w:rsidR="002343CF" w:rsidRPr="00D230BA" w:rsidRDefault="008D5FA1" w:rsidP="00D230BA">
      <w:pPr>
        <w:rPr>
          <w:lang w:val="en-US"/>
        </w:rPr>
      </w:pPr>
      <w:r>
        <w:rPr>
          <w:lang w:val="en-US"/>
        </w:rPr>
        <w:t>Analyzing the actions fa</w:t>
      </w:r>
      <w:r w:rsidRPr="00403298">
        <w:rPr>
          <w:lang w:val="en-US"/>
        </w:rPr>
        <w:t>l</w:t>
      </w:r>
      <w:r>
        <w:rPr>
          <w:lang w:val="en-US"/>
        </w:rPr>
        <w:t xml:space="preserve">ling within these themes, we see that the EC strives to accelerate the take-up of sustainable mobility in the urban transport plans. The EC refers </w:t>
      </w:r>
      <w:r w:rsidR="00D42A72">
        <w:rPr>
          <w:lang w:val="en-US"/>
        </w:rPr>
        <w:t xml:space="preserve">mainly to ‘soft and informational’ measures, such </w:t>
      </w:r>
      <w:proofErr w:type="gramStart"/>
      <w:r w:rsidR="00D42A72">
        <w:rPr>
          <w:lang w:val="en-US"/>
        </w:rPr>
        <w:t>as:</w:t>
      </w:r>
      <w:proofErr w:type="gramEnd"/>
      <w:r w:rsidR="00D42A72">
        <w:rPr>
          <w:lang w:val="en-US"/>
        </w:rPr>
        <w:t xml:space="preserve"> internet databases, exchanges between stakeholders, support to innovation, exchange of good</w:t>
      </w:r>
      <w:r w:rsidR="003F4804">
        <w:rPr>
          <w:lang w:val="en-US"/>
        </w:rPr>
        <w:t xml:space="preserve"> practices and recommendations. </w:t>
      </w:r>
      <w:r w:rsidR="00D42A72">
        <w:rPr>
          <w:lang w:val="en-US"/>
        </w:rPr>
        <w:t xml:space="preserve">The urban mobility action plan does not refer to strong commitments, other than those that fall within the Structural and Cohesion Funds. </w:t>
      </w:r>
      <w:r w:rsidR="002343CF" w:rsidRPr="002343CF">
        <w:t>Within CIVITAS</w:t>
      </w:r>
      <w:r w:rsidR="002343CF">
        <w:t xml:space="preserve"> (action 14)</w:t>
      </w:r>
      <w:r w:rsidR="002343CF" w:rsidRPr="002343CF">
        <w:t xml:space="preserve">, eight thematic categories of measures have been identified as the basic building blocks of an integrated strategy for sustainable mobility. These </w:t>
      </w:r>
      <w:r w:rsidR="002343CF" w:rsidRPr="002343CF">
        <w:lastRenderedPageBreak/>
        <w:t>building blocks put in place a planning framework, guarantee political involvement and establish partnerships. Each city chooses a set of mobility solutions from these building blocks according to their local priorities.</w:t>
      </w:r>
    </w:p>
    <w:p w:rsidR="002343CF" w:rsidRPr="002343CF" w:rsidRDefault="002343CF" w:rsidP="00D230BA">
      <w:pPr>
        <w:pStyle w:val="ListParagraph"/>
        <w:numPr>
          <w:ilvl w:val="0"/>
          <w:numId w:val="35"/>
        </w:numPr>
        <w:spacing w:before="100" w:beforeAutospacing="1" w:after="100" w:afterAutospacing="1"/>
        <w:jc w:val="both"/>
        <w:rPr>
          <w:rFonts w:ascii="Book Antiqua" w:hAnsi="Book Antiqua"/>
        </w:rPr>
      </w:pPr>
      <w:r w:rsidRPr="00552A00">
        <w:rPr>
          <w:rFonts w:ascii="Book Antiqua" w:hAnsi="Book Antiqua"/>
          <w:b/>
        </w:rPr>
        <w:t>Clean fuels and vehicles</w:t>
      </w:r>
      <w:r w:rsidR="00552A00">
        <w:rPr>
          <w:rFonts w:ascii="Book Antiqua" w:hAnsi="Book Antiqua"/>
          <w:szCs w:val="22"/>
        </w:rPr>
        <w:t>: promoting hybrid private and public vehicles, increase penetration of electric vehicles and improving fuel economy</w:t>
      </w:r>
    </w:p>
    <w:p w:rsidR="002343CF" w:rsidRPr="00552A00" w:rsidRDefault="002343CF" w:rsidP="00D230BA">
      <w:pPr>
        <w:pStyle w:val="ListParagraph"/>
        <w:numPr>
          <w:ilvl w:val="0"/>
          <w:numId w:val="35"/>
        </w:numPr>
        <w:spacing w:before="100" w:beforeAutospacing="1" w:after="100" w:afterAutospacing="1"/>
        <w:jc w:val="both"/>
        <w:rPr>
          <w:rFonts w:ascii="Book Antiqua" w:hAnsi="Book Antiqua"/>
          <w:b/>
          <w:szCs w:val="22"/>
        </w:rPr>
      </w:pPr>
      <w:r w:rsidRPr="00552A00">
        <w:rPr>
          <w:rFonts w:ascii="Book Antiqua" w:hAnsi="Book Antiqua"/>
          <w:b/>
        </w:rPr>
        <w:t>Collective passenger transport</w:t>
      </w:r>
      <w:r w:rsidR="00552A00">
        <w:rPr>
          <w:rFonts w:ascii="Book Antiqua" w:hAnsi="Book Antiqua"/>
          <w:b/>
          <w:szCs w:val="22"/>
        </w:rPr>
        <w:t>:</w:t>
      </w:r>
      <w:r w:rsidR="00552A00">
        <w:rPr>
          <w:rFonts w:ascii="Book Antiqua" w:hAnsi="Book Antiqua"/>
          <w:szCs w:val="22"/>
        </w:rPr>
        <w:t xml:space="preserve"> promoting novel strategies for collective transport, changing travel behaviour, promote and intensify public transit use</w:t>
      </w:r>
    </w:p>
    <w:p w:rsidR="002343CF" w:rsidRPr="00552A00" w:rsidRDefault="002343CF" w:rsidP="00D230BA">
      <w:pPr>
        <w:pStyle w:val="ListParagraph"/>
        <w:numPr>
          <w:ilvl w:val="0"/>
          <w:numId w:val="35"/>
        </w:numPr>
        <w:spacing w:before="100" w:beforeAutospacing="1" w:after="100" w:afterAutospacing="1"/>
        <w:jc w:val="both"/>
        <w:rPr>
          <w:rFonts w:ascii="Book Antiqua" w:hAnsi="Book Antiqua"/>
          <w:b/>
          <w:szCs w:val="22"/>
        </w:rPr>
      </w:pPr>
      <w:r w:rsidRPr="00552A00">
        <w:rPr>
          <w:rFonts w:ascii="Book Antiqua" w:hAnsi="Book Antiqua"/>
          <w:b/>
        </w:rPr>
        <w:t>Demand management strategies</w:t>
      </w:r>
      <w:r w:rsidR="00552A00">
        <w:rPr>
          <w:rFonts w:ascii="Book Antiqua" w:hAnsi="Book Antiqua"/>
          <w:b/>
          <w:szCs w:val="22"/>
        </w:rPr>
        <w:t xml:space="preserve">: </w:t>
      </w:r>
      <w:r w:rsidR="00552A00">
        <w:rPr>
          <w:rFonts w:ascii="Book Antiqua" w:hAnsi="Book Antiqua"/>
          <w:szCs w:val="22"/>
        </w:rPr>
        <w:t>urban pricing, introducing road charging, introduce low emission zones, parking permits and prices</w:t>
      </w:r>
    </w:p>
    <w:p w:rsidR="002343CF" w:rsidRPr="00552A00" w:rsidRDefault="002343CF" w:rsidP="00D230BA">
      <w:pPr>
        <w:pStyle w:val="ListParagraph"/>
        <w:numPr>
          <w:ilvl w:val="0"/>
          <w:numId w:val="35"/>
        </w:numPr>
        <w:spacing w:before="100" w:beforeAutospacing="1" w:after="100" w:afterAutospacing="1"/>
        <w:jc w:val="both"/>
        <w:rPr>
          <w:rFonts w:ascii="Book Antiqua" w:hAnsi="Book Antiqua"/>
          <w:b/>
        </w:rPr>
      </w:pPr>
      <w:r w:rsidRPr="00552A00">
        <w:rPr>
          <w:rFonts w:ascii="Book Antiqua" w:hAnsi="Book Antiqua"/>
          <w:b/>
        </w:rPr>
        <w:t>Mobility management</w:t>
      </w:r>
      <w:r w:rsidR="00552A00">
        <w:rPr>
          <w:rFonts w:ascii="Book Antiqua" w:hAnsi="Book Antiqua"/>
          <w:b/>
        </w:rPr>
        <w:t xml:space="preserve">: </w:t>
      </w:r>
      <w:r w:rsidR="00552A00">
        <w:rPr>
          <w:rFonts w:ascii="Book Antiqua" w:hAnsi="Book Antiqua"/>
        </w:rPr>
        <w:t>promotion of public transport, improve planning for public transit on city level, raise awareness for mobility campaigns</w:t>
      </w:r>
    </w:p>
    <w:p w:rsidR="002343CF" w:rsidRPr="00552A00" w:rsidRDefault="002343CF" w:rsidP="00D230BA">
      <w:pPr>
        <w:pStyle w:val="ListParagraph"/>
        <w:numPr>
          <w:ilvl w:val="0"/>
          <w:numId w:val="35"/>
        </w:numPr>
        <w:spacing w:before="100" w:beforeAutospacing="1" w:after="100" w:afterAutospacing="1"/>
        <w:jc w:val="both"/>
        <w:rPr>
          <w:rFonts w:ascii="Book Antiqua" w:hAnsi="Book Antiqua"/>
          <w:b/>
        </w:rPr>
      </w:pPr>
      <w:r w:rsidRPr="00552A00">
        <w:rPr>
          <w:rFonts w:ascii="Book Antiqua" w:hAnsi="Book Antiqua"/>
          <w:b/>
        </w:rPr>
        <w:t>Safety and security</w:t>
      </w:r>
      <w:r w:rsidR="00552A00">
        <w:rPr>
          <w:rFonts w:ascii="Book Antiqua" w:hAnsi="Book Antiqua"/>
          <w:b/>
        </w:rPr>
        <w:t xml:space="preserve">: </w:t>
      </w:r>
      <w:r w:rsidR="00552A00">
        <w:rPr>
          <w:rFonts w:ascii="Book Antiqua" w:hAnsi="Book Antiqua"/>
        </w:rPr>
        <w:t>security improvements in public transport, cycling, pedestrian security</w:t>
      </w:r>
    </w:p>
    <w:p w:rsidR="002343CF" w:rsidRPr="00552A00" w:rsidRDefault="002343CF" w:rsidP="00D230BA">
      <w:pPr>
        <w:pStyle w:val="ListParagraph"/>
        <w:numPr>
          <w:ilvl w:val="0"/>
          <w:numId w:val="35"/>
        </w:numPr>
        <w:spacing w:before="100" w:beforeAutospacing="1" w:after="100" w:afterAutospacing="1"/>
        <w:jc w:val="both"/>
        <w:rPr>
          <w:rFonts w:ascii="Book Antiqua" w:hAnsi="Book Antiqua"/>
          <w:b/>
          <w:szCs w:val="22"/>
        </w:rPr>
      </w:pPr>
      <w:r w:rsidRPr="00552A00">
        <w:rPr>
          <w:rFonts w:ascii="Book Antiqua" w:hAnsi="Book Antiqua"/>
          <w:b/>
        </w:rPr>
        <w:t>Car-independent lifestyles</w:t>
      </w:r>
      <w:r w:rsidR="00552A00">
        <w:rPr>
          <w:rFonts w:ascii="Book Antiqua" w:hAnsi="Book Antiqua"/>
          <w:b/>
        </w:rPr>
        <w:t xml:space="preserve">: </w:t>
      </w:r>
      <w:r w:rsidR="00552A00">
        <w:rPr>
          <w:rFonts w:ascii="Book Antiqua" w:hAnsi="Book Antiqua"/>
        </w:rPr>
        <w:t xml:space="preserve">car sharing, city bike schemes, bicycle rental </w:t>
      </w:r>
    </w:p>
    <w:p w:rsidR="002343CF" w:rsidRPr="00552A00" w:rsidRDefault="002343CF" w:rsidP="00D230BA">
      <w:pPr>
        <w:pStyle w:val="ListParagraph"/>
        <w:numPr>
          <w:ilvl w:val="0"/>
          <w:numId w:val="35"/>
        </w:numPr>
        <w:spacing w:before="100" w:beforeAutospacing="1" w:after="100" w:afterAutospacing="1"/>
        <w:jc w:val="both"/>
        <w:rPr>
          <w:rFonts w:ascii="Book Antiqua" w:hAnsi="Book Antiqua"/>
          <w:b/>
          <w:szCs w:val="22"/>
        </w:rPr>
      </w:pPr>
      <w:r w:rsidRPr="00552A00">
        <w:rPr>
          <w:rFonts w:ascii="Book Antiqua" w:hAnsi="Book Antiqua"/>
          <w:b/>
        </w:rPr>
        <w:t>Urban freight logistics</w:t>
      </w:r>
      <w:r w:rsidR="00552A00">
        <w:rPr>
          <w:rFonts w:ascii="Book Antiqua" w:hAnsi="Book Antiqua"/>
          <w:b/>
        </w:rPr>
        <w:t xml:space="preserve">: </w:t>
      </w:r>
      <w:r w:rsidR="00D230BA">
        <w:rPr>
          <w:rFonts w:ascii="Book Antiqua" w:hAnsi="Book Antiqua"/>
        </w:rPr>
        <w:t xml:space="preserve">restrictions for freight transport in cities, central delivery points for freight </w:t>
      </w:r>
    </w:p>
    <w:p w:rsidR="003D70AF" w:rsidRPr="008567F0" w:rsidRDefault="002343CF" w:rsidP="00D230BA">
      <w:pPr>
        <w:pStyle w:val="ListParagraph"/>
        <w:numPr>
          <w:ilvl w:val="0"/>
          <w:numId w:val="35"/>
        </w:numPr>
        <w:spacing w:before="100" w:beforeAutospacing="1" w:after="100" w:afterAutospacing="1"/>
        <w:jc w:val="both"/>
        <w:rPr>
          <w:rFonts w:ascii="Book Antiqua" w:hAnsi="Book Antiqua"/>
          <w:b/>
          <w:szCs w:val="22"/>
        </w:rPr>
      </w:pPr>
      <w:r w:rsidRPr="00552A00">
        <w:rPr>
          <w:rFonts w:ascii="Book Antiqua" w:hAnsi="Book Antiqua"/>
          <w:b/>
        </w:rPr>
        <w:t>Transport telematics</w:t>
      </w:r>
      <w:r w:rsidR="00D230BA">
        <w:rPr>
          <w:rFonts w:ascii="Book Antiqua" w:hAnsi="Book Antiqua"/>
          <w:b/>
        </w:rPr>
        <w:t xml:space="preserve">: </w:t>
      </w:r>
      <w:r w:rsidR="00D230BA">
        <w:rPr>
          <w:rFonts w:ascii="Book Antiqua" w:hAnsi="Book Antiqua"/>
        </w:rPr>
        <w:t>traveller information, capacity and network loads, improve network management</w:t>
      </w:r>
    </w:p>
    <w:p w:rsidR="008567F0" w:rsidRDefault="008567F0">
      <w:pPr>
        <w:spacing w:before="70"/>
        <w:ind w:left="850" w:right="965"/>
        <w:rPr>
          <w:b/>
        </w:rPr>
      </w:pPr>
      <w:r>
        <w:rPr>
          <w:b/>
        </w:rPr>
        <w:br w:type="page"/>
      </w:r>
    </w:p>
    <w:p w:rsidR="003D3C09" w:rsidRDefault="003D3C09" w:rsidP="00354E70">
      <w:pPr>
        <w:pStyle w:val="Heading2"/>
      </w:pPr>
      <w:bookmarkStart w:id="17" w:name="_Toc366244928"/>
      <w:r w:rsidRPr="00354E70">
        <w:lastRenderedPageBreak/>
        <w:t xml:space="preserve">National </w:t>
      </w:r>
      <w:r w:rsidR="00354E70" w:rsidRPr="00354E70">
        <w:t>and local level</w:t>
      </w:r>
      <w:bookmarkEnd w:id="17"/>
    </w:p>
    <w:p w:rsidR="00E95C24" w:rsidRPr="00E95C24" w:rsidRDefault="00E95C24" w:rsidP="00E95C24">
      <w:pPr>
        <w:pStyle w:val="Heading3"/>
      </w:pPr>
      <w:bookmarkStart w:id="18" w:name="_Toc366244929"/>
      <w:r>
        <w:t>Examples</w:t>
      </w:r>
      <w:r w:rsidR="008465F6">
        <w:t xml:space="preserve"> of pilot projects</w:t>
      </w:r>
      <w:r>
        <w:t xml:space="preserve"> from the NICHES</w:t>
      </w:r>
      <w:r w:rsidR="008465F6">
        <w:t xml:space="preserve"> and NICHES +</w:t>
      </w:r>
      <w:r>
        <w:t xml:space="preserve"> project</w:t>
      </w:r>
      <w:r w:rsidR="008465F6">
        <w:t>s</w:t>
      </w:r>
      <w:bookmarkEnd w:id="18"/>
    </w:p>
    <w:p w:rsidR="008D508E" w:rsidRDefault="00737819" w:rsidP="008D508E">
      <w:r>
        <w:t xml:space="preserve">The </w:t>
      </w:r>
      <w:r w:rsidR="008D508E">
        <w:t>NICHES</w:t>
      </w:r>
      <w:r>
        <w:t xml:space="preserve"> (2004-2007)</w:t>
      </w:r>
      <w:r w:rsidR="008D508E">
        <w:t xml:space="preserve"> and NICHES +</w:t>
      </w:r>
      <w:r>
        <w:t xml:space="preserve"> (2008-2011)</w:t>
      </w:r>
      <w:r w:rsidR="008D508E">
        <w:t xml:space="preserve"> project</w:t>
      </w:r>
      <w:r>
        <w:t>s collected a number of innovative practices for urban transport, that fit within an overall progress towards more sustainable cities.</w:t>
      </w:r>
      <w:r w:rsidR="00D230BA">
        <w:t xml:space="preserve"> These are also comparable with CIVITAS measures</w:t>
      </w:r>
    </w:p>
    <w:p w:rsidR="006B6327" w:rsidRDefault="006B6327" w:rsidP="006B6327">
      <w:pPr>
        <w:pStyle w:val="Caption"/>
      </w:pPr>
      <w:bookmarkStart w:id="19" w:name="_Toc373136640"/>
      <w:r>
        <w:t xml:space="preserve">Table </w:t>
      </w:r>
      <w:r>
        <w:fldChar w:fldCharType="begin"/>
      </w:r>
      <w:r>
        <w:instrText xml:space="preserve"> SEQ Table \* ARABIC </w:instrText>
      </w:r>
      <w:r>
        <w:fldChar w:fldCharType="separate"/>
      </w:r>
      <w:r w:rsidR="0013270A">
        <w:rPr>
          <w:noProof/>
        </w:rPr>
        <w:t>3</w:t>
      </w:r>
      <w:r>
        <w:fldChar w:fldCharType="end"/>
      </w:r>
      <w:r>
        <w:t>: Match between D15.2 scenarios and urban policy scenarios in the NICHES projects</w:t>
      </w:r>
      <w:bookmarkEnd w:id="19"/>
    </w:p>
    <w:tbl>
      <w:tblPr>
        <w:tblStyle w:val="TableGrid"/>
        <w:tblW w:w="0" w:type="auto"/>
        <w:tblLook w:val="04A0" w:firstRow="1" w:lastRow="0" w:firstColumn="1" w:lastColumn="0" w:noHBand="0" w:noVBand="1"/>
      </w:tblPr>
      <w:tblGrid>
        <w:gridCol w:w="676"/>
        <w:gridCol w:w="2551"/>
        <w:gridCol w:w="5109"/>
      </w:tblGrid>
      <w:tr w:rsidR="00737819" w:rsidRPr="002172E5" w:rsidTr="006B6327">
        <w:trPr>
          <w:trHeight w:val="529"/>
        </w:trPr>
        <w:tc>
          <w:tcPr>
            <w:tcW w:w="676" w:type="dxa"/>
            <w:shd w:val="clear" w:color="auto" w:fill="C4BC96" w:themeFill="background2" w:themeFillShade="BF"/>
          </w:tcPr>
          <w:p w:rsidR="00737819" w:rsidRDefault="00737819" w:rsidP="00F54F04">
            <w:pPr>
              <w:rPr>
                <w:b/>
              </w:rPr>
            </w:pPr>
          </w:p>
        </w:tc>
        <w:tc>
          <w:tcPr>
            <w:tcW w:w="2551" w:type="dxa"/>
            <w:shd w:val="clear" w:color="auto" w:fill="C4BC96" w:themeFill="background2" w:themeFillShade="BF"/>
          </w:tcPr>
          <w:p w:rsidR="00737819" w:rsidRPr="002172E5" w:rsidRDefault="00737819" w:rsidP="00F54F04">
            <w:pPr>
              <w:rPr>
                <w:b/>
              </w:rPr>
            </w:pPr>
            <w:r>
              <w:rPr>
                <w:b/>
              </w:rPr>
              <w:t xml:space="preserve">Policy scenarios in D15.2 </w:t>
            </w:r>
          </w:p>
        </w:tc>
        <w:tc>
          <w:tcPr>
            <w:tcW w:w="5109" w:type="dxa"/>
            <w:shd w:val="clear" w:color="auto" w:fill="C4BC96" w:themeFill="background2" w:themeFillShade="BF"/>
          </w:tcPr>
          <w:p w:rsidR="00737819" w:rsidRDefault="00737819" w:rsidP="00737819">
            <w:pPr>
              <w:rPr>
                <w:b/>
              </w:rPr>
            </w:pPr>
            <w:r>
              <w:rPr>
                <w:b/>
              </w:rPr>
              <w:t>Urban policy in NICHES and NICHES + projects</w:t>
            </w:r>
          </w:p>
        </w:tc>
      </w:tr>
      <w:tr w:rsidR="00737819" w:rsidTr="006B6327">
        <w:trPr>
          <w:trHeight w:val="244"/>
        </w:trPr>
        <w:tc>
          <w:tcPr>
            <w:tcW w:w="676" w:type="dxa"/>
          </w:tcPr>
          <w:p w:rsidR="00737819" w:rsidRDefault="00737819" w:rsidP="00F54F04">
            <w:r>
              <w:t>1 &amp; 2</w:t>
            </w:r>
          </w:p>
        </w:tc>
        <w:tc>
          <w:tcPr>
            <w:tcW w:w="2551" w:type="dxa"/>
          </w:tcPr>
          <w:p w:rsidR="00737819" w:rsidRDefault="00737819" w:rsidP="00F54F04">
            <w:r>
              <w:t>Fuel efficiency of cars (and full economy)</w:t>
            </w:r>
          </w:p>
        </w:tc>
        <w:tc>
          <w:tcPr>
            <w:tcW w:w="5109" w:type="dxa"/>
          </w:tcPr>
          <w:p w:rsidR="00737819" w:rsidRDefault="00736631" w:rsidP="00F54F04">
            <w:pPr>
              <w:jc w:val="left"/>
            </w:pPr>
            <w:r>
              <w:t>Policy strategy for clean vehicles (NICHES)</w:t>
            </w:r>
          </w:p>
          <w:p w:rsidR="00736631" w:rsidRDefault="00736631" w:rsidP="00F54F04">
            <w:pPr>
              <w:jc w:val="left"/>
            </w:pPr>
            <w:r>
              <w:t>Joint procurement of clean vehicles (NICHES)</w:t>
            </w:r>
          </w:p>
          <w:p w:rsidR="00736631" w:rsidRDefault="00736631" w:rsidP="00F54F04">
            <w:pPr>
              <w:jc w:val="left"/>
            </w:pPr>
            <w:r>
              <w:t>Biogas in captive fleets (NICHES)</w:t>
            </w:r>
          </w:p>
          <w:p w:rsidR="00736631" w:rsidRDefault="00736631" w:rsidP="00F54F04">
            <w:pPr>
              <w:jc w:val="left"/>
            </w:pPr>
            <w:r>
              <w:t>Environmental data management (NICHES +)</w:t>
            </w:r>
          </w:p>
          <w:p w:rsidR="00736631" w:rsidRDefault="00736631" w:rsidP="00F54F04">
            <w:pPr>
              <w:jc w:val="left"/>
            </w:pPr>
          </w:p>
        </w:tc>
      </w:tr>
      <w:tr w:rsidR="00737819" w:rsidTr="006B6327">
        <w:trPr>
          <w:trHeight w:val="401"/>
        </w:trPr>
        <w:tc>
          <w:tcPr>
            <w:tcW w:w="676" w:type="dxa"/>
          </w:tcPr>
          <w:p w:rsidR="00737819" w:rsidRDefault="00737819" w:rsidP="00F54F04">
            <w:pPr>
              <w:jc w:val="left"/>
            </w:pPr>
            <w:r>
              <w:t>3</w:t>
            </w:r>
          </w:p>
        </w:tc>
        <w:tc>
          <w:tcPr>
            <w:tcW w:w="2551" w:type="dxa"/>
          </w:tcPr>
          <w:p w:rsidR="00737819" w:rsidRDefault="00737819" w:rsidP="00F54F04">
            <w:pPr>
              <w:jc w:val="left"/>
            </w:pPr>
            <w:r>
              <w:t xml:space="preserve">Electrification of transport </w:t>
            </w:r>
          </w:p>
        </w:tc>
        <w:tc>
          <w:tcPr>
            <w:tcW w:w="5109" w:type="dxa"/>
          </w:tcPr>
          <w:p w:rsidR="00737819" w:rsidRDefault="00737819" w:rsidP="00F54F04">
            <w:pPr>
              <w:jc w:val="left"/>
            </w:pPr>
            <w:r>
              <w:t>Using electric vehicles in city car schemes (NICHES +)</w:t>
            </w:r>
          </w:p>
        </w:tc>
      </w:tr>
      <w:tr w:rsidR="00737819" w:rsidTr="006B6327">
        <w:trPr>
          <w:trHeight w:val="746"/>
        </w:trPr>
        <w:tc>
          <w:tcPr>
            <w:tcW w:w="676" w:type="dxa"/>
          </w:tcPr>
          <w:p w:rsidR="00737819" w:rsidRDefault="00737819" w:rsidP="00F54F04">
            <w:pPr>
              <w:jc w:val="left"/>
            </w:pPr>
            <w:r>
              <w:t>4</w:t>
            </w:r>
          </w:p>
        </w:tc>
        <w:tc>
          <w:tcPr>
            <w:tcW w:w="2551" w:type="dxa"/>
          </w:tcPr>
          <w:p w:rsidR="00737819" w:rsidRDefault="00737819" w:rsidP="00F54F04">
            <w:pPr>
              <w:jc w:val="left"/>
            </w:pPr>
            <w:r>
              <w:t>Internalization of external costs of transport</w:t>
            </w:r>
          </w:p>
        </w:tc>
        <w:tc>
          <w:tcPr>
            <w:tcW w:w="5109" w:type="dxa"/>
          </w:tcPr>
          <w:p w:rsidR="00736631" w:rsidRDefault="00736631" w:rsidP="00737819">
            <w:pPr>
              <w:jc w:val="left"/>
            </w:pPr>
            <w:r>
              <w:t>Transportation Management Associations (NICHES)</w:t>
            </w:r>
          </w:p>
          <w:p w:rsidR="00736631" w:rsidRDefault="00736631" w:rsidP="00737819">
            <w:pPr>
              <w:jc w:val="left"/>
            </w:pPr>
            <w:r>
              <w:t>Local taxes or charges – road charging(NICHES)</w:t>
            </w:r>
          </w:p>
        </w:tc>
      </w:tr>
      <w:tr w:rsidR="00737819" w:rsidTr="006B6327">
        <w:trPr>
          <w:trHeight w:val="990"/>
        </w:trPr>
        <w:tc>
          <w:tcPr>
            <w:tcW w:w="676" w:type="dxa"/>
          </w:tcPr>
          <w:p w:rsidR="00737819" w:rsidRDefault="00737819" w:rsidP="00F54F04">
            <w:r>
              <w:t>5</w:t>
            </w:r>
          </w:p>
        </w:tc>
        <w:tc>
          <w:tcPr>
            <w:tcW w:w="2551" w:type="dxa"/>
          </w:tcPr>
          <w:p w:rsidR="00737819" w:rsidRDefault="00737819" w:rsidP="00F54F04">
            <w:r>
              <w:t>Reduced use of own car transport in favour of public transit and car sharing</w:t>
            </w:r>
          </w:p>
        </w:tc>
        <w:tc>
          <w:tcPr>
            <w:tcW w:w="5109" w:type="dxa"/>
          </w:tcPr>
          <w:p w:rsidR="00737819" w:rsidRDefault="00737819" w:rsidP="00737819">
            <w:pPr>
              <w:rPr>
                <w:lang w:val="en-US"/>
              </w:rPr>
            </w:pPr>
            <w:r>
              <w:rPr>
                <w:lang w:val="en-US"/>
              </w:rPr>
              <w:t>Urban lift services (NICHES)</w:t>
            </w:r>
          </w:p>
          <w:p w:rsidR="00737819" w:rsidRDefault="00737819" w:rsidP="00737819">
            <w:pPr>
              <w:rPr>
                <w:lang w:val="en-US"/>
              </w:rPr>
            </w:pPr>
            <w:r>
              <w:rPr>
                <w:lang w:val="en-US"/>
              </w:rPr>
              <w:t>Public bicycles (NICHES)</w:t>
            </w:r>
          </w:p>
          <w:p w:rsidR="00737819" w:rsidRDefault="00737819" w:rsidP="00737819">
            <w:pPr>
              <w:rPr>
                <w:lang w:val="en-US"/>
              </w:rPr>
            </w:pPr>
            <w:r>
              <w:rPr>
                <w:lang w:val="en-US"/>
              </w:rPr>
              <w:t>Call-a-bus services (NICHES)</w:t>
            </w:r>
          </w:p>
          <w:p w:rsidR="00737819" w:rsidRDefault="00737819" w:rsidP="00737819">
            <w:pPr>
              <w:rPr>
                <w:lang w:val="en-US"/>
              </w:rPr>
            </w:pPr>
            <w:r>
              <w:rPr>
                <w:lang w:val="en-US"/>
              </w:rPr>
              <w:t>Travel training for public transport (NICHES +)</w:t>
            </w:r>
          </w:p>
          <w:p w:rsidR="00737819" w:rsidRDefault="00737819" w:rsidP="00737819">
            <w:pPr>
              <w:rPr>
                <w:lang w:val="en-US"/>
              </w:rPr>
            </w:pPr>
            <w:r>
              <w:t xml:space="preserve">Innovative cycling facilities </w:t>
            </w:r>
            <w:r>
              <w:rPr>
                <w:lang w:val="en-US"/>
              </w:rPr>
              <w:t>(NICHES +)</w:t>
            </w:r>
          </w:p>
          <w:p w:rsidR="00737819" w:rsidRDefault="00737819" w:rsidP="00737819">
            <w:pPr>
              <w:rPr>
                <w:lang w:val="en-US"/>
              </w:rPr>
            </w:pPr>
            <w:r>
              <w:rPr>
                <w:lang w:val="en-US"/>
              </w:rPr>
              <w:t>Infrastructure for innovative bus systems (NICHES +)</w:t>
            </w:r>
          </w:p>
          <w:p w:rsidR="00737819" w:rsidRDefault="00737819" w:rsidP="00737819">
            <w:pPr>
              <w:rPr>
                <w:lang w:val="en-US"/>
              </w:rPr>
            </w:pPr>
            <w:r>
              <w:rPr>
                <w:lang w:val="en-US"/>
              </w:rPr>
              <w:t>Tailored traveler information for users with reduced mobility (NICHES +)</w:t>
            </w:r>
          </w:p>
          <w:p w:rsidR="00737819" w:rsidRDefault="00737819" w:rsidP="00737819">
            <w:pPr>
              <w:rPr>
                <w:lang w:val="en-US"/>
              </w:rPr>
            </w:pPr>
            <w:r>
              <w:rPr>
                <w:lang w:val="en-US"/>
              </w:rPr>
              <w:t>Infrastructure for innovative bus systems (NICHES +)</w:t>
            </w:r>
          </w:p>
          <w:p w:rsidR="00737819" w:rsidRDefault="00737819" w:rsidP="00737819">
            <w:pPr>
              <w:rPr>
                <w:lang w:val="en-US"/>
              </w:rPr>
            </w:pPr>
            <w:r>
              <w:rPr>
                <w:lang w:val="en-US"/>
              </w:rPr>
              <w:t>Neighborhood accessibility planning (NICHES +)</w:t>
            </w:r>
          </w:p>
          <w:p w:rsidR="00737819" w:rsidRDefault="00737819" w:rsidP="00737819">
            <w:r>
              <w:rPr>
                <w:lang w:val="en-US"/>
              </w:rPr>
              <w:t>Group Rapid Transit (GRT) and Personal Rapid Transit (PRT) (NICHES+)</w:t>
            </w:r>
          </w:p>
        </w:tc>
      </w:tr>
      <w:tr w:rsidR="00737819" w:rsidTr="006B6327">
        <w:trPr>
          <w:trHeight w:val="746"/>
        </w:trPr>
        <w:tc>
          <w:tcPr>
            <w:tcW w:w="676" w:type="dxa"/>
          </w:tcPr>
          <w:p w:rsidR="00737819" w:rsidRDefault="00737819" w:rsidP="00F54F04">
            <w:r>
              <w:t>6</w:t>
            </w:r>
          </w:p>
        </w:tc>
        <w:tc>
          <w:tcPr>
            <w:tcW w:w="2551" w:type="dxa"/>
          </w:tcPr>
          <w:p w:rsidR="00737819" w:rsidRPr="009F022E" w:rsidRDefault="00737819" w:rsidP="00F54F04">
            <w:r w:rsidRPr="009F022E">
              <w:t>Increasing transport efficiency</w:t>
            </w:r>
          </w:p>
          <w:p w:rsidR="00737819" w:rsidRPr="009F022E" w:rsidRDefault="00737819" w:rsidP="00F54F04">
            <w:r w:rsidRPr="009F022E">
              <w:t>Reduction in administrative inputs to transport (E-Freight)</w:t>
            </w:r>
          </w:p>
        </w:tc>
        <w:tc>
          <w:tcPr>
            <w:tcW w:w="5109" w:type="dxa"/>
          </w:tcPr>
          <w:p w:rsidR="00737819" w:rsidRPr="009F022E" w:rsidRDefault="00737819" w:rsidP="00F54F04">
            <w:r w:rsidRPr="009F022E">
              <w:t>Space management for Urban Delivery (NICHES)</w:t>
            </w:r>
          </w:p>
          <w:p w:rsidR="00737819" w:rsidRPr="009F022E" w:rsidRDefault="00737819" w:rsidP="00F54F04">
            <w:r w:rsidRPr="009F022E">
              <w:t>Inner-city night delivery (NICHES)</w:t>
            </w:r>
          </w:p>
          <w:p w:rsidR="00737819" w:rsidRPr="009F022E" w:rsidRDefault="00737819" w:rsidP="00F54F04">
            <w:r w:rsidRPr="009F022E">
              <w:t>Alternative solutions for home delivery (NICHES)</w:t>
            </w:r>
          </w:p>
          <w:p w:rsidR="00737819" w:rsidRPr="009F022E" w:rsidRDefault="00737819" w:rsidP="00F54F04">
            <w:r w:rsidRPr="009F022E">
              <w:t>Financing and implementing traffic management centres (NICHES +)</w:t>
            </w:r>
          </w:p>
          <w:p w:rsidR="00737819" w:rsidRPr="009F022E" w:rsidRDefault="00737819" w:rsidP="00F54F04">
            <w:r w:rsidRPr="009F022E">
              <w:t>Mobile information services for public (NICHES +)</w:t>
            </w:r>
          </w:p>
        </w:tc>
      </w:tr>
    </w:tbl>
    <w:p w:rsidR="00254F7B" w:rsidRDefault="00254F7B">
      <w:pPr>
        <w:spacing w:before="70"/>
        <w:ind w:left="850" w:right="965"/>
        <w:rPr>
          <w:rFonts w:ascii="Calibri" w:eastAsia="Times New Roman" w:hAnsi="Calibri" w:cs="Arial"/>
          <w:b/>
          <w:i/>
          <w:iCs/>
          <w:color w:val="333300"/>
          <w:sz w:val="28"/>
          <w:szCs w:val="28"/>
          <w:lang w:val="en-US"/>
        </w:rPr>
      </w:pPr>
      <w:bookmarkStart w:id="20" w:name="_Toc366244930"/>
    </w:p>
    <w:p w:rsidR="00745769" w:rsidRDefault="00745769" w:rsidP="00745769">
      <w:pPr>
        <w:pStyle w:val="Heading2"/>
        <w:rPr>
          <w:lang w:val="en-US"/>
        </w:rPr>
      </w:pPr>
      <w:r>
        <w:rPr>
          <w:lang w:val="en-US"/>
        </w:rPr>
        <w:t>Policy on the level of the city</w:t>
      </w:r>
      <w:r w:rsidR="00B3784E">
        <w:rPr>
          <w:lang w:val="en-US"/>
        </w:rPr>
        <w:t>: Copenhagen, London and Milan</w:t>
      </w:r>
      <w:bookmarkEnd w:id="20"/>
    </w:p>
    <w:p w:rsidR="00B5112A" w:rsidRDefault="00B5112A" w:rsidP="00B5112A">
      <w:pPr>
        <w:pStyle w:val="Heading3"/>
        <w:rPr>
          <w:lang w:val="en-US"/>
        </w:rPr>
      </w:pPr>
      <w:r>
        <w:rPr>
          <w:lang w:val="en-US"/>
        </w:rPr>
        <w:t>Introduction</w:t>
      </w:r>
    </w:p>
    <w:p w:rsidR="00111FB3" w:rsidRDefault="00F60088" w:rsidP="00B5112A">
      <w:r>
        <w:t xml:space="preserve">In the paragraphs below, we discuss the city level policies of three cases in particular: Copenhagen, London and Milan. We have chosen these three cities for a number of reasons. </w:t>
      </w:r>
      <w:r w:rsidR="00111FB3">
        <w:br/>
      </w:r>
      <w:r>
        <w:t xml:space="preserve">The first is that the policies implemented by these cities have received </w:t>
      </w:r>
      <w:r w:rsidR="00111FB3">
        <w:t>a lot of attention</w:t>
      </w:r>
      <w:r w:rsidR="00673EAC">
        <w:t xml:space="preserve"> and</w:t>
      </w:r>
      <w:r w:rsidR="00111FB3">
        <w:t xml:space="preserve"> were particularly successful or interesting in a number of aspects. London, Copenhagen and Milan are not unique in their implementation of policies, but have </w:t>
      </w:r>
      <w:r w:rsidR="00111FB3">
        <w:lastRenderedPageBreak/>
        <w:t>been forerunners in implementing particular urban transport policies. Some examples being: urban road tolling, management of public transport, urban planning, promoting electric vehicles</w:t>
      </w:r>
      <w:r w:rsidR="00FC5AA5">
        <w:t>, access restrictions and cycling policy</w:t>
      </w:r>
      <w:r w:rsidR="00111FB3">
        <w:t xml:space="preserve">. </w:t>
      </w:r>
    </w:p>
    <w:p w:rsidR="005D7571" w:rsidRDefault="00111FB3" w:rsidP="00B5112A">
      <w:r>
        <w:t>The</w:t>
      </w:r>
      <w:r w:rsidR="00F60088">
        <w:t xml:space="preserve"> second</w:t>
      </w:r>
      <w:r w:rsidR="0040770A">
        <w:t xml:space="preserve"> reason</w:t>
      </w:r>
      <w:r w:rsidR="00F60088">
        <w:t xml:space="preserve"> is</w:t>
      </w:r>
      <w:r w:rsidR="0040770A">
        <w:t xml:space="preserve"> that, while the strategy of each city is comparable to some degree, the cases are very diverse and show notable differences in the historical background conditions and the city’s culture. Each of these cities </w:t>
      </w:r>
      <w:r w:rsidR="00673EAC">
        <w:t xml:space="preserve">can be considered </w:t>
      </w:r>
      <w:r w:rsidR="0040770A">
        <w:t>as</w:t>
      </w:r>
      <w:r w:rsidR="00673EAC">
        <w:t xml:space="preserve"> an important </w:t>
      </w:r>
      <w:r w:rsidR="00F60088">
        <w:t xml:space="preserve">economic centre within </w:t>
      </w:r>
      <w:r w:rsidR="00673EAC">
        <w:t>their respective country.</w:t>
      </w:r>
      <w:r w:rsidR="0040770A">
        <w:t xml:space="preserve"> Each city has inherited a number of particular problems which are particular for its location. Each city has taken up policies that reflect and try to mitigate </w:t>
      </w:r>
      <w:r w:rsidR="00FC5AA5">
        <w:t>those particular problems</w:t>
      </w:r>
      <w:r w:rsidR="0040770A">
        <w:t xml:space="preserve">. </w:t>
      </w:r>
      <w:r w:rsidR="00FC5AA5">
        <w:t xml:space="preserve">The idea to focus on a small number of different cities and discuss these with a relative amount of detail also reflects the ‘small-N’ idea used throughout the </w:t>
      </w:r>
      <w:proofErr w:type="spellStart"/>
      <w:r w:rsidR="00FC5AA5">
        <w:t>Neujobs</w:t>
      </w:r>
      <w:proofErr w:type="spellEnd"/>
      <w:r w:rsidR="00FC5AA5">
        <w:t xml:space="preserve"> project. </w:t>
      </w:r>
    </w:p>
    <w:p w:rsidR="005D7571" w:rsidRDefault="00FC5AA5" w:rsidP="005D7571">
      <w:r>
        <w:t xml:space="preserve">The third and last reason is that there is plenty of information on each of these cities, as well as critical analysis of the policies. Within the budgetary and time limits of </w:t>
      </w:r>
      <w:proofErr w:type="spellStart"/>
      <w:r>
        <w:t>Neujobs</w:t>
      </w:r>
      <w:proofErr w:type="spellEnd"/>
      <w:r>
        <w:t>, we were unable to gather a lot of additional information on each city or perform interviews</w:t>
      </w:r>
      <w:r w:rsidR="00FE244A">
        <w:t xml:space="preserve"> with the responsible administration</w:t>
      </w:r>
      <w:r>
        <w:t xml:space="preserve">. These three cities fitted perfectly within the framework of </w:t>
      </w:r>
      <w:proofErr w:type="spellStart"/>
      <w:r>
        <w:t>Neujobs</w:t>
      </w:r>
      <w:proofErr w:type="spellEnd"/>
      <w:r>
        <w:t xml:space="preserve"> and could be used to provide practical examples of sustainable transport strategies, without </w:t>
      </w:r>
      <w:r w:rsidR="00FE244A">
        <w:t xml:space="preserve">falling into a ‘data gap’. </w:t>
      </w:r>
    </w:p>
    <w:p w:rsidR="00FC5AA5" w:rsidRDefault="00FC5AA5" w:rsidP="00B5112A"/>
    <w:p w:rsidR="005933E9" w:rsidRDefault="00E95C24" w:rsidP="00E95C24">
      <w:pPr>
        <w:pStyle w:val="Heading3"/>
        <w:rPr>
          <w:lang w:val="en-US"/>
        </w:rPr>
      </w:pPr>
      <w:bookmarkStart w:id="21" w:name="_Toc366244931"/>
      <w:r>
        <w:rPr>
          <w:lang w:val="en-US"/>
        </w:rPr>
        <w:t>Copenhagen</w:t>
      </w:r>
      <w:bookmarkEnd w:id="21"/>
    </w:p>
    <w:p w:rsidR="002734DD" w:rsidRDefault="002110E5" w:rsidP="002734DD">
      <w:pPr>
        <w:rPr>
          <w:lang w:val="en-US"/>
        </w:rPr>
      </w:pPr>
      <w:r>
        <w:rPr>
          <w:lang w:val="en-US"/>
        </w:rPr>
        <w:t>The city of Copenhagen is a famous example of urban planning in Europe. Confronted with uncontrolled growth of the city and difficulties in the development of public transport, it was decided to implement the famous 1947 ‘</w:t>
      </w:r>
      <w:proofErr w:type="spellStart"/>
      <w:r>
        <w:rPr>
          <w:lang w:val="en-US"/>
        </w:rPr>
        <w:t>Fingerplan</w:t>
      </w:r>
      <w:proofErr w:type="spellEnd"/>
      <w:r>
        <w:rPr>
          <w:lang w:val="en-US"/>
        </w:rPr>
        <w:t>’ that expanded the city along newly constructed railway lines, with larger green wedges</w:t>
      </w:r>
      <w:r w:rsidR="002734DD">
        <w:rPr>
          <w:lang w:val="en-US"/>
        </w:rPr>
        <w:t xml:space="preserve"> for agricultural and recreational purposes</w:t>
      </w:r>
      <w:r>
        <w:rPr>
          <w:lang w:val="en-US"/>
        </w:rPr>
        <w:t xml:space="preserve"> in between. This plan was largely successful in controlling the pressure of the urban environment on the surrounding </w:t>
      </w:r>
      <w:r w:rsidR="002734DD">
        <w:rPr>
          <w:lang w:val="en-US"/>
        </w:rPr>
        <w:t xml:space="preserve">area, while allowing commuters from surrounding municipalities to access the dense metropolitan area by </w:t>
      </w:r>
      <w:r>
        <w:rPr>
          <w:lang w:val="en-US"/>
        </w:rPr>
        <w:t xml:space="preserve"> </w:t>
      </w:r>
      <w:r w:rsidR="002734DD">
        <w:rPr>
          <w:lang w:val="en-US"/>
        </w:rPr>
        <w:t xml:space="preserve">the ‘extended’ S-train fingers. It </w:t>
      </w:r>
      <w:proofErr w:type="gramStart"/>
      <w:r w:rsidR="002734DD">
        <w:rPr>
          <w:lang w:val="en-US"/>
        </w:rPr>
        <w:t>can be interpreted</w:t>
      </w:r>
      <w:proofErr w:type="gramEnd"/>
      <w:r w:rsidR="002734DD">
        <w:rPr>
          <w:lang w:val="en-US"/>
        </w:rPr>
        <w:t xml:space="preserve"> as a remarkable success in urban planning, which contributed largely to the livability of Copenhagen in Europe. </w:t>
      </w:r>
    </w:p>
    <w:p w:rsidR="00B948BB" w:rsidRDefault="002734DD" w:rsidP="002734DD">
      <w:pPr>
        <w:rPr>
          <w:rStyle w:val="mw-headline"/>
        </w:rPr>
      </w:pPr>
      <w:r>
        <w:rPr>
          <w:lang w:val="en-US"/>
        </w:rPr>
        <w:t>Following the logic of the concepts explained in the previous chapter, the ‘</w:t>
      </w:r>
      <w:proofErr w:type="spellStart"/>
      <w:r>
        <w:rPr>
          <w:lang w:val="en-US"/>
        </w:rPr>
        <w:t>Fingerplan</w:t>
      </w:r>
      <w:proofErr w:type="spellEnd"/>
      <w:r>
        <w:rPr>
          <w:lang w:val="en-US"/>
        </w:rPr>
        <w:t xml:space="preserve">’ allowed for a controlled expansion of the urban area, allowing consumers to access unused land minimizing the environmental externality caused by their increased demand for transport. </w:t>
      </w:r>
      <w:r w:rsidR="002110E5">
        <w:rPr>
          <w:lang w:val="en-US"/>
        </w:rPr>
        <w:t>The ‘</w:t>
      </w:r>
      <w:proofErr w:type="spellStart"/>
      <w:r w:rsidR="002110E5">
        <w:rPr>
          <w:lang w:val="en-US"/>
        </w:rPr>
        <w:t>Fingerplan</w:t>
      </w:r>
      <w:proofErr w:type="spellEnd"/>
      <w:r w:rsidR="002110E5">
        <w:rPr>
          <w:lang w:val="en-US"/>
        </w:rPr>
        <w:t xml:space="preserve">’ </w:t>
      </w:r>
      <w:proofErr w:type="gramStart"/>
      <w:r w:rsidR="002110E5">
        <w:rPr>
          <w:lang w:val="en-US"/>
        </w:rPr>
        <w:t>was updated</w:t>
      </w:r>
      <w:proofErr w:type="gramEnd"/>
      <w:r w:rsidR="002110E5">
        <w:rPr>
          <w:lang w:val="en-US"/>
        </w:rPr>
        <w:t xml:space="preserve"> several times, allowing for the construction of </w:t>
      </w:r>
      <w:r>
        <w:rPr>
          <w:lang w:val="en-US"/>
        </w:rPr>
        <w:t xml:space="preserve">a </w:t>
      </w:r>
      <w:r w:rsidR="002110E5">
        <w:rPr>
          <w:lang w:val="en-US"/>
        </w:rPr>
        <w:t>sixth finger</w:t>
      </w:r>
      <w:r>
        <w:rPr>
          <w:lang w:val="en-US"/>
        </w:rPr>
        <w:t xml:space="preserve">, also known as the </w:t>
      </w:r>
      <w:proofErr w:type="spellStart"/>
      <w:r>
        <w:rPr>
          <w:rStyle w:val="mw-headline"/>
        </w:rPr>
        <w:t>Ørestad</w:t>
      </w:r>
      <w:proofErr w:type="spellEnd"/>
      <w:r>
        <w:rPr>
          <w:rStyle w:val="mw-headline"/>
        </w:rPr>
        <w:t xml:space="preserve"> development, which was enabled in 1992 by the </w:t>
      </w:r>
      <w:proofErr w:type="spellStart"/>
      <w:r>
        <w:rPr>
          <w:rStyle w:val="mw-headline"/>
        </w:rPr>
        <w:t>Ørestad</w:t>
      </w:r>
      <w:proofErr w:type="spellEnd"/>
      <w:r>
        <w:rPr>
          <w:rStyle w:val="mw-headline"/>
        </w:rPr>
        <w:t xml:space="preserve"> Development Corporation (ODC). The ODC was a new concept in urban planning, consisting of public-public cooperation between the national government (55% of land owned) and municipality (45% of land owned). The idea of the ODC was to develop the famous driverless ‘mini-metro’</w:t>
      </w:r>
      <w:r w:rsidR="00056CD4">
        <w:rPr>
          <w:rStyle w:val="mw-headline"/>
        </w:rPr>
        <w:t xml:space="preserve"> line, financed by the increase in land value in the area and the income from ticket prices. </w:t>
      </w:r>
    </w:p>
    <w:p w:rsidR="00BB73F3" w:rsidRDefault="00D72117" w:rsidP="002734DD">
      <w:pPr>
        <w:rPr>
          <w:rStyle w:val="mw-headline"/>
        </w:rPr>
      </w:pPr>
      <w:r>
        <w:rPr>
          <w:rStyle w:val="mw-headline"/>
        </w:rPr>
        <w:t xml:space="preserve">This concept had more mixed results </w:t>
      </w:r>
      <w:r w:rsidR="00B948BB">
        <w:rPr>
          <w:rStyle w:val="mw-headline"/>
        </w:rPr>
        <w:t>(</w:t>
      </w:r>
      <w:proofErr w:type="spellStart"/>
      <w:r w:rsidR="00B948BB">
        <w:rPr>
          <w:rStyle w:val="mw-headline"/>
        </w:rPr>
        <w:t>Majoor</w:t>
      </w:r>
      <w:proofErr w:type="spellEnd"/>
      <w:r w:rsidR="00B948BB">
        <w:rPr>
          <w:rStyle w:val="mw-headline"/>
        </w:rPr>
        <w:t xml:space="preserve"> S.J.H, 2008), due to low</w:t>
      </w:r>
      <w:r>
        <w:rPr>
          <w:rStyle w:val="mw-headline"/>
        </w:rPr>
        <w:t>er than anticipated</w:t>
      </w:r>
      <w:r w:rsidR="00B948BB">
        <w:rPr>
          <w:rStyle w:val="mw-headline"/>
        </w:rPr>
        <w:t xml:space="preserve"> demand for land in the </w:t>
      </w:r>
      <w:proofErr w:type="spellStart"/>
      <w:r w:rsidR="00B948BB">
        <w:rPr>
          <w:rStyle w:val="mw-headline"/>
        </w:rPr>
        <w:t>Ørestad</w:t>
      </w:r>
      <w:proofErr w:type="spellEnd"/>
      <w:r w:rsidR="00B948BB">
        <w:rPr>
          <w:rStyle w:val="mw-headline"/>
        </w:rPr>
        <w:t xml:space="preserve"> area</w:t>
      </w:r>
      <w:r>
        <w:rPr>
          <w:rStyle w:val="mw-headline"/>
        </w:rPr>
        <w:t xml:space="preserve"> (-15%) and property tax income (-60%)</w:t>
      </w:r>
      <w:r w:rsidR="00B948BB">
        <w:rPr>
          <w:rStyle w:val="mw-headline"/>
        </w:rPr>
        <w:t>,</w:t>
      </w:r>
      <w:r>
        <w:rPr>
          <w:rStyle w:val="mw-headline"/>
        </w:rPr>
        <w:t xml:space="preserve"> higher development costs (+66%)</w:t>
      </w:r>
      <w:r w:rsidR="00B948BB">
        <w:rPr>
          <w:rStyle w:val="mw-headline"/>
        </w:rPr>
        <w:t xml:space="preserve"> conflict between the goals of the federal government and municipality (for example in the implementation of an out-of-centre shopping mall) and lower than forecasted </w:t>
      </w:r>
      <w:r>
        <w:rPr>
          <w:rStyle w:val="mw-headline"/>
        </w:rPr>
        <w:t>profit</w:t>
      </w:r>
      <w:r w:rsidR="00B948BB">
        <w:rPr>
          <w:rStyle w:val="mw-headline"/>
        </w:rPr>
        <w:t xml:space="preserve"> on the new metro line</w:t>
      </w:r>
      <w:r>
        <w:rPr>
          <w:rStyle w:val="mw-headline"/>
        </w:rPr>
        <w:t xml:space="preserve"> (-146%)</w:t>
      </w:r>
      <w:r w:rsidR="00B948BB">
        <w:rPr>
          <w:rStyle w:val="mw-headline"/>
        </w:rPr>
        <w:t xml:space="preserve">. Eventually the plan had to receive additional financing from national level and </w:t>
      </w:r>
      <w:r w:rsidR="00B948BB">
        <w:rPr>
          <w:rStyle w:val="mw-headline"/>
        </w:rPr>
        <w:lastRenderedPageBreak/>
        <w:t xml:space="preserve">required a number of important adjustments in the foreseen land use, moving from land from office space towards a larger share for housing. Until today the area remains quite lowly developed, though the new connection with the airport and the shopping mall have attracted additional passengers. </w:t>
      </w:r>
      <w:r w:rsidR="00E96EF1">
        <w:rPr>
          <w:rStyle w:val="mw-headline"/>
        </w:rPr>
        <w:t>In general it has been much more difficult than initially anticipated to make the area attractive, given its distance from the city centre. The result was that the city decided to pursue a goal of more demand-oriented policies, rather than the supply oriented policy it has taken.</w:t>
      </w:r>
    </w:p>
    <w:p w:rsidR="00D72117" w:rsidRPr="00D72117" w:rsidRDefault="00D72117" w:rsidP="002734DD">
      <w:r>
        <w:rPr>
          <w:rStyle w:val="mw-headline"/>
        </w:rPr>
        <w:t>The current master plan for urban transport planning in Copenhagen consists of a Transport and environment plan (2004), a c</w:t>
      </w:r>
      <w:r w:rsidR="00E96EF1">
        <w:rPr>
          <w:rStyle w:val="mw-headline"/>
        </w:rPr>
        <w:t xml:space="preserve">ycle policy (2002-2012), the Copenhagen climate plan (2009) and a Municipal strategy (2009). </w:t>
      </w:r>
      <w:r w:rsidR="000A0AA9">
        <w:rPr>
          <w:rStyle w:val="mw-headline"/>
        </w:rPr>
        <w:t>The core elements of th</w:t>
      </w:r>
      <w:r w:rsidR="00D63574">
        <w:rPr>
          <w:rStyle w:val="mw-headline"/>
        </w:rPr>
        <w:t xml:space="preserve">e plan can be summarized in 3 points. </w:t>
      </w:r>
    </w:p>
    <w:p w:rsidR="005933E9" w:rsidRPr="00D63574" w:rsidRDefault="00D63574" w:rsidP="00D63574">
      <w:pPr>
        <w:pStyle w:val="ListParagraph"/>
        <w:numPr>
          <w:ilvl w:val="0"/>
          <w:numId w:val="37"/>
        </w:numPr>
        <w:spacing w:before="70"/>
        <w:ind w:right="425"/>
        <w:rPr>
          <w:rFonts w:ascii="Book Antiqua" w:hAnsi="Book Antiqua"/>
          <w:lang w:val="en-US"/>
        </w:rPr>
      </w:pPr>
      <w:proofErr w:type="gramStart"/>
      <w:r w:rsidRPr="00D63574">
        <w:rPr>
          <w:rFonts w:ascii="Book Antiqua" w:hAnsi="Book Antiqua"/>
          <w:b/>
          <w:lang w:val="en-US"/>
        </w:rPr>
        <w:t>Cycle plan</w:t>
      </w:r>
      <w:r w:rsidR="005933E9" w:rsidRPr="00D63574">
        <w:rPr>
          <w:rFonts w:ascii="Book Antiqua" w:hAnsi="Book Antiqua"/>
          <w:lang w:val="en-US"/>
        </w:rPr>
        <w:t xml:space="preserve">: </w:t>
      </w:r>
      <w:r>
        <w:rPr>
          <w:rFonts w:ascii="Book Antiqua" w:hAnsi="Book Antiqua"/>
          <w:lang w:val="en-US"/>
        </w:rPr>
        <w:t>Removing</w:t>
      </w:r>
      <w:r w:rsidR="005933E9" w:rsidRPr="00D63574">
        <w:rPr>
          <w:rFonts w:ascii="Book Antiqua" w:hAnsi="Book Antiqua"/>
          <w:lang w:val="en-US"/>
        </w:rPr>
        <w:t xml:space="preserve"> missing links, </w:t>
      </w:r>
      <w:r>
        <w:rPr>
          <w:rFonts w:ascii="Book Antiqua" w:hAnsi="Book Antiqua"/>
          <w:lang w:val="en-US"/>
        </w:rPr>
        <w:t>increasing safety of biking</w:t>
      </w:r>
      <w:r w:rsidR="005933E9" w:rsidRPr="00D63574">
        <w:rPr>
          <w:rFonts w:ascii="Book Antiqua" w:hAnsi="Book Antiqua"/>
          <w:lang w:val="en-US"/>
        </w:rPr>
        <w:t xml:space="preserve">, </w:t>
      </w:r>
      <w:r>
        <w:rPr>
          <w:rFonts w:ascii="Book Antiqua" w:hAnsi="Book Antiqua"/>
          <w:lang w:val="en-US"/>
        </w:rPr>
        <w:t xml:space="preserve">implementing of </w:t>
      </w:r>
      <w:r w:rsidR="005933E9" w:rsidRPr="00D63574">
        <w:rPr>
          <w:rFonts w:ascii="Book Antiqua" w:hAnsi="Book Antiqua"/>
          <w:lang w:val="en-US"/>
        </w:rPr>
        <w:t xml:space="preserve">green waves </w:t>
      </w:r>
      <w:r>
        <w:rPr>
          <w:rFonts w:ascii="Book Antiqua" w:hAnsi="Book Antiqua"/>
          <w:lang w:val="en-US"/>
        </w:rPr>
        <w:t>for cyclists at traffic lights, etc.</w:t>
      </w:r>
      <w:proofErr w:type="gramEnd"/>
      <w:r>
        <w:rPr>
          <w:rFonts w:ascii="Book Antiqua" w:hAnsi="Book Antiqua"/>
          <w:lang w:val="en-US"/>
        </w:rPr>
        <w:t xml:space="preserve"> The main goal is to make at least 1/3 trips in Copenhagen a ‘cycle trip’.</w:t>
      </w:r>
    </w:p>
    <w:p w:rsidR="005933E9" w:rsidRPr="00D63574" w:rsidRDefault="00D63574" w:rsidP="00D63574">
      <w:pPr>
        <w:pStyle w:val="ListParagraph"/>
        <w:numPr>
          <w:ilvl w:val="0"/>
          <w:numId w:val="37"/>
        </w:numPr>
        <w:spacing w:before="70"/>
        <w:ind w:right="425"/>
        <w:rPr>
          <w:rFonts w:ascii="Book Antiqua" w:hAnsi="Book Antiqua"/>
          <w:lang w:val="en-US"/>
        </w:rPr>
      </w:pPr>
      <w:r w:rsidRPr="00D63574">
        <w:rPr>
          <w:rFonts w:ascii="Book Antiqua" w:hAnsi="Book Antiqua"/>
          <w:b/>
          <w:lang w:val="en-US"/>
        </w:rPr>
        <w:t>Integrated public transport</w:t>
      </w:r>
      <w:r>
        <w:rPr>
          <w:rFonts w:ascii="Book Antiqua" w:hAnsi="Book Antiqua"/>
          <w:lang w:val="en-US"/>
        </w:rPr>
        <w:t xml:space="preserve">: A number of policies </w:t>
      </w:r>
      <w:proofErr w:type="gramStart"/>
      <w:r>
        <w:rPr>
          <w:rFonts w:ascii="Book Antiqua" w:hAnsi="Book Antiqua"/>
          <w:lang w:val="en-US"/>
        </w:rPr>
        <w:t>were implemented</w:t>
      </w:r>
      <w:proofErr w:type="gramEnd"/>
      <w:r>
        <w:rPr>
          <w:rFonts w:ascii="Book Antiqua" w:hAnsi="Book Antiqua"/>
          <w:lang w:val="en-US"/>
        </w:rPr>
        <w:t xml:space="preserve"> to develop interconnections between the different public transport systems, such as simplifying ticketing, introducing fast lanes and allowing for real time information and route planning.</w:t>
      </w:r>
      <w:r w:rsidR="005933E9" w:rsidRPr="00D63574">
        <w:rPr>
          <w:rFonts w:ascii="Book Antiqua" w:hAnsi="Book Antiqua"/>
          <w:lang w:val="en-US"/>
        </w:rPr>
        <w:t xml:space="preserve"> </w:t>
      </w:r>
    </w:p>
    <w:p w:rsidR="008E452A" w:rsidRPr="00D63574" w:rsidRDefault="008E452A" w:rsidP="00D63574">
      <w:pPr>
        <w:pStyle w:val="ListParagraph"/>
        <w:numPr>
          <w:ilvl w:val="0"/>
          <w:numId w:val="37"/>
        </w:numPr>
        <w:spacing w:before="70"/>
        <w:ind w:right="425"/>
        <w:rPr>
          <w:rFonts w:ascii="Book Antiqua" w:hAnsi="Book Antiqua"/>
          <w:lang w:val="en-US"/>
        </w:rPr>
      </w:pPr>
      <w:r w:rsidRPr="00D63574">
        <w:rPr>
          <w:rFonts w:ascii="Book Antiqua" w:hAnsi="Book Antiqua"/>
          <w:b/>
          <w:lang w:val="en-US"/>
        </w:rPr>
        <w:t>Close to station concept</w:t>
      </w:r>
      <w:r w:rsidRPr="00D63574">
        <w:rPr>
          <w:rFonts w:ascii="Book Antiqua" w:hAnsi="Book Antiqua"/>
          <w:lang w:val="en-US"/>
        </w:rPr>
        <w:t xml:space="preserve"> (1987)</w:t>
      </w:r>
      <w:r w:rsidR="00D63574">
        <w:rPr>
          <w:rFonts w:ascii="Book Antiqua" w:hAnsi="Book Antiqua"/>
          <w:lang w:val="en-US"/>
        </w:rPr>
        <w:t>: Which aims to increase</w:t>
      </w:r>
      <w:r w:rsidRPr="00D63574">
        <w:rPr>
          <w:rFonts w:ascii="Book Antiqua" w:hAnsi="Book Antiqua"/>
          <w:lang w:val="en-US"/>
        </w:rPr>
        <w:t xml:space="preserve"> density around stations, </w:t>
      </w:r>
      <w:r w:rsidR="00D63574">
        <w:rPr>
          <w:rFonts w:ascii="Book Antiqua" w:hAnsi="Book Antiqua"/>
          <w:lang w:val="en-US"/>
        </w:rPr>
        <w:t xml:space="preserve">favoring </w:t>
      </w:r>
      <w:r w:rsidRPr="00D63574">
        <w:rPr>
          <w:rFonts w:ascii="Book Antiqua" w:hAnsi="Book Antiqua"/>
          <w:lang w:val="en-US"/>
        </w:rPr>
        <w:t>public transport use</w:t>
      </w:r>
      <w:r w:rsidR="00D63574">
        <w:rPr>
          <w:rFonts w:ascii="Book Antiqua" w:hAnsi="Book Antiqua"/>
          <w:lang w:val="en-US"/>
        </w:rPr>
        <w:t xml:space="preserve"> and</w:t>
      </w:r>
      <w:r w:rsidRPr="00D63574">
        <w:rPr>
          <w:rFonts w:ascii="Book Antiqua" w:hAnsi="Book Antiqua"/>
          <w:lang w:val="en-US"/>
        </w:rPr>
        <w:t xml:space="preserve"> concentration of </w:t>
      </w:r>
      <w:proofErr w:type="gramStart"/>
      <w:r w:rsidRPr="00D63574">
        <w:rPr>
          <w:rFonts w:ascii="Book Antiqua" w:hAnsi="Book Antiqua"/>
          <w:lang w:val="en-US"/>
        </w:rPr>
        <w:t>high density</w:t>
      </w:r>
      <w:proofErr w:type="gramEnd"/>
      <w:r w:rsidRPr="00D63574">
        <w:rPr>
          <w:rFonts w:ascii="Book Antiqua" w:hAnsi="Book Antiqua"/>
          <w:lang w:val="en-US"/>
        </w:rPr>
        <w:t xml:space="preserve"> buildings around trains stations. </w:t>
      </w:r>
      <w:r w:rsidR="00D63574">
        <w:rPr>
          <w:rFonts w:ascii="Book Antiqua" w:hAnsi="Book Antiqua"/>
          <w:lang w:val="en-US"/>
        </w:rPr>
        <w:t>It also includes increasing the a</w:t>
      </w:r>
      <w:r w:rsidR="00C04EE6">
        <w:rPr>
          <w:rFonts w:ascii="Book Antiqua" w:hAnsi="Book Antiqua"/>
          <w:lang w:val="en-US"/>
        </w:rPr>
        <w:t xml:space="preserve">ttractiveness of station areas for housing and recreation. </w:t>
      </w:r>
    </w:p>
    <w:p w:rsidR="002257E7" w:rsidRDefault="002257E7" w:rsidP="00E96EF1">
      <w:r>
        <w:t xml:space="preserve">We see that in Copenhagen, urban planning was of primary importance in shaping the city and increasing the sustainability of transport. While the city was quite successful in increasing liveability of the city and reducing congestion and environmental pressures of transport, it was not always successful in reaching all of its development goals, for example in </w:t>
      </w:r>
      <w:proofErr w:type="spellStart"/>
      <w:r>
        <w:rPr>
          <w:rStyle w:val="mw-headline"/>
        </w:rPr>
        <w:t>Ørestad</w:t>
      </w:r>
      <w:proofErr w:type="spellEnd"/>
      <w:r>
        <w:t xml:space="preserve">. </w:t>
      </w:r>
    </w:p>
    <w:p w:rsidR="00E96EF1" w:rsidRDefault="002257E7" w:rsidP="00E96EF1">
      <w:r>
        <w:t xml:space="preserve">The city is focussing many of its current policies on the promotion of cycling and public transit. Urban planning and promoting development around the main public transport hubs is still one of the primary elements of the municipal plans of Copenhagen. </w:t>
      </w:r>
    </w:p>
    <w:p w:rsidR="008465F6" w:rsidRDefault="00745769" w:rsidP="00745769">
      <w:pPr>
        <w:pStyle w:val="Heading3"/>
      </w:pPr>
      <w:bookmarkStart w:id="22" w:name="_Toc366244932"/>
      <w:r>
        <w:t>London</w:t>
      </w:r>
      <w:bookmarkEnd w:id="22"/>
    </w:p>
    <w:p w:rsidR="00745769" w:rsidRDefault="001360C2" w:rsidP="00745769">
      <w:r>
        <w:t xml:space="preserve">When one thinks about traffic management and London, the London Congestion Charging Scheme (LCCS), introduced in 2003, immediately pops into the mind. </w:t>
      </w:r>
      <w:r w:rsidR="00745769">
        <w:t>The city of London suffered a constant decline of driving speed in the city centre since the 1980’s. From 1986 till 2002 average speeds on the network decreased f</w:t>
      </w:r>
      <w:r w:rsidR="00F2357D">
        <w:t>rom 17.2 km/u to 14.2 km/h</w:t>
      </w:r>
      <w:r w:rsidR="00745769">
        <w:t>. The constant increase in traffic congestion led to</w:t>
      </w:r>
      <w:r>
        <w:t xml:space="preserve"> a number of transport policies, mainly involving the further extension of metro lines and changes in traffic management and parking. </w:t>
      </w:r>
    </w:p>
    <w:p w:rsidR="00461405" w:rsidRDefault="001360C2" w:rsidP="00461405">
      <w:r>
        <w:t xml:space="preserve">The introduction of the charging scheme was very effective in the first years of the scheme. Reduction in congestion was -30% in the first year of the scheme, but reduced </w:t>
      </w:r>
      <w:r>
        <w:lastRenderedPageBreak/>
        <w:t xml:space="preserve">each year, to reach 2002 conditions </w:t>
      </w:r>
      <w:r w:rsidR="000A1EAE">
        <w:t>around 2007 (</w:t>
      </w:r>
      <w:proofErr w:type="spellStart"/>
      <w:r w:rsidR="000A1EAE">
        <w:t>Tfl</w:t>
      </w:r>
      <w:proofErr w:type="spellEnd"/>
      <w:r w:rsidR="000A1EAE">
        <w:t>, 2007).</w:t>
      </w:r>
      <w:r w:rsidR="003E17F7">
        <w:t xml:space="preserve"> Public acceptability of the scheme increased strongly in the first years of the charge, but has since been moderate.</w:t>
      </w:r>
      <w:r w:rsidR="000A1EAE">
        <w:t xml:space="preserve"> Extension of the LCCS </w:t>
      </w:r>
      <w:r w:rsidR="00461405">
        <w:t>to the west of London</w:t>
      </w:r>
      <w:r w:rsidR="000A1EAE">
        <w:t xml:space="preserve"> was met with substantial public opposition and </w:t>
      </w:r>
      <w:r w:rsidR="00B91CD0">
        <w:t>was</w:t>
      </w:r>
      <w:r w:rsidR="000A1EAE">
        <w:t xml:space="preserve"> eventually </w:t>
      </w:r>
      <w:r w:rsidR="00B91CD0">
        <w:t>abolished</w:t>
      </w:r>
      <w:r w:rsidR="000A1EAE">
        <w:t xml:space="preserve"> in 2</w:t>
      </w:r>
      <w:r w:rsidR="00B91CD0">
        <w:t>011</w:t>
      </w:r>
      <w:r w:rsidR="000A1EAE">
        <w:t xml:space="preserve">. </w:t>
      </w:r>
      <w:r w:rsidR="00B91CD0">
        <w:t>The apparent lack of longer term effects of the scheme seem to be caused by a reduction in the available road capacity</w:t>
      </w:r>
      <w:r w:rsidR="00461405">
        <w:t>, increase in bus transit</w:t>
      </w:r>
      <w:r w:rsidR="00B91CD0">
        <w:t xml:space="preserve"> and changes in traffic management.</w:t>
      </w:r>
      <w:r w:rsidR="003E17F7">
        <w:t xml:space="preserve"> So</w:t>
      </w:r>
      <w:r w:rsidR="007870E4">
        <w:t>me authors, such as Santos (</w:t>
      </w:r>
      <w:r w:rsidR="003E17F7">
        <w:t>2008</w:t>
      </w:r>
      <w:r w:rsidR="007870E4">
        <w:t>)</w:t>
      </w:r>
      <w:r w:rsidR="003E17F7">
        <w:t>, claim that matters would have been worse without the congestion charging system in place.</w:t>
      </w:r>
      <w:r w:rsidR="00461405">
        <w:t xml:space="preserve"> </w:t>
      </w:r>
      <w:r w:rsidR="003E17F7">
        <w:t xml:space="preserve">One important aspect of the charging system is its aspect for redistribution of revenues. Any revenues collected need to </w:t>
      </w:r>
      <w:r w:rsidR="00DB13D3">
        <w:t>go</w:t>
      </w:r>
      <w:r w:rsidR="003E17F7">
        <w:t xml:space="preserve"> (within a 10-year span) exclusively to the improvement of the road and public transit network. This was an important aspect to gain public acceptability for the scheme. </w:t>
      </w:r>
    </w:p>
    <w:p w:rsidR="00582657" w:rsidRDefault="007870E4" w:rsidP="00461405">
      <w:r>
        <w:t>It must be said that the congestion charge was criticized for a number of important defects that were contrary to theoretical recommendations</w:t>
      </w:r>
      <w:r w:rsidR="00582657">
        <w:t>:</w:t>
      </w:r>
    </w:p>
    <w:p w:rsidR="00582657" w:rsidRPr="00582657" w:rsidRDefault="00582657" w:rsidP="00582657">
      <w:pPr>
        <w:pStyle w:val="ListParagraph"/>
        <w:numPr>
          <w:ilvl w:val="0"/>
          <w:numId w:val="38"/>
        </w:numPr>
        <w:rPr>
          <w:rFonts w:ascii="Book Antiqua" w:hAnsi="Book Antiqua"/>
        </w:rPr>
      </w:pPr>
      <w:r w:rsidRPr="00582657">
        <w:rPr>
          <w:rFonts w:ascii="Book Antiqua" w:hAnsi="Book Antiqua"/>
        </w:rPr>
        <w:t>For</w:t>
      </w:r>
      <w:r>
        <w:rPr>
          <w:rFonts w:ascii="Book Antiqua" w:hAnsi="Book Antiqua"/>
        </w:rPr>
        <w:t xml:space="preserve"> giving</w:t>
      </w:r>
      <w:r w:rsidRPr="00582657">
        <w:rPr>
          <w:rFonts w:ascii="Book Antiqua" w:hAnsi="Book Antiqua"/>
        </w:rPr>
        <w:t xml:space="preserve"> large discounts to residents of the central area (-90%) and other exemptions</w:t>
      </w:r>
    </w:p>
    <w:p w:rsidR="00582657" w:rsidRPr="00582657" w:rsidRDefault="00582657" w:rsidP="00582657">
      <w:pPr>
        <w:pStyle w:val="ListParagraph"/>
        <w:numPr>
          <w:ilvl w:val="0"/>
          <w:numId w:val="38"/>
        </w:numPr>
        <w:rPr>
          <w:rFonts w:ascii="Book Antiqua" w:hAnsi="Book Antiqua"/>
        </w:rPr>
      </w:pPr>
      <w:r>
        <w:rPr>
          <w:rFonts w:ascii="Book Antiqua" w:hAnsi="Book Antiqua"/>
        </w:rPr>
        <w:t>Little</w:t>
      </w:r>
      <w:r w:rsidRPr="00582657">
        <w:rPr>
          <w:rFonts w:ascii="Book Antiqua" w:hAnsi="Book Antiqua"/>
        </w:rPr>
        <w:t xml:space="preserve"> difference in timing, location and trip distance (not kilometre dependent)</w:t>
      </w:r>
    </w:p>
    <w:p w:rsidR="00582657" w:rsidRPr="00582657" w:rsidRDefault="00582657" w:rsidP="00582657">
      <w:pPr>
        <w:pStyle w:val="ListParagraph"/>
        <w:numPr>
          <w:ilvl w:val="0"/>
          <w:numId w:val="38"/>
        </w:numPr>
        <w:rPr>
          <w:rFonts w:ascii="Book Antiqua" w:hAnsi="Book Antiqua"/>
        </w:rPr>
      </w:pPr>
      <w:r>
        <w:rPr>
          <w:rFonts w:ascii="Book Antiqua" w:hAnsi="Book Antiqua"/>
        </w:rPr>
        <w:t>High</w:t>
      </w:r>
      <w:r w:rsidRPr="00582657">
        <w:rPr>
          <w:rFonts w:ascii="Book Antiqua" w:hAnsi="Book Antiqua"/>
        </w:rPr>
        <w:t xml:space="preserve"> operational cost</w:t>
      </w:r>
      <w:r w:rsidR="00980782">
        <w:rPr>
          <w:rFonts w:ascii="Book Antiqua" w:hAnsi="Book Antiqua"/>
        </w:rPr>
        <w:t xml:space="preserve"> and implementation costs </w:t>
      </w:r>
      <w:r w:rsidR="00980782" w:rsidRPr="00980782">
        <w:rPr>
          <w:rFonts w:ascii="Book Antiqua" w:hAnsi="Book Antiqua"/>
          <w:szCs w:val="22"/>
        </w:rPr>
        <w:t>(</w:t>
      </w:r>
      <w:r w:rsidR="00980782" w:rsidRPr="00980782">
        <w:rPr>
          <w:rFonts w:ascii="Book Antiqua" w:hAnsi="Book Antiqua" w:cs="TimesNewRoman"/>
          <w:szCs w:val="22"/>
        </w:rPr>
        <w:t>£200 million</w:t>
      </w:r>
      <w:r w:rsidR="00980782">
        <w:rPr>
          <w:rFonts w:ascii="TimesNewRoman" w:hAnsi="TimesNewRoman" w:cs="TimesNewRoman"/>
          <w:sz w:val="24"/>
          <w:szCs w:val="24"/>
        </w:rPr>
        <w:t>)</w:t>
      </w:r>
    </w:p>
    <w:p w:rsidR="00582657" w:rsidRPr="00582657" w:rsidRDefault="00582657" w:rsidP="00582657">
      <w:pPr>
        <w:pStyle w:val="ListParagraph"/>
        <w:numPr>
          <w:ilvl w:val="0"/>
          <w:numId w:val="38"/>
        </w:numPr>
        <w:rPr>
          <w:rFonts w:ascii="Book Antiqua" w:hAnsi="Book Antiqua"/>
        </w:rPr>
      </w:pPr>
      <w:r>
        <w:rPr>
          <w:rFonts w:ascii="Book Antiqua" w:hAnsi="Book Antiqua"/>
        </w:rPr>
        <w:t>The</w:t>
      </w:r>
      <w:r w:rsidRPr="00582657">
        <w:rPr>
          <w:rFonts w:ascii="Book Antiqua" w:hAnsi="Book Antiqua"/>
        </w:rPr>
        <w:t xml:space="preserve"> limited area it extends to</w:t>
      </w:r>
      <w:r w:rsidR="00165B93">
        <w:rPr>
          <w:rFonts w:ascii="Book Antiqua" w:hAnsi="Book Antiqua"/>
        </w:rPr>
        <w:t xml:space="preserve"> (central city alone)</w:t>
      </w:r>
    </w:p>
    <w:p w:rsidR="003E17F7" w:rsidRDefault="00980782" w:rsidP="00461405">
      <w:r>
        <w:t xml:space="preserve">Instead of extending the LCCS for Greater London, a Low Emission Zone (LEZ) was established to stimulate renewal in the car fleet and reducing the environmental impact of transport. This was combined with government efforts to promote and popularize electric vehicles, adding up to 25,000 recharging points by 2015 and introducing purchase incentives for low carbon vehicles. </w:t>
      </w:r>
      <w:r w:rsidR="00363FFA">
        <w:t xml:space="preserve">The city has also taken more advanced technological measures, for example by introducing a parking charge that is dependent on the type of vehicle. More polluting vehicles are subjected to a higher parking charge. </w:t>
      </w:r>
    </w:p>
    <w:p w:rsidR="00980782" w:rsidRDefault="00980782" w:rsidP="00461405">
      <w:r>
        <w:t xml:space="preserve">One notable policy that has helped to stimulate public transit, beside the LCCS, was the introduction of the Oyster pass, which allows seamless transport across </w:t>
      </w:r>
      <w:r w:rsidR="00002F0E">
        <w:t xml:space="preserve">the public transit system and has reduced on-bus ticket purchases to just 5%. This has led to a reduction in waiting time of around 24% overall across Greater London and 30% in the charging zone (Santos, 2008). </w:t>
      </w:r>
    </w:p>
    <w:p w:rsidR="00002F0E" w:rsidRDefault="00233E02" w:rsidP="00461405">
      <w:r>
        <w:t>Besides the charging and pricing aspect, the new municipal transport plan for London</w:t>
      </w:r>
      <w:r w:rsidR="00363FFA">
        <w:t xml:space="preserve"> allows for a stimulation of cycling and walking. The aim is to increase the modal share of soft modes from 25-30%. The currently low (5% of trips) share of cycling should be turned into a real ‘cycling revolution’.</w:t>
      </w:r>
      <w:r>
        <w:t xml:space="preserve"> </w:t>
      </w:r>
      <w:r w:rsidR="00363FFA">
        <w:t>Bike sharing programs and investments in cycling paths should facilitate this revolution.</w:t>
      </w:r>
    </w:p>
    <w:p w:rsidR="00363FFA" w:rsidRDefault="00363FFA" w:rsidP="00461405">
      <w:r>
        <w:t>In conclusion, it seems that London is taking a very technology oriented development strategy, which fits within the EU urban policy, but draws heavily on (innovative) systems of transport charging and public transport investments.</w:t>
      </w:r>
    </w:p>
    <w:p w:rsidR="00C9697E" w:rsidRDefault="00C54C0D" w:rsidP="00C54C0D">
      <w:pPr>
        <w:pStyle w:val="Heading3"/>
      </w:pPr>
      <w:bookmarkStart w:id="23" w:name="_Toc366244933"/>
      <w:r>
        <w:lastRenderedPageBreak/>
        <w:t>Milan</w:t>
      </w:r>
      <w:bookmarkEnd w:id="23"/>
    </w:p>
    <w:p w:rsidR="00363FFA" w:rsidRDefault="00A804E2" w:rsidP="00461405">
      <w:r>
        <w:t xml:space="preserve">Milan </w:t>
      </w:r>
      <w:r w:rsidR="00115B5F">
        <w:t xml:space="preserve">is one of the largest Italian metropolitan areas. It </w:t>
      </w:r>
      <w:r>
        <w:t xml:space="preserve">is characterized by a </w:t>
      </w:r>
      <w:r w:rsidR="00115B5F">
        <w:t xml:space="preserve">relatively </w:t>
      </w:r>
      <w:r>
        <w:t xml:space="preserve">small medieval centre and a very extensive urban area. Urban planning has in general been of less importance in Milan and the transport network has evolved adapting the historical networks on an ad-hoc basis. </w:t>
      </w:r>
      <w:r w:rsidR="00115B5F">
        <w:t>Although the area has a relatively dense public transport network, travellers have a high reliance on car use for travel. Milan itself has the highest car concentration in the world with 0.6 cars / inhabitant (</w:t>
      </w:r>
      <w:proofErr w:type="spellStart"/>
      <w:r w:rsidR="00115B5F">
        <w:t>Danielis</w:t>
      </w:r>
      <w:proofErr w:type="spellEnd"/>
      <w:r w:rsidR="00115B5F">
        <w:t xml:space="preserve"> R., et al, 2010). </w:t>
      </w:r>
      <w:r>
        <w:t>Currently the subway network is the basic pillar of the public transport network</w:t>
      </w:r>
      <w:r w:rsidR="00FA43F4">
        <w:t xml:space="preserve"> within the city</w:t>
      </w:r>
      <w:r>
        <w:t xml:space="preserve">, with tram and bus lines mainly serving as feeder networks in the main public network. However, the integration of the different public transport systems is not optimal. </w:t>
      </w:r>
      <w:r w:rsidR="00FA43F4">
        <w:t xml:space="preserve">Congestion within the central part of the city is an important problem, due to unadjusted transport connections and small, difficult to access streets. </w:t>
      </w:r>
    </w:p>
    <w:p w:rsidR="00A804E2" w:rsidRDefault="00FA43F4" w:rsidP="00461405">
      <w:r>
        <w:t>Urban sprawl around Milan is an important issue, as the growth of the city was uncontrolled and followed the extensions of the road network. Due the structure of Greater Milan, it is difficult to connect the periphery of the city with the centre by public transport.  The historical value of some parts of the city hinders changes in urban transport planning.</w:t>
      </w:r>
    </w:p>
    <w:p w:rsidR="00272F05" w:rsidRDefault="00A804E2" w:rsidP="00461405">
      <w:r>
        <w:t>The city of Milan is pursu</w:t>
      </w:r>
      <w:r w:rsidR="00FA43F4">
        <w:t xml:space="preserve">ing a strategy towards investing in mass transit, notably in extending the current metro lines, as well as redeveloping areas with new metro and tram connection. </w:t>
      </w:r>
      <w:r w:rsidR="00272F05">
        <w:t xml:space="preserve">More low cost options, oriented towards promotion of bike sharing and changing driver behaviour, have only recently been started up. </w:t>
      </w:r>
    </w:p>
    <w:p w:rsidR="005B48BC" w:rsidRDefault="00FA43F4" w:rsidP="00461405">
      <w:r>
        <w:t>One of the most striking decisions of the city, was to implement an LEZ zone</w:t>
      </w:r>
      <w:r w:rsidR="00CA36B3">
        <w:t xml:space="preserve"> from 2008-2011</w:t>
      </w:r>
      <w:r>
        <w:t>,</w:t>
      </w:r>
      <w:r w:rsidR="00115B5F">
        <w:t xml:space="preserve"> known as the Ecopass zone</w:t>
      </w:r>
      <w:r>
        <w:t xml:space="preserve"> which i</w:t>
      </w:r>
      <w:r w:rsidR="00CA36B3">
        <w:t>mplemented</w:t>
      </w:r>
      <w:r>
        <w:t xml:space="preserve"> a differential system of road charges </w:t>
      </w:r>
      <w:r w:rsidR="00115B5F">
        <w:t>according to the type of vehicle and its environmental (EURO) class</w:t>
      </w:r>
      <w:r w:rsidR="0054436E">
        <w:t xml:space="preserve"> ranging from €2 to €10</w:t>
      </w:r>
      <w:r w:rsidR="00115B5F">
        <w:t>. Ecopass was implemented in 2008, together with a number of other transport policies, in order to improve the quality of the urban environment. Pollution of car travel in the Greater Milan area is considered especially p</w:t>
      </w:r>
      <w:r w:rsidR="00CA36B3">
        <w:t>roblematic, due to the specific geographical situation of Milan, which leads to a retention of many of the emissions of transport.</w:t>
      </w:r>
      <w:r w:rsidR="000D53F6">
        <w:t xml:space="preserve"> Compared to London and Stockholm the charged area in Milan is relatively small and comprises only 5% of the city (7 sq. km versus respectively 22 &amp; 30 sq. km). Also (in fact similar to London), the charge </w:t>
      </w:r>
      <w:r w:rsidR="005B48BC">
        <w:t>had</w:t>
      </w:r>
      <w:r w:rsidR="000D53F6">
        <w:t xml:space="preserve"> no difference in the charging window and no difference in the distance of the trip. </w:t>
      </w:r>
    </w:p>
    <w:p w:rsidR="000D53F6" w:rsidRDefault="000D53F6" w:rsidP="00461405">
      <w:r>
        <w:t>Ecopass was quite successful in reducing the impact of transport on the environment. Average particulate matter (PM10) concentrations decreased with 20% in 2010, compared to 2007, which was mainly caused by a drastic change in the composition of the fleet. Traffic decreased by -21% in the first year. However, the change in fleet composition led to a decrease of the effectiveness of the Ecopass system, such that, by 2009, traffic began to steadily rise again. The environmental benefits stabilized and the revenue of the system decreased (</w:t>
      </w:r>
      <w:proofErr w:type="spellStart"/>
      <w:r>
        <w:t>Danielis</w:t>
      </w:r>
      <w:proofErr w:type="spellEnd"/>
      <w:r>
        <w:t xml:space="preserve"> R., et al, 2010).</w:t>
      </w:r>
    </w:p>
    <w:p w:rsidR="00F41926" w:rsidRDefault="005B48BC" w:rsidP="005B48BC">
      <w:r>
        <w:t xml:space="preserve">Since 2012, the Ecopass system has been replaced by a real road charge called Area C. The original Ecopass system had a large window for charges with respect to the pollution class of the </w:t>
      </w:r>
      <w:proofErr w:type="gramStart"/>
      <w:r>
        <w:t>vehicle,</w:t>
      </w:r>
      <w:proofErr w:type="gramEnd"/>
      <w:r>
        <w:t xml:space="preserve"> the replaced Area C is a simplified charge of €5 for each vehicle entering the zone. Residents of the area have 40 free accesses per year and </w:t>
      </w:r>
      <w:r>
        <w:lastRenderedPageBreak/>
        <w:t>enjoy a reduced fee of €2. The city is considering an extension to the charged area, but currently</w:t>
      </w:r>
      <w:r w:rsidR="004D1756">
        <w:t xml:space="preserve"> it is</w:t>
      </w:r>
      <w:r>
        <w:t xml:space="preserve"> still identical to the old Ecopass area.</w:t>
      </w:r>
    </w:p>
    <w:p w:rsidR="005B48BC" w:rsidRDefault="00F41926" w:rsidP="005B48BC">
      <w:r>
        <w:t xml:space="preserve">One other, small </w:t>
      </w:r>
      <w:r w:rsidR="009B7E7C">
        <w:t>initiative</w:t>
      </w:r>
      <w:r>
        <w:t xml:space="preserve"> t</w:t>
      </w:r>
      <w:r w:rsidR="009B7E7C">
        <w:t>hat deserves some attention is the CITYPLUS urban consolidation centre which was established in Milan in 2005. This is small provider of freight services, subsidized by the city, operating with 7 low emission vehicles. CITYPLUS collects goods in specific area and performs ‘last mile’ transport from so called ‘freight consolidation areas’ outside the main city centre. This type of initiatives have been started up in many Italian cities, but have (</w:t>
      </w:r>
      <w:proofErr w:type="spellStart"/>
      <w:r w:rsidR="000376FA">
        <w:t>Danielis</w:t>
      </w:r>
      <w:proofErr w:type="spellEnd"/>
      <w:r w:rsidR="000376FA">
        <w:t xml:space="preserve"> et al, 2010</w:t>
      </w:r>
      <w:r w:rsidR="009B7E7C">
        <w:t xml:space="preserve">) not been able to </w:t>
      </w:r>
      <w:r w:rsidR="000376FA">
        <w:t xml:space="preserve">take much urban freight from the road. </w:t>
      </w:r>
    </w:p>
    <w:p w:rsidR="005B48BC" w:rsidRDefault="00101C3E" w:rsidP="00461405">
      <w:r>
        <w:t xml:space="preserve">Our conclusion is that Milan is pursuing a policy oriented towards investments in public transport and road charging, similar to London, but less reliant on technological development. </w:t>
      </w:r>
      <w:r w:rsidR="00862A7C">
        <w:t>Changes in urban planning are difficul</w:t>
      </w:r>
      <w:r w:rsidR="007870E4">
        <w:t xml:space="preserve">t to realize in its setting, due to the complicated urban structure and strongly sprawled urban area. </w:t>
      </w:r>
    </w:p>
    <w:p w:rsidR="008F5964" w:rsidRDefault="008F5964" w:rsidP="00461405"/>
    <w:p w:rsidR="00862A7C" w:rsidRDefault="00B3784E" w:rsidP="00B3784E">
      <w:pPr>
        <w:pStyle w:val="Heading3"/>
      </w:pPr>
      <w:bookmarkStart w:id="24" w:name="_Toc366244934"/>
      <w:r>
        <w:t>Conclusion</w:t>
      </w:r>
      <w:bookmarkEnd w:id="24"/>
    </w:p>
    <w:p w:rsidR="007D6233" w:rsidRDefault="00B3784E" w:rsidP="00461405">
      <w:r>
        <w:t>Above, we have analysed</w:t>
      </w:r>
      <w:r w:rsidR="004D1756">
        <w:t xml:space="preserve"> the policies of three very different cities: Copenhagen, London and Milan. All of these cities have implemented strategies to control and reduce urban passenger and freight traffic, while at the same time making improvements in the liveability of the city and the mobility of its population. </w:t>
      </w:r>
    </w:p>
    <w:p w:rsidR="007D6233" w:rsidRDefault="007D6233" w:rsidP="00461405">
      <w:r>
        <w:t xml:space="preserve">These cases are interesting and to some degree comparable, as all of the cities have received particular attention for implementing successful urban policies, even when their starting point is very different. Copenhagen is well known for its urban planning and the implementation of its ‘Finger-plan’, London for its metro system and congestion charge, Milan in particular for its experiment with the Ecopass/Area C charging. </w:t>
      </w:r>
    </w:p>
    <w:p w:rsidR="00862A7C" w:rsidRDefault="00C504F9" w:rsidP="00461405">
      <w:r>
        <w:t>Analysing the type of policies implemented, we can retrieve a number of important elements.</w:t>
      </w:r>
    </w:p>
    <w:p w:rsidR="00C504F9" w:rsidRPr="00C504F9" w:rsidRDefault="00C504F9" w:rsidP="00461405">
      <w:pPr>
        <w:rPr>
          <w:b/>
          <w:u w:val="single"/>
        </w:rPr>
      </w:pPr>
      <w:r w:rsidRPr="00C504F9">
        <w:rPr>
          <w:b/>
          <w:u w:val="single"/>
        </w:rPr>
        <w:t>Urban planning</w:t>
      </w:r>
    </w:p>
    <w:p w:rsidR="00862A7C" w:rsidRDefault="00D52066" w:rsidP="00461405">
      <w:pPr>
        <w:rPr>
          <w:rStyle w:val="mw-headline"/>
        </w:rPr>
      </w:pPr>
      <w:r>
        <w:t>The city of Copenhagen was able to reduce the impact of urban sprawl, by implementing an urban extension plan based on efficient public transit connections</w:t>
      </w:r>
      <w:r w:rsidR="00312331">
        <w:t xml:space="preserve"> at an early stage of urban development</w:t>
      </w:r>
      <w:r>
        <w:t xml:space="preserve">. This strategy allows increasing the density of the city in some areas and </w:t>
      </w:r>
      <w:r w:rsidR="00334FDE">
        <w:t xml:space="preserve">is </w:t>
      </w:r>
      <w:r>
        <w:t>less damaging to the open space and environment around the city, while</w:t>
      </w:r>
      <w:r w:rsidR="00334FDE">
        <w:t xml:space="preserve"> at the same time promoting public transit over private road transport. Admittedly, urban planning cannot avoid</w:t>
      </w:r>
      <w:r>
        <w:t xml:space="preserve"> urban sprawl completely and </w:t>
      </w:r>
      <w:r w:rsidR="00334FDE">
        <w:t xml:space="preserve">Copenhagen’s strategy </w:t>
      </w:r>
      <w:r>
        <w:t xml:space="preserve">may have even enforced it to some degree, by allowing the growth of suburban areas, now connected by railways. </w:t>
      </w:r>
      <w:r w:rsidR="00334FDE">
        <w:t xml:space="preserve">The case of </w:t>
      </w:r>
      <w:proofErr w:type="spellStart"/>
      <w:r w:rsidR="00334FDE">
        <w:rPr>
          <w:rStyle w:val="mw-headline"/>
        </w:rPr>
        <w:t>Ørestad</w:t>
      </w:r>
      <w:proofErr w:type="spellEnd"/>
      <w:r w:rsidR="00334FDE">
        <w:rPr>
          <w:rStyle w:val="mw-headline"/>
        </w:rPr>
        <w:t xml:space="preserve"> also </w:t>
      </w:r>
      <w:proofErr w:type="gramStart"/>
      <w:r w:rsidR="00334FDE">
        <w:rPr>
          <w:rStyle w:val="mw-headline"/>
        </w:rPr>
        <w:t>shows,</w:t>
      </w:r>
      <w:proofErr w:type="gramEnd"/>
      <w:r w:rsidR="00334FDE">
        <w:rPr>
          <w:rStyle w:val="mw-headline"/>
        </w:rPr>
        <w:t xml:space="preserve"> that this type of project should be to a certain extent demand-driven and not go against the logic of urban development. For example, </w:t>
      </w:r>
      <w:proofErr w:type="spellStart"/>
      <w:r w:rsidR="00334FDE">
        <w:rPr>
          <w:rStyle w:val="mw-headline"/>
        </w:rPr>
        <w:t>Ørestad</w:t>
      </w:r>
      <w:proofErr w:type="spellEnd"/>
      <w:r w:rsidR="00334FDE">
        <w:rPr>
          <w:rStyle w:val="mw-headline"/>
        </w:rPr>
        <w:t xml:space="preserve"> created out-of-</w:t>
      </w:r>
      <w:proofErr w:type="spellStart"/>
      <w:r w:rsidR="00334FDE">
        <w:rPr>
          <w:rStyle w:val="mw-headline"/>
        </w:rPr>
        <w:t>center</w:t>
      </w:r>
      <w:proofErr w:type="spellEnd"/>
      <w:r w:rsidR="00334FDE">
        <w:rPr>
          <w:rStyle w:val="mw-headline"/>
        </w:rPr>
        <w:t xml:space="preserve"> office space, while there was alread</w:t>
      </w:r>
      <w:r w:rsidR="00312331">
        <w:rPr>
          <w:rStyle w:val="mw-headline"/>
        </w:rPr>
        <w:t xml:space="preserve">y was a </w:t>
      </w:r>
      <w:r w:rsidR="00334FDE">
        <w:rPr>
          <w:rStyle w:val="mw-headline"/>
        </w:rPr>
        <w:t>surplus</w:t>
      </w:r>
      <w:r w:rsidR="00312331">
        <w:rPr>
          <w:rStyle w:val="mw-headline"/>
        </w:rPr>
        <w:t xml:space="preserve"> </w:t>
      </w:r>
      <w:r w:rsidR="00334FDE">
        <w:rPr>
          <w:rStyle w:val="mw-headline"/>
        </w:rPr>
        <w:t xml:space="preserve">in many central areas. </w:t>
      </w:r>
    </w:p>
    <w:p w:rsidR="00334FDE" w:rsidRDefault="00334FDE" w:rsidP="00461405">
      <w:pPr>
        <w:rPr>
          <w:rStyle w:val="mw-headline"/>
        </w:rPr>
      </w:pPr>
      <w:r>
        <w:rPr>
          <w:rStyle w:val="mw-headline"/>
        </w:rPr>
        <w:t xml:space="preserve">The case of Copenhagen stands in sharp contrast to the city of Milan, which has sprawled over a large area and has a much less hierarchically organized transport system. Therefore the city has more problems to connect its various suburbs to the </w:t>
      </w:r>
      <w:r>
        <w:rPr>
          <w:rStyle w:val="mw-headline"/>
        </w:rPr>
        <w:lastRenderedPageBreak/>
        <w:t>main city, as well as moving people towards mass t</w:t>
      </w:r>
      <w:r w:rsidR="00175994">
        <w:rPr>
          <w:rStyle w:val="mw-headline"/>
        </w:rPr>
        <w:t>ransit and away from private car transport.</w:t>
      </w:r>
      <w:r w:rsidR="00FE244A">
        <w:rPr>
          <w:rStyle w:val="mw-headline"/>
        </w:rPr>
        <w:t xml:space="preserve"> The case of London stands between the extremes of Copenhagen and Milan in this respect. London is strong in urban planning and organization of its public transit system, but it may be that the city’s large overall density and sprawl</w:t>
      </w:r>
      <w:r w:rsidR="008567F0">
        <w:rPr>
          <w:rStyle w:val="mw-headline"/>
        </w:rPr>
        <w:t xml:space="preserve"> as well as its historical development,</w:t>
      </w:r>
      <w:r w:rsidR="00FE244A">
        <w:rPr>
          <w:rStyle w:val="mw-headline"/>
        </w:rPr>
        <w:t xml:space="preserve"> make it difficult to reach the same degree of </w:t>
      </w:r>
      <w:r w:rsidR="008567F0">
        <w:rPr>
          <w:rStyle w:val="mw-headline"/>
        </w:rPr>
        <w:t>liveability as Copenhagen.</w:t>
      </w:r>
    </w:p>
    <w:p w:rsidR="00175994" w:rsidRPr="00175994" w:rsidRDefault="00175994" w:rsidP="00461405">
      <w:pPr>
        <w:rPr>
          <w:rStyle w:val="mw-headline"/>
          <w:b/>
          <w:u w:val="single"/>
        </w:rPr>
      </w:pPr>
      <w:r w:rsidRPr="00175994">
        <w:rPr>
          <w:rStyle w:val="mw-headline"/>
          <w:b/>
          <w:u w:val="single"/>
        </w:rPr>
        <w:t>Road charging</w:t>
      </w:r>
      <w:r w:rsidR="00437665">
        <w:rPr>
          <w:rStyle w:val="mw-headline"/>
          <w:b/>
          <w:u w:val="single"/>
        </w:rPr>
        <w:t xml:space="preserve"> </w:t>
      </w:r>
    </w:p>
    <w:p w:rsidR="007D6233" w:rsidRDefault="00C75109" w:rsidP="00461405">
      <w:r>
        <w:t>Not many cities have implemented a road charging system in the way it is theoretically intended, namely: ‘a kilometre and time-dependent road charge to optimise the use of the capacity and reduce external congestion costs. However, the idea of access restrictions and charges is slowly finding its way into people’s mind, sometimes against substantial public opposition. In the cities where road charging or a similar type of charges were introduced (London, Milan, Stockholm</w:t>
      </w:r>
      <w:r>
        <w:rPr>
          <w:rStyle w:val="FootnoteReference"/>
        </w:rPr>
        <w:footnoteReference w:id="3"/>
      </w:r>
      <w:r>
        <w:t>), public acceptance seemed to grow substantially after introduction</w:t>
      </w:r>
      <w:r w:rsidR="000F5EA2">
        <w:rPr>
          <w:rStyle w:val="FootnoteReference"/>
        </w:rPr>
        <w:footnoteReference w:id="4"/>
      </w:r>
      <w:r>
        <w:t>.</w:t>
      </w:r>
    </w:p>
    <w:p w:rsidR="007B69EE" w:rsidRDefault="00C75109" w:rsidP="00461405">
      <w:r>
        <w:t>The impact of a road charge is largest when the</w:t>
      </w:r>
      <w:r w:rsidR="00437665">
        <w:t xml:space="preserve"> charge is first introduced and has often led to significant reductions in traffic and emissions. The impact on longer term is often lower, as people tend the change their travel behaviour and/or location or exploit certain exemptions built into the scheme.</w:t>
      </w:r>
      <w:r w:rsidR="007B69EE">
        <w:t xml:space="preserve"> In fact, this makes clear that road charging is only one of the tools a city can use to improve the urban traffic flow and that its set-up should be considered carefully. </w:t>
      </w:r>
    </w:p>
    <w:p w:rsidR="00862A7C" w:rsidRDefault="00437665" w:rsidP="00461405">
      <w:r>
        <w:t xml:space="preserve"> </w:t>
      </w:r>
      <w:r w:rsidR="007B69EE">
        <w:t xml:space="preserve">Still, it seems that road charging will more and more be used as a primary tool for the regulation of urban traffic. </w:t>
      </w:r>
    </w:p>
    <w:p w:rsidR="00437665" w:rsidRPr="00437665" w:rsidRDefault="00437665" w:rsidP="00461405">
      <w:pPr>
        <w:rPr>
          <w:b/>
          <w:u w:val="single"/>
        </w:rPr>
      </w:pPr>
      <w:r w:rsidRPr="00437665">
        <w:rPr>
          <w:b/>
          <w:u w:val="single"/>
        </w:rPr>
        <w:t>Low Emission Zones (LEZ)</w:t>
      </w:r>
    </w:p>
    <w:p w:rsidR="00862A7C" w:rsidRDefault="007B69EE" w:rsidP="00461405">
      <w:r>
        <w:t>Low Emissions Zones are zones implementing an access restriction</w:t>
      </w:r>
      <w:r w:rsidR="00803E99">
        <w:t xml:space="preserve"> for road traffic</w:t>
      </w:r>
      <w:r>
        <w:t xml:space="preserve"> in one part of the city, often in</w:t>
      </w:r>
      <w:r w:rsidR="00803E99">
        <w:t xml:space="preserve"> combination with a charge. LEZ’s have found their way into urban planning and are now gaining acceptance among a wider range of stakeholders. Recent history has shown that, LEZ’s provide a way to reduce the emissions of road traffic and leading to short-term reduction in congestion. Milan provides an interesting case were an LEZ zone was introduced and under public pressure, upgraded to a full road charging system. In this way, it seems that LEZ’s provide a way to introduce road charging in a publically acceptable way. </w:t>
      </w:r>
    </w:p>
    <w:p w:rsidR="00130A41" w:rsidRDefault="00130A41" w:rsidP="00461405">
      <w:pPr>
        <w:rPr>
          <w:b/>
          <w:u w:val="single"/>
        </w:rPr>
      </w:pPr>
      <w:r w:rsidRPr="00130A41">
        <w:rPr>
          <w:b/>
          <w:u w:val="single"/>
        </w:rPr>
        <w:t>Urban freight</w:t>
      </w:r>
    </w:p>
    <w:p w:rsidR="00130A41" w:rsidRDefault="009C12BA" w:rsidP="00461405">
      <w:r>
        <w:t xml:space="preserve">To reduce the impact of urban freight in the city, cities tend to work with access restrictions for heavy goods or only allow deliveries within a certain window of time. For example, in London, deliveries may only take place during weekdays and never at night. Milan has included urban freight in its congestion charging system (during Ecopass), but only for polluting vehicles. </w:t>
      </w:r>
    </w:p>
    <w:p w:rsidR="000376FA" w:rsidRPr="00130A41" w:rsidRDefault="000376FA" w:rsidP="00461405">
      <w:r>
        <w:lastRenderedPageBreak/>
        <w:t xml:space="preserve">Many cities are currently considering the implementation of Urban Consolidation </w:t>
      </w:r>
      <w:proofErr w:type="spellStart"/>
      <w:r>
        <w:t>Centers</w:t>
      </w:r>
      <w:proofErr w:type="spellEnd"/>
      <w:r>
        <w:t xml:space="preserve"> (Brown M., 2007) with mixed successes. </w:t>
      </w:r>
    </w:p>
    <w:p w:rsidR="00803E99" w:rsidRPr="00803E99" w:rsidRDefault="00803E99" w:rsidP="00461405">
      <w:pPr>
        <w:rPr>
          <w:b/>
          <w:u w:val="single"/>
        </w:rPr>
      </w:pPr>
      <w:r w:rsidRPr="00803E99">
        <w:rPr>
          <w:b/>
          <w:u w:val="single"/>
        </w:rPr>
        <w:t>Public transport</w:t>
      </w:r>
    </w:p>
    <w:p w:rsidR="00862A7C" w:rsidRDefault="00803E99" w:rsidP="00461405">
      <w:r>
        <w:t xml:space="preserve">Each of the cities discussed relies heavily on subway, tram and bus networks to move passengers across the city. The case of London and Copenhagen has shown that improvements in ticketing, such as standard tickets across all intra-city transport and ‘fast-passes’ such the Oyster pass, can reduce waiting times substantially and make public transport more attractive. </w:t>
      </w:r>
    </w:p>
    <w:p w:rsidR="00803E99" w:rsidRDefault="008E632C" w:rsidP="00461405">
      <w:r>
        <w:t xml:space="preserve">In the case of London, earmarking the taxes from the road </w:t>
      </w:r>
      <w:proofErr w:type="gramStart"/>
      <w:r>
        <w:t>charge,</w:t>
      </w:r>
      <w:proofErr w:type="gramEnd"/>
      <w:r>
        <w:t xml:space="preserve"> has substantially helped to gain public acceptance for the scheme. Also, it creates a direct link between the revenues collected from road charges (and thus from congestion) and investments in public roads and public transport. </w:t>
      </w:r>
    </w:p>
    <w:p w:rsidR="009C12BA" w:rsidRDefault="009C12BA" w:rsidP="00461405">
      <w:pPr>
        <w:rPr>
          <w:b/>
          <w:u w:val="single"/>
        </w:rPr>
      </w:pPr>
      <w:r w:rsidRPr="009C12BA">
        <w:rPr>
          <w:b/>
          <w:u w:val="single"/>
        </w:rPr>
        <w:t>Promotion of fuel efficient and electric vehicles</w:t>
      </w:r>
    </w:p>
    <w:p w:rsidR="009C12BA" w:rsidRDefault="009C12BA" w:rsidP="00461405">
      <w:r>
        <w:t>All of the cities discussed are enabling some kind of promotion of electric vehicles and hybrids. Both under the Ecopass and the new Area C system, electric vehicles are free of charge in Milan. The same is true for the London Congestion Charge and London LEZ.</w:t>
      </w:r>
    </w:p>
    <w:p w:rsidR="009C12BA" w:rsidRPr="009C12BA" w:rsidRDefault="009C12BA" w:rsidP="00461405">
      <w:r>
        <w:t xml:space="preserve"> Electric vehicles in London and Copenhagen can park free of charge and new parking spaces are being created to allow free recharges for electric vehicles. Milan, Copenhagen and London are buying electric vehicles for use within the municipality. </w:t>
      </w:r>
    </w:p>
    <w:p w:rsidR="00862A7C" w:rsidRDefault="008E632C" w:rsidP="00461405">
      <w:pPr>
        <w:rPr>
          <w:b/>
          <w:u w:val="single"/>
        </w:rPr>
      </w:pPr>
      <w:r>
        <w:rPr>
          <w:b/>
          <w:u w:val="single"/>
        </w:rPr>
        <w:t>Promotion of cycling and walking</w:t>
      </w:r>
    </w:p>
    <w:p w:rsidR="008E632C" w:rsidRPr="008E632C" w:rsidRDefault="008E632C" w:rsidP="00461405">
      <w:r>
        <w:t>In all cities some promotion of cycling was taking place, even though in London (1%) and Milan (&lt;1%) only a very small share of the transport trips are taking place by bike. Copenhagen has the most ambitious biking strategy and is on its way to reach 33% share of all transport trips.</w:t>
      </w:r>
    </w:p>
    <w:p w:rsidR="00862A7C" w:rsidRDefault="008E632C" w:rsidP="00461405">
      <w:pPr>
        <w:rPr>
          <w:b/>
          <w:u w:val="single"/>
        </w:rPr>
      </w:pPr>
      <w:r w:rsidRPr="008E632C">
        <w:rPr>
          <w:b/>
          <w:u w:val="single"/>
        </w:rPr>
        <w:t>Match between NEUJOBS scenarios and city policies</w:t>
      </w:r>
    </w:p>
    <w:p w:rsidR="009C12BA" w:rsidRDefault="009C12BA" w:rsidP="00461405">
      <w:r>
        <w:t xml:space="preserve">The table below provides an additional match between the NEUJOBS policy scenarios and the city level policies. </w:t>
      </w:r>
    </w:p>
    <w:p w:rsidR="00F11225" w:rsidRDefault="00F11225" w:rsidP="00461405"/>
    <w:p w:rsidR="008567F0" w:rsidRDefault="008567F0">
      <w:pPr>
        <w:spacing w:before="70"/>
        <w:ind w:left="850" w:right="965"/>
      </w:pPr>
      <w:r>
        <w:br w:type="page"/>
      </w:r>
    </w:p>
    <w:p w:rsidR="00363FFA" w:rsidRDefault="00363FFA" w:rsidP="00363FFA">
      <w:pPr>
        <w:pStyle w:val="Caption"/>
        <w:rPr>
          <w:lang w:val="en-US"/>
        </w:rPr>
      </w:pPr>
      <w:bookmarkStart w:id="25" w:name="_Toc373136641"/>
      <w:r>
        <w:lastRenderedPageBreak/>
        <w:t xml:space="preserve">Table </w:t>
      </w:r>
      <w:r>
        <w:fldChar w:fldCharType="begin"/>
      </w:r>
      <w:r>
        <w:instrText xml:space="preserve"> SEQ Table \* ARABIC </w:instrText>
      </w:r>
      <w:r>
        <w:fldChar w:fldCharType="separate"/>
      </w:r>
      <w:r w:rsidR="0013270A">
        <w:rPr>
          <w:noProof/>
        </w:rPr>
        <w:t>4</w:t>
      </w:r>
      <w:r>
        <w:fldChar w:fldCharType="end"/>
      </w:r>
      <w:r>
        <w:t>: Match between key points of the traffic and travel management plan and D15.2</w:t>
      </w:r>
      <w:bookmarkEnd w:id="25"/>
    </w:p>
    <w:tbl>
      <w:tblPr>
        <w:tblStyle w:val="TableGrid"/>
        <w:tblW w:w="0" w:type="auto"/>
        <w:tblLook w:val="04A0" w:firstRow="1" w:lastRow="0" w:firstColumn="1" w:lastColumn="0" w:noHBand="0" w:noVBand="1"/>
      </w:tblPr>
      <w:tblGrid>
        <w:gridCol w:w="572"/>
        <w:gridCol w:w="1804"/>
        <w:gridCol w:w="2127"/>
        <w:gridCol w:w="2174"/>
        <w:gridCol w:w="2044"/>
      </w:tblGrid>
      <w:tr w:rsidR="00101C3E" w:rsidRPr="002172E5" w:rsidTr="00AB37F5">
        <w:trPr>
          <w:trHeight w:val="529"/>
        </w:trPr>
        <w:tc>
          <w:tcPr>
            <w:tcW w:w="572" w:type="dxa"/>
            <w:shd w:val="clear" w:color="auto" w:fill="C4BC96" w:themeFill="background2" w:themeFillShade="BF"/>
          </w:tcPr>
          <w:p w:rsidR="00101C3E" w:rsidRDefault="00101C3E" w:rsidP="004B08DA">
            <w:pPr>
              <w:rPr>
                <w:b/>
              </w:rPr>
            </w:pPr>
          </w:p>
        </w:tc>
        <w:tc>
          <w:tcPr>
            <w:tcW w:w="1804" w:type="dxa"/>
            <w:shd w:val="clear" w:color="auto" w:fill="C4BC96" w:themeFill="background2" w:themeFillShade="BF"/>
          </w:tcPr>
          <w:p w:rsidR="00101C3E" w:rsidRPr="002172E5" w:rsidRDefault="00101C3E" w:rsidP="004B08DA">
            <w:pPr>
              <w:rPr>
                <w:b/>
              </w:rPr>
            </w:pPr>
            <w:r>
              <w:rPr>
                <w:b/>
              </w:rPr>
              <w:t xml:space="preserve">Policy scenarios in D15.2 </w:t>
            </w:r>
          </w:p>
        </w:tc>
        <w:tc>
          <w:tcPr>
            <w:tcW w:w="2127" w:type="dxa"/>
            <w:shd w:val="clear" w:color="auto" w:fill="C4BC96" w:themeFill="background2" w:themeFillShade="BF"/>
          </w:tcPr>
          <w:p w:rsidR="00101C3E" w:rsidRDefault="00101C3E" w:rsidP="004B08DA">
            <w:pPr>
              <w:rPr>
                <w:b/>
              </w:rPr>
            </w:pPr>
            <w:r>
              <w:rPr>
                <w:b/>
              </w:rPr>
              <w:t>Copenhagen</w:t>
            </w:r>
          </w:p>
        </w:tc>
        <w:tc>
          <w:tcPr>
            <w:tcW w:w="2174" w:type="dxa"/>
            <w:shd w:val="clear" w:color="auto" w:fill="C4BC96" w:themeFill="background2" w:themeFillShade="BF"/>
          </w:tcPr>
          <w:p w:rsidR="00101C3E" w:rsidRDefault="00101C3E" w:rsidP="004B08DA">
            <w:pPr>
              <w:rPr>
                <w:b/>
              </w:rPr>
            </w:pPr>
            <w:r>
              <w:rPr>
                <w:b/>
              </w:rPr>
              <w:t xml:space="preserve">London </w:t>
            </w:r>
          </w:p>
        </w:tc>
        <w:tc>
          <w:tcPr>
            <w:tcW w:w="2044" w:type="dxa"/>
            <w:shd w:val="clear" w:color="auto" w:fill="C4BC96" w:themeFill="background2" w:themeFillShade="BF"/>
          </w:tcPr>
          <w:p w:rsidR="00101C3E" w:rsidRDefault="00101C3E" w:rsidP="004B08DA">
            <w:pPr>
              <w:rPr>
                <w:b/>
              </w:rPr>
            </w:pPr>
            <w:r>
              <w:rPr>
                <w:b/>
              </w:rPr>
              <w:t>Milan</w:t>
            </w:r>
          </w:p>
        </w:tc>
      </w:tr>
      <w:tr w:rsidR="00862A7C" w:rsidTr="00AB37F5">
        <w:trPr>
          <w:trHeight w:val="746"/>
        </w:trPr>
        <w:tc>
          <w:tcPr>
            <w:tcW w:w="572" w:type="dxa"/>
          </w:tcPr>
          <w:p w:rsidR="00862A7C" w:rsidRDefault="00C42832" w:rsidP="004B08DA">
            <w:pPr>
              <w:jc w:val="left"/>
            </w:pPr>
            <w:r>
              <w:t>1&amp;2</w:t>
            </w:r>
          </w:p>
        </w:tc>
        <w:tc>
          <w:tcPr>
            <w:tcW w:w="1804" w:type="dxa"/>
          </w:tcPr>
          <w:p w:rsidR="00862A7C" w:rsidRDefault="00C42832" w:rsidP="004B08DA">
            <w:pPr>
              <w:jc w:val="left"/>
            </w:pPr>
            <w:r>
              <w:t>Energy and fuel efficiency</w:t>
            </w:r>
          </w:p>
        </w:tc>
        <w:tc>
          <w:tcPr>
            <w:tcW w:w="2127" w:type="dxa"/>
          </w:tcPr>
          <w:p w:rsidR="00862A7C" w:rsidRDefault="00AB37F5" w:rsidP="004B08DA">
            <w:pPr>
              <w:jc w:val="left"/>
            </w:pPr>
            <w:r>
              <w:t>Promotion of cycling</w:t>
            </w:r>
            <w:r>
              <w:br/>
              <w:t>Promotion of low carbon solution -&gt; Copenhagen carbon free in 2025</w:t>
            </w:r>
          </w:p>
        </w:tc>
        <w:tc>
          <w:tcPr>
            <w:tcW w:w="2174" w:type="dxa"/>
          </w:tcPr>
          <w:p w:rsidR="00862A7C" w:rsidRDefault="00AB37F5" w:rsidP="004B08DA">
            <w:pPr>
              <w:jc w:val="left"/>
            </w:pPr>
            <w:r>
              <w:t xml:space="preserve">Hybridization of public busses </w:t>
            </w:r>
          </w:p>
          <w:p w:rsidR="00AB37F5" w:rsidRDefault="00AB37F5" w:rsidP="004B08DA">
            <w:pPr>
              <w:jc w:val="left"/>
            </w:pPr>
            <w:r>
              <w:t>Tax discounts for low polluting vehicles</w:t>
            </w:r>
          </w:p>
        </w:tc>
        <w:tc>
          <w:tcPr>
            <w:tcW w:w="2044" w:type="dxa"/>
          </w:tcPr>
          <w:p w:rsidR="00862A7C" w:rsidRDefault="009E6C23" w:rsidP="009D559B">
            <w:pPr>
              <w:jc w:val="left"/>
            </w:pPr>
            <w:proofErr w:type="spellStart"/>
            <w:r>
              <w:t>EcoPass</w:t>
            </w:r>
            <w:proofErr w:type="spellEnd"/>
            <w:r>
              <w:t xml:space="preserve"> system differential charging </w:t>
            </w:r>
            <w:r w:rsidR="009D559B">
              <w:t xml:space="preserve">for low polluting vehicles, </w:t>
            </w:r>
          </w:p>
        </w:tc>
      </w:tr>
      <w:tr w:rsidR="00862A7C" w:rsidTr="00AB37F5">
        <w:trPr>
          <w:trHeight w:val="746"/>
        </w:trPr>
        <w:tc>
          <w:tcPr>
            <w:tcW w:w="572" w:type="dxa"/>
          </w:tcPr>
          <w:p w:rsidR="00862A7C" w:rsidRDefault="00C42832" w:rsidP="004B08DA">
            <w:pPr>
              <w:jc w:val="left"/>
            </w:pPr>
            <w:r>
              <w:t>3</w:t>
            </w:r>
          </w:p>
        </w:tc>
        <w:tc>
          <w:tcPr>
            <w:tcW w:w="1804" w:type="dxa"/>
          </w:tcPr>
          <w:p w:rsidR="00862A7C" w:rsidRDefault="00C42832" w:rsidP="004B08DA">
            <w:pPr>
              <w:jc w:val="left"/>
            </w:pPr>
            <w:r>
              <w:t>Electrification of transport</w:t>
            </w:r>
          </w:p>
        </w:tc>
        <w:tc>
          <w:tcPr>
            <w:tcW w:w="2127" w:type="dxa"/>
          </w:tcPr>
          <w:p w:rsidR="009E6C23" w:rsidRDefault="009E6C23" w:rsidP="004B08DA">
            <w:pPr>
              <w:jc w:val="left"/>
            </w:pPr>
            <w:r>
              <w:t>EV parking free of charge – 85% of municipal vehicles electric (by 2015)</w:t>
            </w:r>
            <w:r>
              <w:br/>
              <w:t>Increase in EV recharging points and parking places</w:t>
            </w:r>
          </w:p>
          <w:p w:rsidR="00862A7C" w:rsidRDefault="009E6C23" w:rsidP="004B08DA">
            <w:pPr>
              <w:jc w:val="left"/>
            </w:pPr>
            <w:r>
              <w:t>Plans for full scale infrastructure adapta</w:t>
            </w:r>
            <w:r w:rsidR="00C60BD2">
              <w:t>t</w:t>
            </w:r>
            <w:r>
              <w:t xml:space="preserve">ion. </w:t>
            </w:r>
          </w:p>
        </w:tc>
        <w:tc>
          <w:tcPr>
            <w:tcW w:w="2174" w:type="dxa"/>
          </w:tcPr>
          <w:p w:rsidR="00862A7C" w:rsidRDefault="00AB37F5" w:rsidP="004B08DA">
            <w:pPr>
              <w:jc w:val="left"/>
            </w:pPr>
            <w:r>
              <w:t>Installation of recharging points – reaching 8% of penetration by 2025</w:t>
            </w:r>
          </w:p>
          <w:p w:rsidR="009E6C23" w:rsidRDefault="009E6C23" w:rsidP="004B08DA">
            <w:pPr>
              <w:jc w:val="left"/>
            </w:pPr>
            <w:r>
              <w:t>No parking charges + other government stimuli towards EV’s</w:t>
            </w:r>
          </w:p>
        </w:tc>
        <w:tc>
          <w:tcPr>
            <w:tcW w:w="2044" w:type="dxa"/>
          </w:tcPr>
          <w:p w:rsidR="00AB37F5" w:rsidRDefault="00AB37F5" w:rsidP="009E6C23">
            <w:pPr>
              <w:jc w:val="left"/>
            </w:pPr>
            <w:r>
              <w:t>Milan one of first cities in Italy with recharging point for EV’s</w:t>
            </w:r>
          </w:p>
          <w:p w:rsidR="009E6C23" w:rsidRDefault="009D559B" w:rsidP="009E6C23">
            <w:pPr>
              <w:jc w:val="left"/>
            </w:pPr>
            <w:r>
              <w:t>Area C exempts EV’s and hybrid cars from charges.</w:t>
            </w:r>
          </w:p>
        </w:tc>
      </w:tr>
      <w:tr w:rsidR="00101C3E" w:rsidTr="00AB37F5">
        <w:trPr>
          <w:trHeight w:val="746"/>
        </w:trPr>
        <w:tc>
          <w:tcPr>
            <w:tcW w:w="572" w:type="dxa"/>
          </w:tcPr>
          <w:p w:rsidR="00101C3E" w:rsidRDefault="00101C3E" w:rsidP="004B08DA">
            <w:pPr>
              <w:jc w:val="left"/>
            </w:pPr>
            <w:r>
              <w:t>4</w:t>
            </w:r>
          </w:p>
        </w:tc>
        <w:tc>
          <w:tcPr>
            <w:tcW w:w="1804" w:type="dxa"/>
          </w:tcPr>
          <w:p w:rsidR="00101C3E" w:rsidRDefault="00101C3E" w:rsidP="004B08DA">
            <w:pPr>
              <w:jc w:val="left"/>
            </w:pPr>
            <w:r>
              <w:t>Internalization of external costs of transport</w:t>
            </w:r>
          </w:p>
        </w:tc>
        <w:tc>
          <w:tcPr>
            <w:tcW w:w="2127" w:type="dxa"/>
          </w:tcPr>
          <w:p w:rsidR="00101C3E" w:rsidRDefault="00101C3E" w:rsidP="004B08DA">
            <w:pPr>
              <w:jc w:val="left"/>
            </w:pPr>
            <w:r>
              <w:t>Drawing up of parking strategy</w:t>
            </w:r>
          </w:p>
          <w:p w:rsidR="00101C3E" w:rsidRDefault="00101C3E" w:rsidP="004B08DA">
            <w:pPr>
              <w:jc w:val="left"/>
            </w:pPr>
            <w:r>
              <w:t>Noise abatement</w:t>
            </w:r>
          </w:p>
          <w:p w:rsidR="00101C3E" w:rsidRDefault="00101C3E" w:rsidP="004B08DA">
            <w:pPr>
              <w:jc w:val="left"/>
            </w:pPr>
            <w:r>
              <w:t>Introduction of road pricing</w:t>
            </w:r>
          </w:p>
          <w:p w:rsidR="00101C3E" w:rsidRDefault="00101C3E" w:rsidP="004B08DA">
            <w:pPr>
              <w:jc w:val="left"/>
            </w:pPr>
            <w:r>
              <w:t>New speed limits</w:t>
            </w:r>
          </w:p>
          <w:p w:rsidR="00D75415" w:rsidRDefault="00D75415" w:rsidP="004B08DA">
            <w:pPr>
              <w:jc w:val="left"/>
            </w:pPr>
            <w:r>
              <w:t>Road charging is being considered.</w:t>
            </w:r>
          </w:p>
        </w:tc>
        <w:tc>
          <w:tcPr>
            <w:tcW w:w="2174" w:type="dxa"/>
          </w:tcPr>
          <w:p w:rsidR="00101C3E" w:rsidRDefault="00101C3E" w:rsidP="004B08DA">
            <w:pPr>
              <w:jc w:val="left"/>
            </w:pPr>
            <w:r>
              <w:t>London congestion charge (LCCS)</w:t>
            </w:r>
          </w:p>
          <w:p w:rsidR="00101C3E" w:rsidRDefault="00101C3E" w:rsidP="004B08DA">
            <w:pPr>
              <w:jc w:val="left"/>
            </w:pPr>
            <w:r>
              <w:t>LEZ zone for Greater London</w:t>
            </w:r>
          </w:p>
          <w:p w:rsidR="00AB37F5" w:rsidRDefault="00AB37F5" w:rsidP="004B08DA">
            <w:pPr>
              <w:jc w:val="left"/>
            </w:pPr>
            <w:r>
              <w:t>Innovative parking charges (time and emission dependent)</w:t>
            </w:r>
          </w:p>
          <w:p w:rsidR="00F72B94" w:rsidRDefault="00F72B94" w:rsidP="004B08DA">
            <w:pPr>
              <w:jc w:val="left"/>
            </w:pPr>
            <w:r>
              <w:rPr>
                <w:lang w:val="en-US"/>
              </w:rPr>
              <w:t>Access restrictions for freight during night and weekends</w:t>
            </w:r>
            <w:r>
              <w:rPr>
                <w:rStyle w:val="FootnoteReference"/>
                <w:lang w:val="en-US"/>
              </w:rPr>
              <w:footnoteReference w:id="5"/>
            </w:r>
          </w:p>
        </w:tc>
        <w:tc>
          <w:tcPr>
            <w:tcW w:w="2044" w:type="dxa"/>
          </w:tcPr>
          <w:p w:rsidR="00101C3E" w:rsidRDefault="00D75415" w:rsidP="004B08DA">
            <w:pPr>
              <w:jc w:val="left"/>
            </w:pPr>
            <w:r>
              <w:t xml:space="preserve">Ecopass and its suitor Area C. </w:t>
            </w:r>
          </w:p>
        </w:tc>
      </w:tr>
      <w:tr w:rsidR="00101C3E" w:rsidTr="00AB37F5">
        <w:trPr>
          <w:trHeight w:val="990"/>
        </w:trPr>
        <w:tc>
          <w:tcPr>
            <w:tcW w:w="572" w:type="dxa"/>
          </w:tcPr>
          <w:p w:rsidR="00101C3E" w:rsidRDefault="00101C3E" w:rsidP="004B08DA">
            <w:r>
              <w:t>5</w:t>
            </w:r>
          </w:p>
        </w:tc>
        <w:tc>
          <w:tcPr>
            <w:tcW w:w="1804" w:type="dxa"/>
          </w:tcPr>
          <w:p w:rsidR="00101C3E" w:rsidRDefault="00101C3E" w:rsidP="004B08DA">
            <w:r>
              <w:t>Reduced use of own car transport in favour of public transit and car sharing</w:t>
            </w:r>
          </w:p>
        </w:tc>
        <w:tc>
          <w:tcPr>
            <w:tcW w:w="2127" w:type="dxa"/>
          </w:tcPr>
          <w:p w:rsidR="00101C3E" w:rsidRDefault="00101C3E" w:rsidP="004B08DA">
            <w:pPr>
              <w:rPr>
                <w:lang w:val="en-US"/>
              </w:rPr>
            </w:pPr>
            <w:r>
              <w:rPr>
                <w:lang w:val="en-US"/>
              </w:rPr>
              <w:t>More cycle tracks + more cycle routes</w:t>
            </w:r>
          </w:p>
          <w:p w:rsidR="00101C3E" w:rsidRDefault="00101C3E" w:rsidP="004B08DA">
            <w:pPr>
              <w:rPr>
                <w:lang w:val="en-US"/>
              </w:rPr>
            </w:pPr>
            <w:r>
              <w:rPr>
                <w:lang w:val="en-US"/>
              </w:rPr>
              <w:t>Enlarging of the metro + public transport in development areas</w:t>
            </w:r>
          </w:p>
          <w:p w:rsidR="00101C3E" w:rsidRDefault="00101C3E" w:rsidP="004B08DA">
            <w:pPr>
              <w:rPr>
                <w:lang w:val="en-US"/>
              </w:rPr>
            </w:pPr>
            <w:r>
              <w:rPr>
                <w:lang w:val="en-US"/>
              </w:rPr>
              <w:t>Change travel habits</w:t>
            </w:r>
          </w:p>
          <w:p w:rsidR="00101C3E" w:rsidRPr="005A4283" w:rsidRDefault="00101C3E" w:rsidP="004B08DA">
            <w:pPr>
              <w:rPr>
                <w:lang w:val="en-US"/>
              </w:rPr>
            </w:pPr>
            <w:r>
              <w:rPr>
                <w:lang w:val="en-US"/>
              </w:rPr>
              <w:t>Improve bus mobility and safety</w:t>
            </w:r>
          </w:p>
        </w:tc>
        <w:tc>
          <w:tcPr>
            <w:tcW w:w="2174" w:type="dxa"/>
          </w:tcPr>
          <w:p w:rsidR="00101C3E" w:rsidRDefault="00AB37F5" w:rsidP="00AB37F5">
            <w:pPr>
              <w:jc w:val="left"/>
              <w:rPr>
                <w:lang w:val="en-US"/>
              </w:rPr>
            </w:pPr>
            <w:r>
              <w:rPr>
                <w:lang w:val="en-US"/>
              </w:rPr>
              <w:t>Bike sharing program</w:t>
            </w:r>
          </w:p>
          <w:p w:rsidR="00AB37F5" w:rsidRDefault="00AB37F5" w:rsidP="00AB37F5">
            <w:pPr>
              <w:jc w:val="left"/>
              <w:rPr>
                <w:lang w:val="en-US"/>
              </w:rPr>
            </w:pPr>
            <w:r>
              <w:rPr>
                <w:lang w:val="en-US"/>
              </w:rPr>
              <w:t>Public transit education program</w:t>
            </w:r>
          </w:p>
          <w:p w:rsidR="00AB37F5" w:rsidRDefault="00AB37F5" w:rsidP="00AB37F5">
            <w:pPr>
              <w:jc w:val="left"/>
              <w:rPr>
                <w:lang w:val="en-US"/>
              </w:rPr>
            </w:pPr>
            <w:r>
              <w:rPr>
                <w:lang w:val="en-US"/>
              </w:rPr>
              <w:t>Integration of ticket charging system (Oyster)</w:t>
            </w:r>
          </w:p>
          <w:p w:rsidR="00E559E3" w:rsidRDefault="00E559E3" w:rsidP="00AB37F5">
            <w:pPr>
              <w:jc w:val="left"/>
              <w:rPr>
                <w:lang w:val="en-US"/>
              </w:rPr>
            </w:pPr>
            <w:r>
              <w:rPr>
                <w:lang w:val="en-US"/>
              </w:rPr>
              <w:t>Public transit education</w:t>
            </w:r>
          </w:p>
        </w:tc>
        <w:tc>
          <w:tcPr>
            <w:tcW w:w="2044" w:type="dxa"/>
          </w:tcPr>
          <w:p w:rsidR="00101C3E" w:rsidRDefault="00AB37F5" w:rsidP="00AB37F5">
            <w:pPr>
              <w:jc w:val="left"/>
              <w:rPr>
                <w:lang w:val="en-US"/>
              </w:rPr>
            </w:pPr>
            <w:r>
              <w:rPr>
                <w:lang w:val="en-US"/>
              </w:rPr>
              <w:t>Bike sharing program</w:t>
            </w:r>
          </w:p>
          <w:p w:rsidR="00AB37F5" w:rsidRDefault="00AB37F5" w:rsidP="00AB37F5">
            <w:pPr>
              <w:jc w:val="left"/>
              <w:rPr>
                <w:lang w:val="en-US"/>
              </w:rPr>
            </w:pPr>
            <w:r>
              <w:rPr>
                <w:lang w:val="en-US"/>
              </w:rPr>
              <w:t>Investments in mass transit and redevelopment of areas</w:t>
            </w:r>
          </w:p>
          <w:p w:rsidR="00E559E3" w:rsidRDefault="00E559E3" w:rsidP="00AB37F5">
            <w:pPr>
              <w:jc w:val="left"/>
              <w:rPr>
                <w:lang w:val="en-US"/>
              </w:rPr>
            </w:pPr>
          </w:p>
        </w:tc>
      </w:tr>
      <w:tr w:rsidR="00862A7C" w:rsidTr="00AB37F5">
        <w:trPr>
          <w:trHeight w:val="990"/>
        </w:trPr>
        <w:tc>
          <w:tcPr>
            <w:tcW w:w="572" w:type="dxa"/>
          </w:tcPr>
          <w:p w:rsidR="00862A7C" w:rsidRDefault="00862A7C" w:rsidP="004B08DA">
            <w:r>
              <w:t>6</w:t>
            </w:r>
          </w:p>
        </w:tc>
        <w:tc>
          <w:tcPr>
            <w:tcW w:w="1804" w:type="dxa"/>
          </w:tcPr>
          <w:p w:rsidR="00862A7C" w:rsidRDefault="00862A7C" w:rsidP="00B53A81">
            <w:pPr>
              <w:jc w:val="left"/>
            </w:pPr>
            <w:r>
              <w:t>Increasing efficiency</w:t>
            </w:r>
            <w:r w:rsidR="00C42832">
              <w:t xml:space="preserve"> of transport </w:t>
            </w:r>
          </w:p>
        </w:tc>
        <w:tc>
          <w:tcPr>
            <w:tcW w:w="2127" w:type="dxa"/>
          </w:tcPr>
          <w:p w:rsidR="00862A7C" w:rsidRDefault="00862A7C" w:rsidP="004B08DA">
            <w:pPr>
              <w:rPr>
                <w:lang w:val="en-US"/>
              </w:rPr>
            </w:pPr>
          </w:p>
        </w:tc>
        <w:tc>
          <w:tcPr>
            <w:tcW w:w="2174" w:type="dxa"/>
          </w:tcPr>
          <w:p w:rsidR="00862A7C" w:rsidRDefault="004E674A" w:rsidP="004B08DA">
            <w:pPr>
              <w:rPr>
                <w:lang w:val="en-US"/>
              </w:rPr>
            </w:pPr>
            <w:r>
              <w:rPr>
                <w:lang w:val="en-US"/>
              </w:rPr>
              <w:t>Differential charging in LEZ scheme</w:t>
            </w:r>
          </w:p>
          <w:p w:rsidR="004E674A" w:rsidRDefault="004E674A" w:rsidP="004B08DA">
            <w:pPr>
              <w:rPr>
                <w:lang w:val="en-US"/>
              </w:rPr>
            </w:pPr>
          </w:p>
        </w:tc>
        <w:tc>
          <w:tcPr>
            <w:tcW w:w="2044" w:type="dxa"/>
          </w:tcPr>
          <w:p w:rsidR="009E6C23" w:rsidRDefault="009D559B" w:rsidP="00F72B94">
            <w:pPr>
              <w:rPr>
                <w:lang w:val="en-US"/>
              </w:rPr>
            </w:pPr>
            <w:r>
              <w:rPr>
                <w:lang w:val="en-US"/>
              </w:rPr>
              <w:t>Lower entry charges for commercial vehicles in Area C.</w:t>
            </w:r>
          </w:p>
          <w:p w:rsidR="000376FA" w:rsidRDefault="000376FA" w:rsidP="00F72B94">
            <w:pPr>
              <w:rPr>
                <w:lang w:val="en-US"/>
              </w:rPr>
            </w:pPr>
            <w:r>
              <w:rPr>
                <w:lang w:val="en-US"/>
              </w:rPr>
              <w:t>CITYPLUS initiative</w:t>
            </w:r>
          </w:p>
        </w:tc>
      </w:tr>
    </w:tbl>
    <w:p w:rsidR="006A0724" w:rsidRDefault="00461405" w:rsidP="00461405">
      <w:pPr>
        <w:pStyle w:val="Heading1"/>
      </w:pPr>
      <w:r>
        <w:lastRenderedPageBreak/>
        <w:t xml:space="preserve"> </w:t>
      </w:r>
      <w:bookmarkStart w:id="26" w:name="_Toc366244935"/>
      <w:r w:rsidR="006A0724" w:rsidRPr="006A0724">
        <w:t>Job creation effects of sustainable urban transport strategies</w:t>
      </w:r>
      <w:bookmarkEnd w:id="26"/>
    </w:p>
    <w:p w:rsidR="009B2BCE" w:rsidRDefault="009B2BCE" w:rsidP="009B2BCE">
      <w:pPr>
        <w:pStyle w:val="Heading2"/>
      </w:pPr>
      <w:bookmarkStart w:id="27" w:name="_Toc366244936"/>
      <w:r>
        <w:t>Introduction and use of this section</w:t>
      </w:r>
      <w:bookmarkEnd w:id="27"/>
    </w:p>
    <w:p w:rsidR="00677B6C" w:rsidRDefault="009B2BCE" w:rsidP="00677B6C">
      <w:r>
        <w:t xml:space="preserve">A strategy that is often used to calculate job market effects of </w:t>
      </w:r>
      <w:r w:rsidR="000C765A">
        <w:t>investments in public transport on the urban scale, is by applying so called ‘job multipliers’. These allow researchers to convert parameters in monetary units</w:t>
      </w:r>
      <w:r w:rsidR="00A25699">
        <w:t xml:space="preserve"> from studies in sustainable transport</w:t>
      </w:r>
      <w:r w:rsidR="000C765A">
        <w:t xml:space="preserve"> (investments, energy savings or fuel savings, increase in tax income) to ‘job creation’ effects</w:t>
      </w:r>
      <w:r w:rsidR="00A25699">
        <w:t xml:space="preserve"> in Full Time Equivalents (FTE)</w:t>
      </w:r>
      <w:r w:rsidR="000C765A">
        <w:t xml:space="preserve">. We make a literature </w:t>
      </w:r>
      <w:r w:rsidR="00A25699">
        <w:t>review of these multipliers and their use in other studies.</w:t>
      </w:r>
    </w:p>
    <w:p w:rsidR="00677B6C" w:rsidRDefault="00A25699" w:rsidP="00677B6C">
      <w:r>
        <w:t xml:space="preserve">In each section, we compare the results from literature with the results from our own calculations, based on the EDIP computable general equilibrium model. </w:t>
      </w:r>
      <w:r w:rsidR="00677B6C">
        <w:t xml:space="preserve">The reference year for the simulations is 2010. The figures on employment and unemployment are based on the socio-economic database of the WIOD (World Input Output Database) project. </w:t>
      </w:r>
    </w:p>
    <w:p w:rsidR="009B2BCE" w:rsidRPr="009B2BCE" w:rsidRDefault="00A25699" w:rsidP="009B2BCE">
      <w:r>
        <w:t xml:space="preserve">When possible, we make the comparison with the policy scenarios defined in D15.2 and the implied job creation multiplier, when making small changes towards sustainability. </w:t>
      </w:r>
      <w:r w:rsidR="00121FCC">
        <w:t>This section can thus be seen as a small scale translation of ‘marginal moves’ towards sustainable transport</w:t>
      </w:r>
      <w:r w:rsidR="00A7471A">
        <w:t xml:space="preserve"> policy and how this affects job creation in several EU countries. This opposes D15.2, which focusses on the global scenarios and the long term projections of full transition towards sustainability. </w:t>
      </w:r>
    </w:p>
    <w:p w:rsidR="006A0724" w:rsidRDefault="00F54F04" w:rsidP="00B500D2">
      <w:pPr>
        <w:pStyle w:val="Heading2"/>
      </w:pPr>
      <w:bookmarkStart w:id="28" w:name="_Ref361904397"/>
      <w:bookmarkStart w:id="29" w:name="_Toc366244937"/>
      <w:r>
        <w:t>Jobs associated with public</w:t>
      </w:r>
      <w:r w:rsidR="00E8756B">
        <w:t xml:space="preserve"> investment</w:t>
      </w:r>
      <w:r>
        <w:t>s and subsidies</w:t>
      </w:r>
      <w:r w:rsidR="00E8756B">
        <w:t xml:space="preserve"> in </w:t>
      </w:r>
      <w:r>
        <w:t>transport</w:t>
      </w:r>
      <w:bookmarkEnd w:id="28"/>
      <w:bookmarkEnd w:id="29"/>
    </w:p>
    <w:p w:rsidR="00F54F04" w:rsidRPr="00F54F04" w:rsidRDefault="000D22D3" w:rsidP="00F54F04">
      <w:pPr>
        <w:pStyle w:val="Heading3"/>
      </w:pPr>
      <w:bookmarkStart w:id="30" w:name="_Toc366244938"/>
      <w:r>
        <w:t>Introduction and review</w:t>
      </w:r>
      <w:bookmarkEnd w:id="30"/>
    </w:p>
    <w:p w:rsidR="00B500D2" w:rsidRDefault="00B500D2" w:rsidP="00B500D2">
      <w:r>
        <w:t xml:space="preserve">The UITP (2005) mentions 2 numbers related to creation of new jobs per million of euro spent on public infrastructure. Based on the TRANSECON study for Europe (2003) and a study performed in the US by Cambridge Systematics (1999) the impact </w:t>
      </w:r>
      <w:r w:rsidR="003F596B">
        <w:t xml:space="preserve">of investments in infrastructure is estimated to be around 30 jobs per million of euros invested in public infrastructure and 57 jobs per million euros in public transport operations. </w:t>
      </w:r>
      <w:r w:rsidR="00D95ED2">
        <w:t>The American TCRP (2009) advises using a value of 36 jobs</w:t>
      </w:r>
      <w:r w:rsidR="00D95ED2">
        <w:rPr>
          <w:rStyle w:val="FootnoteReference"/>
        </w:rPr>
        <w:footnoteReference w:id="6"/>
      </w:r>
      <w:r w:rsidR="00D95ED2">
        <w:t xml:space="preserve">/ million dollar investment. </w:t>
      </w:r>
    </w:p>
    <w:p w:rsidR="008B11C1" w:rsidRDefault="008B11C1" w:rsidP="00B500D2">
      <w:r>
        <w:t xml:space="preserve">A more recent study performed by GHK consulting (2011) estimates, based on a study of the AAM (2009) and the existing figures from the </w:t>
      </w:r>
      <w:proofErr w:type="spellStart"/>
      <w:r>
        <w:t>TransEcon</w:t>
      </w:r>
      <w:proofErr w:type="spellEnd"/>
      <w:r>
        <w:t xml:space="preserve"> study (2003) that a 1 million euro investment in public transport reflects in an addition of 16.7 jobs related to the infrastructure works and 4.8 induced jobs caused by increases in household spending. This gives a total of 21.5 jobs / million euros for investments in rail and public infrastructure. </w:t>
      </w:r>
      <w:r w:rsidR="00D95ED2">
        <w:t>This is close to the TCRP (2009) estimate.</w:t>
      </w:r>
    </w:p>
    <w:p w:rsidR="00CC71F7" w:rsidRDefault="00CC71F7" w:rsidP="00B500D2">
      <w:r>
        <w:t xml:space="preserve">As for the impact of infrastructure spending on domestic product (GDP), a very high range of values is available. Leduc &amp; Wilson (2012) conclude in their study on </w:t>
      </w:r>
      <w:r>
        <w:lastRenderedPageBreak/>
        <w:t xml:space="preserve">Highway grants in the US that </w:t>
      </w:r>
      <w:r>
        <w:rPr>
          <w:i/>
        </w:rPr>
        <w:t>the multiplier is at least two</w:t>
      </w:r>
      <w:r>
        <w:t xml:space="preserve"> (sic). They find that on initial impact, the multipliers range from 1.5 to 3, depending on the method for calculating the multiplier. In the medium run, the multipliers can be as high as eight. Over a 10-year horizon, their results imply an average highway grants multiplier of about two.</w:t>
      </w:r>
      <w:r w:rsidR="00D95ED2">
        <w:t xml:space="preserve"> This value is similar to the conclusion of the TCRP (2009), using a value of 1.8. </w:t>
      </w:r>
      <w:proofErr w:type="spellStart"/>
      <w:r w:rsidR="00D95ED2">
        <w:t>Broyer</w:t>
      </w:r>
      <w:proofErr w:type="spellEnd"/>
      <w:r w:rsidR="0024472B">
        <w:t xml:space="preserve"> et al</w:t>
      </w:r>
      <w:r w:rsidR="00D055B3">
        <w:t xml:space="preserve"> (2012</w:t>
      </w:r>
      <w:r w:rsidR="00D95ED2">
        <w:t>), in applying a VAR model of infrastructure spending in Spain, France, Germany and Italy find even higher multipliers ranging from 2 for 4 for short run impacts and 14-22 in the long run.</w:t>
      </w:r>
    </w:p>
    <w:p w:rsidR="00F54F04" w:rsidRDefault="00635A93" w:rsidP="00F54F04">
      <w:pPr>
        <w:pStyle w:val="Heading3"/>
      </w:pPr>
      <w:bookmarkStart w:id="31" w:name="_Toc366244939"/>
      <w:r>
        <w:t>Comparison with r</w:t>
      </w:r>
      <w:r w:rsidR="006042F5">
        <w:t>esults from</w:t>
      </w:r>
      <w:r w:rsidR="0017104F">
        <w:t xml:space="preserve"> </w:t>
      </w:r>
      <w:r>
        <w:t xml:space="preserve">the </w:t>
      </w:r>
      <w:r w:rsidR="00F54F04">
        <w:t>EDIP model</w:t>
      </w:r>
      <w:bookmarkEnd w:id="31"/>
    </w:p>
    <w:p w:rsidR="00F54F04" w:rsidRDefault="00F54F04" w:rsidP="00B500D2">
      <w:r>
        <w:t xml:space="preserve">We </w:t>
      </w:r>
      <w:r w:rsidR="00677B6C">
        <w:t>run</w:t>
      </w:r>
      <w:r>
        <w:t xml:space="preserve"> a static simulation for a larger number of EU countries, increasing the production subsidy for land transport, water transport, air transport and auxiliary transport services with 1%. This increase in government subsidies is paid from a lump sum transfer from the consumer budget.  </w:t>
      </w:r>
    </w:p>
    <w:p w:rsidR="006A0724" w:rsidRDefault="00F54F04" w:rsidP="006A0724">
      <w:r>
        <w:t>We calculate a ‘job multiplier</w:t>
      </w:r>
      <w:r w:rsidR="0017104F">
        <w:t xml:space="preserve">’ ( </w:t>
      </w:r>
      <m:oMath>
        <m:sSub>
          <m:sSubPr>
            <m:ctrlPr>
              <w:rPr>
                <w:rFonts w:ascii="Cambria Math" w:hAnsi="Cambria Math"/>
                <w:i/>
              </w:rPr>
            </m:ctrlPr>
          </m:sSubPr>
          <m:e>
            <m:r>
              <w:rPr>
                <w:rFonts w:ascii="Cambria Math" w:hAnsi="Cambria Math"/>
              </w:rPr>
              <m:t>M</m:t>
            </m:r>
          </m:e>
          <m:sub>
            <m:r>
              <w:rPr>
                <w:rFonts w:ascii="Cambria Math" w:hAnsi="Cambria Math"/>
              </w:rPr>
              <m:t>jobs</m:t>
            </m:r>
          </m:sub>
        </m:sSub>
      </m:oMath>
      <w:r>
        <w:t xml:space="preserve"> </w:t>
      </w:r>
      <w:r w:rsidR="0017104F">
        <w:t xml:space="preserve">) </w:t>
      </w:r>
      <w:r>
        <w:t xml:space="preserve">as the amount of jobs created per million euro of </w:t>
      </w:r>
      <w:r w:rsidR="0017104F">
        <w:t>subsidies</w:t>
      </w:r>
      <w:r w:rsidR="00B8403C">
        <w:t xml:space="preserve"> in public transport on land (rail and busses)</w:t>
      </w:r>
      <w:r w:rsidR="0017104F">
        <w:t xml:space="preserve">. This can be represented by the following formula. </w:t>
      </w:r>
    </w:p>
    <w:p w:rsidR="00E666DF" w:rsidRDefault="00E666DF" w:rsidP="006A0724"/>
    <w:p w:rsidR="0017104F" w:rsidRPr="00AD7262" w:rsidRDefault="00FC5AA5" w:rsidP="006A0724">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r>
            <w:rPr>
              <w:rFonts w:ascii="Cambria Math" w:hAnsi="Cambria Math"/>
            </w:rPr>
            <m:t>=</m:t>
          </m:r>
          <m:f>
            <m:fPr>
              <m:ctrlPr>
                <w:rPr>
                  <w:rFonts w:ascii="Cambria Math" w:hAnsi="Cambria Math"/>
                  <w:i/>
                </w:rPr>
              </m:ctrlPr>
            </m:fPr>
            <m:num>
              <m:r>
                <w:rPr>
                  <w:rFonts w:ascii="Cambria Math" w:hAnsi="Cambria Math"/>
                </w:rPr>
                <m:t>∆Employment (jobs)</m:t>
              </m:r>
            </m:num>
            <m:den>
              <m:r>
                <w:rPr>
                  <w:rFonts w:ascii="Cambria Math" w:hAnsi="Cambria Math"/>
                </w:rPr>
                <m:t>∆Subsidy (Meuro)</m:t>
              </m:r>
            </m:den>
          </m:f>
        </m:oMath>
      </m:oMathPara>
    </w:p>
    <w:p w:rsidR="00B8403C" w:rsidRDefault="00B8403C" w:rsidP="00B8403C">
      <w:r>
        <w:t>We verify the results on job creation for this simulation with the impact on GDP. This is similar to the indicator calculated above, but shows the impact of each euro spent on production subsidies for transport on GDP.</w:t>
      </w:r>
    </w:p>
    <w:p w:rsidR="00B8403C" w:rsidRDefault="00B8403C" w:rsidP="00B8403C">
      <w:r>
        <w:t>This is calculated as:</w:t>
      </w:r>
    </w:p>
    <w:p w:rsidR="00AD7262" w:rsidRPr="00614941" w:rsidRDefault="00FC5AA5" w:rsidP="00AD7262">
      <m:oMathPara>
        <m:oMath>
          <m:sSub>
            <m:sSubPr>
              <m:ctrlPr>
                <w:rPr>
                  <w:rFonts w:ascii="Cambria Math" w:hAnsi="Cambria Math"/>
                  <w:i/>
                </w:rPr>
              </m:ctrlPr>
            </m:sSubPr>
            <m:e>
              <m:r>
                <w:rPr>
                  <w:rFonts w:ascii="Cambria Math" w:hAnsi="Cambria Math"/>
                </w:rPr>
                <m:t>M</m:t>
              </m:r>
            </m:e>
            <m:sub>
              <m:r>
                <w:rPr>
                  <w:rFonts w:ascii="Cambria Math" w:hAnsi="Cambria Math"/>
                </w:rPr>
                <m:t>GDP</m:t>
              </m:r>
            </m:sub>
          </m:sSub>
          <m:r>
            <w:rPr>
              <w:rFonts w:ascii="Cambria Math" w:hAnsi="Cambria Math"/>
            </w:rPr>
            <m:t>=</m:t>
          </m:r>
          <m:f>
            <m:fPr>
              <m:ctrlPr>
                <w:rPr>
                  <w:rFonts w:ascii="Cambria Math" w:hAnsi="Cambria Math"/>
                  <w:i/>
                </w:rPr>
              </m:ctrlPr>
            </m:fPr>
            <m:num>
              <m:r>
                <w:rPr>
                  <w:rFonts w:ascii="Cambria Math" w:hAnsi="Cambria Math"/>
                </w:rPr>
                <m:t>∆GDP (Meuro)</m:t>
              </m:r>
            </m:num>
            <m:den>
              <m:r>
                <w:rPr>
                  <w:rFonts w:ascii="Cambria Math" w:hAnsi="Cambria Math"/>
                </w:rPr>
                <m:t>∆Subsidy (Meuro)</m:t>
              </m:r>
            </m:den>
          </m:f>
        </m:oMath>
      </m:oMathPara>
    </w:p>
    <w:p w:rsidR="00B8403C" w:rsidRDefault="00B8403C" w:rsidP="00B8403C">
      <w:r>
        <w:t xml:space="preserve">As can be seen in </w:t>
      </w:r>
      <w:r>
        <w:fldChar w:fldCharType="begin"/>
      </w:r>
      <w:r>
        <w:instrText xml:space="preserve"> REF _Ref360617454 \h </w:instrText>
      </w:r>
      <w:r>
        <w:fldChar w:fldCharType="separate"/>
      </w:r>
      <w:r w:rsidR="0013270A">
        <w:t xml:space="preserve">Table </w:t>
      </w:r>
      <w:r w:rsidR="0013270A">
        <w:rPr>
          <w:noProof/>
        </w:rPr>
        <w:t>5</w:t>
      </w:r>
      <w:r>
        <w:fldChar w:fldCharType="end"/>
      </w:r>
      <w:r>
        <w:t xml:space="preserve"> our results come remarkably close to the GHK consulting estimates (2011), but show an important difference between Eastern EU countries (BG, CZ, HU, LV, RO,…) and the older more developed EU countries (AT,BE, DE, NL,…). On average, job creation per million euros of subsidy is about 3 times lower in the case of the older EU countries, with the exception of Spain (ES), Italy (IT) and Portugal (PT). Greece (GR) is not in this group. Job creation effects on Malta (MT) and Cyprus (CY) are comparable to the more developed EU countries. </w:t>
      </w:r>
    </w:p>
    <w:p w:rsidR="00B8403C" w:rsidRDefault="00B8403C" w:rsidP="006A0724">
      <w:r>
        <w:fldChar w:fldCharType="begin"/>
      </w:r>
      <w:r>
        <w:instrText xml:space="preserve"> REF _Ref360617454 \h </w:instrText>
      </w:r>
      <w:r>
        <w:fldChar w:fldCharType="separate"/>
      </w:r>
      <w:r w:rsidR="0013270A">
        <w:t xml:space="preserve">Table </w:t>
      </w:r>
      <w:r w:rsidR="0013270A">
        <w:rPr>
          <w:noProof/>
        </w:rPr>
        <w:t>5</w:t>
      </w:r>
      <w:r>
        <w:fldChar w:fldCharType="end"/>
      </w:r>
      <w:r>
        <w:t xml:space="preserve"> shows a remarkable coherence between the impact of the production subsidy and the impact on GDP. With relatively little outliers, the impact of 1 million euros spent on production subsidies for transport services leads to a gain in GDP of around 0.3 – 0.5 million euros, with an </w:t>
      </w:r>
      <w:proofErr w:type="spellStart"/>
      <w:r>
        <w:t>unweighted</w:t>
      </w:r>
      <w:proofErr w:type="spellEnd"/>
      <w:r>
        <w:t xml:space="preserve"> average of 0.34 million euros for old and 0.36 million euros for new EU countries. So contrary to the job creation effects, there is little to no di</w:t>
      </w:r>
      <w:r w:rsidR="00A7471A">
        <w:t xml:space="preserve">fference between the 2 groups. </w:t>
      </w:r>
      <w:r w:rsidR="00F364D1">
        <w:t>Our value for the GDP multiplier is substantially lower. We remark here that we took into account the ‘financing’ effect of the investment, which is paid by lump sum taxes from the consumer budget. Other studies have not taken this into account.</w:t>
      </w:r>
    </w:p>
    <w:p w:rsidR="00AD7262" w:rsidRDefault="00AD7262" w:rsidP="00AD7262">
      <w:pPr>
        <w:pStyle w:val="Caption"/>
      </w:pPr>
      <w:bookmarkStart w:id="32" w:name="_Ref360617454"/>
      <w:bookmarkStart w:id="33" w:name="_Toc373136642"/>
      <w:r>
        <w:lastRenderedPageBreak/>
        <w:t xml:space="preserve">Table </w:t>
      </w:r>
      <w:r>
        <w:fldChar w:fldCharType="begin"/>
      </w:r>
      <w:r>
        <w:instrText xml:space="preserve"> SEQ Table \* ARABIC </w:instrText>
      </w:r>
      <w:r>
        <w:fldChar w:fldCharType="separate"/>
      </w:r>
      <w:r w:rsidR="0013270A">
        <w:rPr>
          <w:noProof/>
        </w:rPr>
        <w:t>5</w:t>
      </w:r>
      <w:r>
        <w:fldChar w:fldCharType="end"/>
      </w:r>
      <w:bookmarkEnd w:id="32"/>
      <w:r>
        <w:t>: Job creation and GDP effect per million euro subsidy</w:t>
      </w:r>
      <w:r w:rsidR="003F6033">
        <w:t xml:space="preserve"> in public transport</w:t>
      </w:r>
      <w:bookmarkEnd w:id="33"/>
    </w:p>
    <w:tbl>
      <w:tblPr>
        <w:tblW w:w="6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960"/>
        <w:gridCol w:w="932"/>
        <w:gridCol w:w="896"/>
        <w:gridCol w:w="967"/>
        <w:gridCol w:w="916"/>
        <w:gridCol w:w="913"/>
      </w:tblGrid>
      <w:tr w:rsidR="00AD7262" w:rsidRPr="00E666DF" w:rsidTr="00E912ED">
        <w:trPr>
          <w:trHeight w:hRule="exact" w:val="284"/>
        </w:trPr>
        <w:tc>
          <w:tcPr>
            <w:tcW w:w="1181" w:type="dxa"/>
            <w:shd w:val="clear" w:color="auto" w:fill="C4BC96" w:themeFill="background2" w:themeFillShade="BF"/>
            <w:noWrap/>
            <w:vAlign w:val="bottom"/>
            <w:hideMark/>
          </w:tcPr>
          <w:p w:rsidR="00AD7262" w:rsidRPr="00E666DF" w:rsidRDefault="00AD7262" w:rsidP="008143AE">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1</w:t>
            </w:r>
          </w:p>
        </w:tc>
        <w:tc>
          <w:tcPr>
            <w:tcW w:w="960" w:type="dxa"/>
            <w:shd w:val="clear" w:color="auto" w:fill="C4BC96" w:themeFill="background2" w:themeFillShade="BF"/>
            <w:noWrap/>
            <w:vAlign w:val="bottom"/>
            <w:hideMark/>
          </w:tcPr>
          <w:p w:rsidR="00AD7262" w:rsidRPr="00E666DF" w:rsidRDefault="00FC5AA5" w:rsidP="008143AE">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932" w:type="dxa"/>
            <w:tcBorders>
              <w:right w:val="single" w:sz="4" w:space="0" w:color="auto"/>
            </w:tcBorders>
            <w:shd w:val="clear" w:color="auto" w:fill="C4BC96" w:themeFill="background2" w:themeFillShade="BF"/>
            <w:vAlign w:val="bottom"/>
          </w:tcPr>
          <w:p w:rsidR="00AD7262" w:rsidRPr="00E666DF" w:rsidRDefault="00FC5AA5" w:rsidP="008143AE">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c>
          <w:tcPr>
            <w:tcW w:w="896" w:type="dxa"/>
            <w:tcBorders>
              <w:top w:val="nil"/>
              <w:left w:val="single" w:sz="4" w:space="0" w:color="auto"/>
              <w:bottom w:val="nil"/>
              <w:right w:val="single" w:sz="4" w:space="0" w:color="auto"/>
            </w:tcBorders>
            <w:shd w:val="clear" w:color="auto" w:fill="auto"/>
          </w:tcPr>
          <w:p w:rsidR="00AD7262" w:rsidRPr="00E666DF" w:rsidRDefault="00AD7262" w:rsidP="008143AE">
            <w:pPr>
              <w:spacing w:after="0"/>
              <w:jc w:val="left"/>
              <w:rPr>
                <w:rFonts w:ascii="Calibri" w:eastAsia="Times New Roman" w:hAnsi="Calibri" w:cs="Times New Roman"/>
                <w:b/>
                <w:bCs/>
                <w:color w:val="000000"/>
                <w:lang w:eastAsia="en-GB"/>
              </w:rPr>
            </w:pPr>
          </w:p>
        </w:tc>
        <w:tc>
          <w:tcPr>
            <w:tcW w:w="967" w:type="dxa"/>
            <w:tcBorders>
              <w:left w:val="single" w:sz="4" w:space="0" w:color="auto"/>
              <w:bottom w:val="single" w:sz="4" w:space="0" w:color="auto"/>
            </w:tcBorders>
            <w:shd w:val="clear" w:color="auto" w:fill="C4BC96" w:themeFill="background2" w:themeFillShade="BF"/>
            <w:vAlign w:val="bottom"/>
          </w:tcPr>
          <w:p w:rsidR="00AD7262" w:rsidRPr="00E666DF" w:rsidRDefault="00AD7262" w:rsidP="008143AE">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2</w:t>
            </w:r>
          </w:p>
        </w:tc>
        <w:tc>
          <w:tcPr>
            <w:tcW w:w="916" w:type="dxa"/>
            <w:tcBorders>
              <w:bottom w:val="single" w:sz="4" w:space="0" w:color="auto"/>
            </w:tcBorders>
            <w:shd w:val="clear" w:color="auto" w:fill="C4BC96" w:themeFill="background2" w:themeFillShade="BF"/>
            <w:vAlign w:val="bottom"/>
          </w:tcPr>
          <w:p w:rsidR="00AD7262" w:rsidRPr="00E666DF" w:rsidRDefault="00FC5AA5" w:rsidP="008143AE">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913" w:type="dxa"/>
            <w:tcBorders>
              <w:bottom w:val="single" w:sz="4" w:space="0" w:color="auto"/>
            </w:tcBorders>
            <w:shd w:val="clear" w:color="auto" w:fill="C4BC96" w:themeFill="background2" w:themeFillShade="BF"/>
            <w:vAlign w:val="bottom"/>
          </w:tcPr>
          <w:p w:rsidR="00AD7262" w:rsidRPr="00E666DF" w:rsidRDefault="00FC5AA5" w:rsidP="008143AE">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AT</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7.07</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0.26</w:t>
            </w:r>
          </w:p>
        </w:tc>
        <w:tc>
          <w:tcPr>
            <w:tcW w:w="896" w:type="dxa"/>
            <w:tcBorders>
              <w:top w:val="nil"/>
              <w:left w:val="single" w:sz="4" w:space="0" w:color="auto"/>
              <w:bottom w:val="nil"/>
              <w:right w:val="single" w:sz="4" w:space="0" w:color="auto"/>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BG</w:t>
            </w:r>
          </w:p>
        </w:tc>
        <w:tc>
          <w:tcPr>
            <w:tcW w:w="916" w:type="dxa"/>
            <w:vAlign w:val="bottom"/>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57.99</w:t>
            </w:r>
          </w:p>
        </w:tc>
        <w:tc>
          <w:tcPr>
            <w:tcW w:w="913" w:type="dxa"/>
            <w:vAlign w:val="bottom"/>
          </w:tcPr>
          <w:p w:rsidR="00AD7262" w:rsidRPr="00614941" w:rsidRDefault="00AD7262" w:rsidP="008143AE">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0.31</w:t>
            </w: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BE</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9.23</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0.45</w:t>
            </w:r>
          </w:p>
        </w:tc>
        <w:tc>
          <w:tcPr>
            <w:tcW w:w="896" w:type="dxa"/>
            <w:tcBorders>
              <w:top w:val="nil"/>
              <w:left w:val="single" w:sz="4" w:space="0" w:color="auto"/>
              <w:bottom w:val="nil"/>
              <w:right w:val="single" w:sz="4" w:space="0" w:color="auto"/>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CZ</w:t>
            </w:r>
          </w:p>
        </w:tc>
        <w:tc>
          <w:tcPr>
            <w:tcW w:w="916" w:type="dxa"/>
            <w:vAlign w:val="bottom"/>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20.55</w:t>
            </w:r>
          </w:p>
        </w:tc>
        <w:tc>
          <w:tcPr>
            <w:tcW w:w="913" w:type="dxa"/>
            <w:vAlign w:val="bottom"/>
          </w:tcPr>
          <w:p w:rsidR="00AD7262" w:rsidRPr="00614941" w:rsidRDefault="00AD7262" w:rsidP="008143AE">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0.29</w:t>
            </w: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CY</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8.49</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0.13</w:t>
            </w:r>
          </w:p>
        </w:tc>
        <w:tc>
          <w:tcPr>
            <w:tcW w:w="896" w:type="dxa"/>
            <w:tcBorders>
              <w:top w:val="nil"/>
              <w:left w:val="single" w:sz="4" w:space="0" w:color="auto"/>
              <w:bottom w:val="nil"/>
              <w:right w:val="single" w:sz="4" w:space="0" w:color="auto"/>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EE</w:t>
            </w:r>
          </w:p>
        </w:tc>
        <w:tc>
          <w:tcPr>
            <w:tcW w:w="916" w:type="dxa"/>
            <w:vAlign w:val="bottom"/>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40.35</w:t>
            </w:r>
          </w:p>
        </w:tc>
        <w:tc>
          <w:tcPr>
            <w:tcW w:w="913" w:type="dxa"/>
            <w:vAlign w:val="bottom"/>
          </w:tcPr>
          <w:p w:rsidR="00AD7262" w:rsidRPr="00614941" w:rsidRDefault="00AD7262" w:rsidP="008143AE">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0.56</w:t>
            </w: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DE</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9.29</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0.34</w:t>
            </w:r>
          </w:p>
        </w:tc>
        <w:tc>
          <w:tcPr>
            <w:tcW w:w="896" w:type="dxa"/>
            <w:tcBorders>
              <w:top w:val="nil"/>
              <w:left w:val="single" w:sz="4" w:space="0" w:color="auto"/>
              <w:bottom w:val="nil"/>
              <w:right w:val="single" w:sz="4" w:space="0" w:color="auto"/>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HU</w:t>
            </w:r>
          </w:p>
        </w:tc>
        <w:tc>
          <w:tcPr>
            <w:tcW w:w="916" w:type="dxa"/>
            <w:vAlign w:val="bottom"/>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32.68</w:t>
            </w:r>
          </w:p>
        </w:tc>
        <w:tc>
          <w:tcPr>
            <w:tcW w:w="913" w:type="dxa"/>
            <w:vAlign w:val="bottom"/>
          </w:tcPr>
          <w:p w:rsidR="00AD7262" w:rsidRPr="00614941" w:rsidRDefault="00AD7262" w:rsidP="008143AE">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0.48</w:t>
            </w:r>
          </w:p>
        </w:tc>
      </w:tr>
      <w:tr w:rsidR="002138A9" w:rsidRPr="00E666DF" w:rsidTr="00E912ED">
        <w:trPr>
          <w:trHeight w:hRule="exact" w:val="284"/>
        </w:trPr>
        <w:tc>
          <w:tcPr>
            <w:tcW w:w="1181" w:type="dxa"/>
            <w:shd w:val="clear" w:color="auto" w:fill="auto"/>
            <w:noWrap/>
            <w:vAlign w:val="bottom"/>
            <w:hideMark/>
          </w:tcPr>
          <w:p w:rsidR="002138A9" w:rsidRPr="00E666DF" w:rsidRDefault="002138A9"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DK</w:t>
            </w:r>
          </w:p>
        </w:tc>
        <w:tc>
          <w:tcPr>
            <w:tcW w:w="960" w:type="dxa"/>
            <w:shd w:val="clear" w:color="auto" w:fill="auto"/>
            <w:noWrap/>
            <w:vAlign w:val="bottom"/>
            <w:hideMark/>
          </w:tcPr>
          <w:p w:rsidR="002138A9" w:rsidRPr="00E666DF" w:rsidRDefault="002138A9"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8.52</w:t>
            </w:r>
          </w:p>
        </w:tc>
        <w:tc>
          <w:tcPr>
            <w:tcW w:w="932" w:type="dxa"/>
            <w:tcBorders>
              <w:right w:val="single" w:sz="4" w:space="0" w:color="auto"/>
            </w:tcBorders>
            <w:vAlign w:val="bottom"/>
          </w:tcPr>
          <w:p w:rsidR="002138A9" w:rsidRPr="0065310D" w:rsidRDefault="002138A9"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0.42</w:t>
            </w:r>
          </w:p>
        </w:tc>
        <w:tc>
          <w:tcPr>
            <w:tcW w:w="896" w:type="dxa"/>
            <w:tcBorders>
              <w:top w:val="nil"/>
              <w:left w:val="single" w:sz="4" w:space="0" w:color="auto"/>
              <w:bottom w:val="nil"/>
              <w:right w:val="single" w:sz="4" w:space="0" w:color="auto"/>
            </w:tcBorders>
            <w:shd w:val="clear" w:color="auto" w:fill="auto"/>
          </w:tcPr>
          <w:p w:rsidR="002138A9" w:rsidRPr="0065310D" w:rsidRDefault="002138A9"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LV</w:t>
            </w:r>
          </w:p>
        </w:tc>
        <w:tc>
          <w:tcPr>
            <w:tcW w:w="916" w:type="dxa"/>
            <w:vAlign w:val="bottom"/>
          </w:tcPr>
          <w:p w:rsidR="002138A9" w:rsidRPr="00E666DF" w:rsidRDefault="002138A9" w:rsidP="006632E3">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59.94</w:t>
            </w:r>
          </w:p>
        </w:tc>
        <w:tc>
          <w:tcPr>
            <w:tcW w:w="913" w:type="dxa"/>
            <w:vAlign w:val="bottom"/>
          </w:tcPr>
          <w:p w:rsidR="002138A9" w:rsidRPr="00614941" w:rsidRDefault="002138A9" w:rsidP="006632E3">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0.56</w:t>
            </w:r>
          </w:p>
        </w:tc>
      </w:tr>
      <w:tr w:rsidR="002138A9" w:rsidRPr="00E666DF" w:rsidTr="00E912ED">
        <w:trPr>
          <w:trHeight w:hRule="exact" w:val="284"/>
        </w:trPr>
        <w:tc>
          <w:tcPr>
            <w:tcW w:w="1181" w:type="dxa"/>
            <w:shd w:val="clear" w:color="auto" w:fill="auto"/>
            <w:noWrap/>
            <w:vAlign w:val="bottom"/>
            <w:hideMark/>
          </w:tcPr>
          <w:p w:rsidR="002138A9" w:rsidRPr="00E666DF" w:rsidRDefault="002138A9"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ES</w:t>
            </w:r>
          </w:p>
        </w:tc>
        <w:tc>
          <w:tcPr>
            <w:tcW w:w="960" w:type="dxa"/>
            <w:shd w:val="clear" w:color="auto" w:fill="auto"/>
            <w:noWrap/>
            <w:vAlign w:val="bottom"/>
            <w:hideMark/>
          </w:tcPr>
          <w:p w:rsidR="002138A9" w:rsidRPr="00E666DF" w:rsidRDefault="002138A9"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18.82</w:t>
            </w:r>
          </w:p>
        </w:tc>
        <w:tc>
          <w:tcPr>
            <w:tcW w:w="932" w:type="dxa"/>
            <w:tcBorders>
              <w:right w:val="single" w:sz="4" w:space="0" w:color="auto"/>
            </w:tcBorders>
            <w:vAlign w:val="bottom"/>
          </w:tcPr>
          <w:p w:rsidR="002138A9" w:rsidRPr="0065310D" w:rsidRDefault="002138A9"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0.54</w:t>
            </w:r>
          </w:p>
        </w:tc>
        <w:tc>
          <w:tcPr>
            <w:tcW w:w="896" w:type="dxa"/>
            <w:tcBorders>
              <w:top w:val="nil"/>
              <w:left w:val="single" w:sz="4" w:space="0" w:color="auto"/>
              <w:bottom w:val="nil"/>
              <w:right w:val="single" w:sz="4" w:space="0" w:color="auto"/>
            </w:tcBorders>
            <w:shd w:val="clear" w:color="auto" w:fill="auto"/>
          </w:tcPr>
          <w:p w:rsidR="002138A9" w:rsidRPr="0065310D" w:rsidRDefault="002138A9"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PL</w:t>
            </w:r>
          </w:p>
        </w:tc>
        <w:tc>
          <w:tcPr>
            <w:tcW w:w="916" w:type="dxa"/>
            <w:vAlign w:val="bottom"/>
          </w:tcPr>
          <w:p w:rsidR="002138A9" w:rsidRPr="00E666DF" w:rsidRDefault="002138A9" w:rsidP="006632E3">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25.08</w:t>
            </w:r>
          </w:p>
        </w:tc>
        <w:tc>
          <w:tcPr>
            <w:tcW w:w="913" w:type="dxa"/>
            <w:vAlign w:val="bottom"/>
          </w:tcPr>
          <w:p w:rsidR="002138A9" w:rsidRPr="00614941" w:rsidRDefault="002138A9" w:rsidP="006632E3">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0.29</w:t>
            </w:r>
          </w:p>
        </w:tc>
      </w:tr>
      <w:tr w:rsidR="002138A9" w:rsidRPr="00E666DF" w:rsidTr="00E912ED">
        <w:trPr>
          <w:trHeight w:hRule="exact" w:val="284"/>
        </w:trPr>
        <w:tc>
          <w:tcPr>
            <w:tcW w:w="1181" w:type="dxa"/>
            <w:shd w:val="clear" w:color="auto" w:fill="auto"/>
            <w:noWrap/>
            <w:vAlign w:val="bottom"/>
            <w:hideMark/>
          </w:tcPr>
          <w:p w:rsidR="002138A9" w:rsidRPr="00E666DF" w:rsidRDefault="002138A9"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FI</w:t>
            </w:r>
          </w:p>
        </w:tc>
        <w:tc>
          <w:tcPr>
            <w:tcW w:w="960" w:type="dxa"/>
            <w:shd w:val="clear" w:color="auto" w:fill="auto"/>
            <w:noWrap/>
            <w:vAlign w:val="bottom"/>
            <w:hideMark/>
          </w:tcPr>
          <w:p w:rsidR="002138A9" w:rsidRPr="00E666DF" w:rsidRDefault="002138A9"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8.51</w:t>
            </w:r>
          </w:p>
        </w:tc>
        <w:tc>
          <w:tcPr>
            <w:tcW w:w="932" w:type="dxa"/>
            <w:tcBorders>
              <w:right w:val="single" w:sz="4" w:space="0" w:color="auto"/>
            </w:tcBorders>
            <w:vAlign w:val="bottom"/>
          </w:tcPr>
          <w:p w:rsidR="002138A9" w:rsidRPr="0065310D" w:rsidRDefault="002138A9"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0.41</w:t>
            </w:r>
          </w:p>
        </w:tc>
        <w:tc>
          <w:tcPr>
            <w:tcW w:w="896" w:type="dxa"/>
            <w:tcBorders>
              <w:top w:val="nil"/>
              <w:left w:val="single" w:sz="4" w:space="0" w:color="auto"/>
              <w:bottom w:val="nil"/>
              <w:right w:val="single" w:sz="4" w:space="0" w:color="auto"/>
            </w:tcBorders>
            <w:shd w:val="clear" w:color="auto" w:fill="auto"/>
          </w:tcPr>
          <w:p w:rsidR="002138A9" w:rsidRPr="0065310D" w:rsidRDefault="002138A9"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RO</w:t>
            </w:r>
          </w:p>
        </w:tc>
        <w:tc>
          <w:tcPr>
            <w:tcW w:w="916" w:type="dxa"/>
            <w:vAlign w:val="bottom"/>
          </w:tcPr>
          <w:p w:rsidR="002138A9" w:rsidRPr="00E666DF" w:rsidRDefault="002138A9" w:rsidP="006632E3">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26.26</w:t>
            </w:r>
          </w:p>
        </w:tc>
        <w:tc>
          <w:tcPr>
            <w:tcW w:w="913" w:type="dxa"/>
            <w:vAlign w:val="bottom"/>
          </w:tcPr>
          <w:p w:rsidR="002138A9" w:rsidRPr="00614941" w:rsidRDefault="002138A9" w:rsidP="006632E3">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0.24</w:t>
            </w:r>
          </w:p>
        </w:tc>
      </w:tr>
      <w:tr w:rsidR="002138A9" w:rsidRPr="00E666DF" w:rsidTr="00E912ED">
        <w:trPr>
          <w:trHeight w:hRule="exact" w:val="284"/>
        </w:trPr>
        <w:tc>
          <w:tcPr>
            <w:tcW w:w="1181" w:type="dxa"/>
            <w:shd w:val="clear" w:color="auto" w:fill="auto"/>
            <w:noWrap/>
            <w:vAlign w:val="bottom"/>
            <w:hideMark/>
          </w:tcPr>
          <w:p w:rsidR="002138A9" w:rsidRPr="00E666DF" w:rsidRDefault="002138A9"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FR</w:t>
            </w:r>
          </w:p>
        </w:tc>
        <w:tc>
          <w:tcPr>
            <w:tcW w:w="960" w:type="dxa"/>
            <w:shd w:val="clear" w:color="auto" w:fill="auto"/>
            <w:noWrap/>
            <w:vAlign w:val="bottom"/>
            <w:hideMark/>
          </w:tcPr>
          <w:p w:rsidR="002138A9" w:rsidRPr="00E666DF" w:rsidRDefault="002138A9"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2.73</w:t>
            </w:r>
          </w:p>
        </w:tc>
        <w:tc>
          <w:tcPr>
            <w:tcW w:w="932" w:type="dxa"/>
            <w:tcBorders>
              <w:right w:val="single" w:sz="4" w:space="0" w:color="auto"/>
            </w:tcBorders>
            <w:vAlign w:val="bottom"/>
          </w:tcPr>
          <w:p w:rsidR="002138A9" w:rsidRPr="0065310D" w:rsidRDefault="002138A9"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0.05</w:t>
            </w:r>
          </w:p>
        </w:tc>
        <w:tc>
          <w:tcPr>
            <w:tcW w:w="896" w:type="dxa"/>
            <w:tcBorders>
              <w:top w:val="nil"/>
              <w:left w:val="single" w:sz="4" w:space="0" w:color="auto"/>
              <w:bottom w:val="nil"/>
              <w:right w:val="single" w:sz="4" w:space="0" w:color="auto"/>
            </w:tcBorders>
            <w:shd w:val="clear" w:color="auto" w:fill="auto"/>
          </w:tcPr>
          <w:p w:rsidR="002138A9" w:rsidRPr="0065310D" w:rsidRDefault="002138A9" w:rsidP="008143AE">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SK</w:t>
            </w:r>
          </w:p>
        </w:tc>
        <w:tc>
          <w:tcPr>
            <w:tcW w:w="916" w:type="dxa"/>
            <w:vAlign w:val="bottom"/>
          </w:tcPr>
          <w:p w:rsidR="002138A9" w:rsidRPr="00E666DF" w:rsidRDefault="002138A9" w:rsidP="006632E3">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25.50</w:t>
            </w:r>
          </w:p>
        </w:tc>
        <w:tc>
          <w:tcPr>
            <w:tcW w:w="913" w:type="dxa"/>
            <w:vAlign w:val="bottom"/>
          </w:tcPr>
          <w:p w:rsidR="002138A9" w:rsidRPr="00614941" w:rsidRDefault="002138A9" w:rsidP="006632E3">
            <w:pPr>
              <w:spacing w:after="0"/>
              <w:jc w:val="right"/>
              <w:rPr>
                <w:rFonts w:ascii="Calibri" w:eastAsia="Times New Roman" w:hAnsi="Calibri" w:cs="Times New Roman"/>
                <w:color w:val="000000"/>
                <w:lang w:eastAsia="en-GB"/>
              </w:rPr>
            </w:pPr>
            <w:r w:rsidRPr="00614941">
              <w:rPr>
                <w:rFonts w:ascii="Calibri" w:eastAsia="Times New Roman" w:hAnsi="Calibri" w:cs="Times New Roman"/>
                <w:color w:val="000000"/>
                <w:lang w:eastAsia="en-GB"/>
              </w:rPr>
              <w:t>0.26</w:t>
            </w: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GR</w:t>
            </w:r>
          </w:p>
        </w:tc>
        <w:tc>
          <w:tcPr>
            <w:tcW w:w="960" w:type="dxa"/>
            <w:shd w:val="clear" w:color="auto" w:fill="auto"/>
            <w:noWrap/>
            <w:vAlign w:val="bottom"/>
            <w:hideMark/>
          </w:tcPr>
          <w:p w:rsidR="002138A9" w:rsidRPr="00E666DF" w:rsidRDefault="002138A9"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7.46</w:t>
            </w:r>
          </w:p>
        </w:tc>
        <w:tc>
          <w:tcPr>
            <w:tcW w:w="932" w:type="dxa"/>
            <w:tcBorders>
              <w:right w:val="single" w:sz="4" w:space="0" w:color="auto"/>
            </w:tcBorders>
            <w:vAlign w:val="bottom"/>
          </w:tcPr>
          <w:p w:rsidR="002138A9" w:rsidRPr="0065310D" w:rsidRDefault="002138A9"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0.31</w:t>
            </w:r>
          </w:p>
        </w:tc>
        <w:tc>
          <w:tcPr>
            <w:tcW w:w="896" w:type="dxa"/>
            <w:tcBorders>
              <w:top w:val="nil"/>
              <w:left w:val="single" w:sz="4" w:space="0" w:color="auto"/>
              <w:bottom w:val="nil"/>
              <w:right w:val="single" w:sz="4" w:space="0" w:color="auto"/>
            </w:tcBorders>
            <w:shd w:val="clear" w:color="auto" w:fill="auto"/>
          </w:tcPr>
          <w:p w:rsidR="002138A9" w:rsidRPr="0065310D" w:rsidRDefault="002138A9" w:rsidP="008143AE">
            <w:pPr>
              <w:spacing w:after="0"/>
              <w:jc w:val="right"/>
              <w:rPr>
                <w:rFonts w:ascii="Calibri" w:eastAsia="Times New Roman" w:hAnsi="Calibri" w:cs="Times New Roman"/>
                <w:color w:val="000000"/>
                <w:lang w:eastAsia="en-GB"/>
              </w:rPr>
            </w:pPr>
          </w:p>
        </w:tc>
        <w:tc>
          <w:tcPr>
            <w:tcW w:w="967" w:type="dxa"/>
            <w:tcBorders>
              <w:left w:val="single" w:sz="4" w:space="0" w:color="auto"/>
              <w:bottom w:val="single" w:sz="4" w:space="0" w:color="auto"/>
            </w:tcBorders>
            <w:vAlign w:val="bottom"/>
          </w:tcPr>
          <w:p w:rsidR="002138A9" w:rsidRPr="00E666DF" w:rsidRDefault="002138A9" w:rsidP="006632E3">
            <w:pPr>
              <w:spacing w:after="0"/>
              <w:jc w:val="lef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Average</w:t>
            </w:r>
          </w:p>
        </w:tc>
        <w:tc>
          <w:tcPr>
            <w:tcW w:w="916" w:type="dxa"/>
            <w:tcBorders>
              <w:bottom w:val="single" w:sz="4" w:space="0" w:color="auto"/>
            </w:tcBorders>
            <w:vAlign w:val="bottom"/>
          </w:tcPr>
          <w:p w:rsidR="002138A9" w:rsidRPr="00E666DF" w:rsidRDefault="002138A9" w:rsidP="006632E3">
            <w:pPr>
              <w:spacing w:after="0"/>
              <w:jc w:val="righ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36.19</w:t>
            </w:r>
          </w:p>
        </w:tc>
        <w:tc>
          <w:tcPr>
            <w:tcW w:w="913" w:type="dxa"/>
            <w:tcBorders>
              <w:bottom w:val="single" w:sz="4" w:space="0" w:color="auto"/>
            </w:tcBorders>
            <w:vAlign w:val="bottom"/>
          </w:tcPr>
          <w:p w:rsidR="002138A9" w:rsidRPr="00614941" w:rsidRDefault="002138A9" w:rsidP="006632E3">
            <w:pPr>
              <w:spacing w:after="0"/>
              <w:jc w:val="right"/>
              <w:rPr>
                <w:rFonts w:ascii="Calibri" w:eastAsia="Times New Roman" w:hAnsi="Calibri" w:cs="Times New Roman"/>
                <w:b/>
                <w:bCs/>
                <w:color w:val="000000"/>
                <w:lang w:eastAsia="en-GB"/>
              </w:rPr>
            </w:pPr>
            <w:r w:rsidRPr="00614941">
              <w:rPr>
                <w:rFonts w:ascii="Calibri" w:eastAsia="Times New Roman" w:hAnsi="Calibri" w:cs="Times New Roman"/>
                <w:b/>
                <w:bCs/>
                <w:color w:val="000000"/>
                <w:lang w:eastAsia="en-GB"/>
              </w:rPr>
              <w:t>0.36</w:t>
            </w:r>
          </w:p>
        </w:tc>
      </w:tr>
      <w:tr w:rsidR="00AD7262" w:rsidRPr="00E666DF" w:rsidTr="002138A9">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IT</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11.97</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0.43</w:t>
            </w:r>
          </w:p>
        </w:tc>
        <w:tc>
          <w:tcPr>
            <w:tcW w:w="896" w:type="dxa"/>
            <w:tcBorders>
              <w:top w:val="nil"/>
              <w:left w:val="single" w:sz="4" w:space="0" w:color="auto"/>
              <w:bottom w:val="nil"/>
              <w:right w:val="nil"/>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top w:val="single" w:sz="4" w:space="0" w:color="auto"/>
              <w:left w:val="nil"/>
              <w:bottom w:val="nil"/>
              <w:right w:val="nil"/>
            </w:tcBorders>
            <w:vAlign w:val="bottom"/>
          </w:tcPr>
          <w:p w:rsidR="00AD7262" w:rsidRPr="00E666DF" w:rsidRDefault="00AD7262" w:rsidP="008143AE">
            <w:pPr>
              <w:spacing w:after="0"/>
              <w:jc w:val="left"/>
              <w:rPr>
                <w:rFonts w:ascii="Calibri" w:eastAsia="Times New Roman" w:hAnsi="Calibri" w:cs="Times New Roman"/>
                <w:b/>
                <w:bCs/>
                <w:color w:val="000000"/>
                <w:lang w:eastAsia="en-GB"/>
              </w:rPr>
            </w:pPr>
          </w:p>
        </w:tc>
        <w:tc>
          <w:tcPr>
            <w:tcW w:w="916" w:type="dxa"/>
            <w:tcBorders>
              <w:top w:val="single" w:sz="4" w:space="0" w:color="auto"/>
              <w:left w:val="nil"/>
              <w:bottom w:val="nil"/>
              <w:right w:val="nil"/>
            </w:tcBorders>
            <w:vAlign w:val="bottom"/>
          </w:tcPr>
          <w:p w:rsidR="00AD7262" w:rsidRPr="00E666DF" w:rsidRDefault="00AD7262" w:rsidP="008143AE">
            <w:pPr>
              <w:spacing w:after="0"/>
              <w:jc w:val="right"/>
              <w:rPr>
                <w:rFonts w:ascii="Calibri" w:eastAsia="Times New Roman" w:hAnsi="Calibri" w:cs="Times New Roman"/>
                <w:b/>
                <w:bCs/>
                <w:color w:val="000000"/>
                <w:lang w:eastAsia="en-GB"/>
              </w:rPr>
            </w:pPr>
          </w:p>
        </w:tc>
        <w:tc>
          <w:tcPr>
            <w:tcW w:w="913" w:type="dxa"/>
            <w:tcBorders>
              <w:top w:val="single" w:sz="4" w:space="0" w:color="auto"/>
              <w:left w:val="nil"/>
              <w:bottom w:val="nil"/>
              <w:right w:val="nil"/>
            </w:tcBorders>
            <w:vAlign w:val="bottom"/>
          </w:tcPr>
          <w:p w:rsidR="00AD7262" w:rsidRPr="00614941" w:rsidRDefault="00AD7262" w:rsidP="008143AE">
            <w:pPr>
              <w:spacing w:after="0"/>
              <w:jc w:val="right"/>
              <w:rPr>
                <w:rFonts w:ascii="Calibri" w:eastAsia="Times New Roman" w:hAnsi="Calibri" w:cs="Times New Roman"/>
                <w:b/>
                <w:bCs/>
                <w:color w:val="000000"/>
                <w:lang w:eastAsia="en-GB"/>
              </w:rPr>
            </w:pPr>
          </w:p>
        </w:tc>
      </w:tr>
      <w:tr w:rsidR="00AD7262" w:rsidRPr="00E666DF" w:rsidTr="002138A9">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MT</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8.74</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0.20</w:t>
            </w:r>
          </w:p>
        </w:tc>
        <w:tc>
          <w:tcPr>
            <w:tcW w:w="896" w:type="dxa"/>
            <w:tcBorders>
              <w:top w:val="nil"/>
              <w:left w:val="single" w:sz="4" w:space="0" w:color="auto"/>
              <w:bottom w:val="nil"/>
              <w:right w:val="nil"/>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AD7262" w:rsidRPr="00E666DF" w:rsidRDefault="00AD7262" w:rsidP="008143AE">
            <w:pPr>
              <w:spacing w:after="0"/>
              <w:jc w:val="left"/>
              <w:rPr>
                <w:rFonts w:ascii="Calibri" w:eastAsia="Times New Roman" w:hAnsi="Calibri" w:cs="Times New Roman"/>
                <w:b/>
                <w:bCs/>
                <w:color w:val="000000"/>
                <w:lang w:eastAsia="en-GB"/>
              </w:rPr>
            </w:pPr>
          </w:p>
        </w:tc>
        <w:tc>
          <w:tcPr>
            <w:tcW w:w="916" w:type="dxa"/>
            <w:tcBorders>
              <w:top w:val="nil"/>
              <w:left w:val="nil"/>
              <w:bottom w:val="nil"/>
              <w:right w:val="nil"/>
            </w:tcBorders>
            <w:vAlign w:val="bottom"/>
          </w:tcPr>
          <w:p w:rsidR="00AD7262" w:rsidRPr="00E666DF" w:rsidRDefault="00AD7262" w:rsidP="008143AE">
            <w:pPr>
              <w:spacing w:after="0"/>
              <w:jc w:val="left"/>
              <w:rPr>
                <w:rFonts w:ascii="Calibri" w:eastAsia="Times New Roman" w:hAnsi="Calibri" w:cs="Times New Roman"/>
                <w:b/>
                <w:bCs/>
                <w:color w:val="000000"/>
                <w:lang w:eastAsia="en-GB"/>
              </w:rPr>
            </w:pPr>
          </w:p>
        </w:tc>
        <w:tc>
          <w:tcPr>
            <w:tcW w:w="913" w:type="dxa"/>
            <w:tcBorders>
              <w:top w:val="nil"/>
              <w:left w:val="nil"/>
              <w:bottom w:val="nil"/>
              <w:right w:val="nil"/>
            </w:tcBorders>
            <w:vAlign w:val="bottom"/>
          </w:tcPr>
          <w:p w:rsidR="00AD7262" w:rsidRPr="00E666DF" w:rsidRDefault="00AD7262" w:rsidP="008143AE">
            <w:pPr>
              <w:spacing w:after="0"/>
              <w:jc w:val="left"/>
              <w:rPr>
                <w:rFonts w:ascii="Calibri" w:eastAsia="Times New Roman" w:hAnsi="Calibri" w:cs="Times New Roman"/>
                <w:b/>
                <w:bCs/>
                <w:color w:val="000000"/>
                <w:lang w:eastAsia="en-GB"/>
              </w:rPr>
            </w:pP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NL</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7.85</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0.34</w:t>
            </w:r>
          </w:p>
        </w:tc>
        <w:tc>
          <w:tcPr>
            <w:tcW w:w="896" w:type="dxa"/>
            <w:tcBorders>
              <w:top w:val="nil"/>
              <w:left w:val="single" w:sz="4" w:space="0" w:color="auto"/>
              <w:bottom w:val="nil"/>
              <w:right w:val="nil"/>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AD7262" w:rsidRPr="00E666DF" w:rsidRDefault="00AD7262" w:rsidP="008143AE">
            <w:pPr>
              <w:spacing w:after="0"/>
              <w:jc w:val="left"/>
              <w:rPr>
                <w:rFonts w:ascii="Calibri" w:eastAsia="Times New Roman" w:hAnsi="Calibri" w:cs="Times New Roman"/>
                <w:color w:val="000000"/>
                <w:lang w:eastAsia="en-GB"/>
              </w:rPr>
            </w:pPr>
          </w:p>
        </w:tc>
        <w:tc>
          <w:tcPr>
            <w:tcW w:w="916" w:type="dxa"/>
            <w:tcBorders>
              <w:top w:val="nil"/>
              <w:left w:val="nil"/>
              <w:bottom w:val="nil"/>
              <w:right w:val="nil"/>
            </w:tcBorders>
            <w:vAlign w:val="bottom"/>
          </w:tcPr>
          <w:p w:rsidR="00AD7262" w:rsidRPr="00E666DF" w:rsidRDefault="00AD7262" w:rsidP="008143AE">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vAlign w:val="bottom"/>
          </w:tcPr>
          <w:p w:rsidR="00AD7262" w:rsidRPr="00614941" w:rsidRDefault="00AD7262" w:rsidP="008143AE">
            <w:pPr>
              <w:spacing w:after="0"/>
              <w:jc w:val="right"/>
              <w:rPr>
                <w:rFonts w:ascii="Calibri" w:eastAsia="Times New Roman" w:hAnsi="Calibri" w:cs="Times New Roman"/>
                <w:color w:val="000000"/>
                <w:lang w:eastAsia="en-GB"/>
              </w:rPr>
            </w:pP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PT</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22.83</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0.44</w:t>
            </w:r>
          </w:p>
        </w:tc>
        <w:tc>
          <w:tcPr>
            <w:tcW w:w="896" w:type="dxa"/>
            <w:tcBorders>
              <w:top w:val="nil"/>
              <w:left w:val="single" w:sz="4" w:space="0" w:color="auto"/>
              <w:bottom w:val="nil"/>
              <w:right w:val="nil"/>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AD7262" w:rsidRPr="00E666DF" w:rsidRDefault="00AD7262" w:rsidP="008143AE">
            <w:pPr>
              <w:spacing w:after="0"/>
              <w:jc w:val="left"/>
              <w:rPr>
                <w:rFonts w:ascii="Calibri" w:eastAsia="Times New Roman" w:hAnsi="Calibri" w:cs="Times New Roman"/>
                <w:color w:val="000000"/>
                <w:lang w:eastAsia="en-GB"/>
              </w:rPr>
            </w:pPr>
          </w:p>
        </w:tc>
        <w:tc>
          <w:tcPr>
            <w:tcW w:w="916" w:type="dxa"/>
            <w:tcBorders>
              <w:top w:val="nil"/>
              <w:left w:val="nil"/>
              <w:bottom w:val="nil"/>
              <w:right w:val="nil"/>
            </w:tcBorders>
            <w:vAlign w:val="bottom"/>
          </w:tcPr>
          <w:p w:rsidR="00AD7262" w:rsidRPr="00E666DF" w:rsidRDefault="00AD7262" w:rsidP="008143AE">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vAlign w:val="bottom"/>
          </w:tcPr>
          <w:p w:rsidR="00AD7262" w:rsidRPr="00614941" w:rsidRDefault="00AD7262" w:rsidP="008143AE">
            <w:pPr>
              <w:spacing w:after="0"/>
              <w:jc w:val="right"/>
              <w:rPr>
                <w:rFonts w:ascii="Calibri" w:eastAsia="Times New Roman" w:hAnsi="Calibri" w:cs="Times New Roman"/>
                <w:color w:val="000000"/>
                <w:lang w:eastAsia="en-GB"/>
              </w:rPr>
            </w:pP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SE</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8.00</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0.40</w:t>
            </w:r>
          </w:p>
        </w:tc>
        <w:tc>
          <w:tcPr>
            <w:tcW w:w="896" w:type="dxa"/>
            <w:tcBorders>
              <w:top w:val="nil"/>
              <w:left w:val="single" w:sz="4" w:space="0" w:color="auto"/>
              <w:bottom w:val="nil"/>
              <w:right w:val="nil"/>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color w:val="000000"/>
                <w:lang w:eastAsia="en-GB"/>
              </w:rPr>
            </w:pPr>
          </w:p>
        </w:tc>
        <w:tc>
          <w:tcPr>
            <w:tcW w:w="916"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color w:val="000000"/>
                <w:lang w:eastAsia="en-GB"/>
              </w:rPr>
            </w:pP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UK</w:t>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6.83</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color w:val="000000"/>
                <w:lang w:eastAsia="en-GB"/>
              </w:rPr>
            </w:pPr>
            <w:r w:rsidRPr="0065310D">
              <w:rPr>
                <w:rFonts w:ascii="Calibri" w:eastAsia="Times New Roman" w:hAnsi="Calibri" w:cs="Times New Roman"/>
                <w:color w:val="000000"/>
                <w:lang w:eastAsia="en-GB"/>
              </w:rPr>
              <w:t>0.31</w:t>
            </w:r>
          </w:p>
        </w:tc>
        <w:tc>
          <w:tcPr>
            <w:tcW w:w="896" w:type="dxa"/>
            <w:tcBorders>
              <w:top w:val="nil"/>
              <w:left w:val="single" w:sz="4" w:space="0" w:color="auto"/>
              <w:bottom w:val="nil"/>
              <w:right w:val="nil"/>
            </w:tcBorders>
            <w:shd w:val="clear" w:color="auto" w:fill="auto"/>
          </w:tcPr>
          <w:p w:rsidR="00AD7262" w:rsidRPr="0065310D" w:rsidRDefault="00AD7262" w:rsidP="008143AE">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color w:val="000000"/>
                <w:lang w:eastAsia="en-GB"/>
              </w:rPr>
            </w:pPr>
          </w:p>
        </w:tc>
        <w:tc>
          <w:tcPr>
            <w:tcW w:w="916"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color w:val="000000"/>
                <w:lang w:eastAsia="en-GB"/>
              </w:rPr>
            </w:pPr>
          </w:p>
        </w:tc>
      </w:tr>
      <w:tr w:rsidR="00AD7262" w:rsidRPr="00E666DF" w:rsidTr="00E912ED">
        <w:trPr>
          <w:trHeight w:hRule="exact" w:val="284"/>
        </w:trPr>
        <w:tc>
          <w:tcPr>
            <w:tcW w:w="1181" w:type="dxa"/>
            <w:shd w:val="clear" w:color="auto" w:fill="auto"/>
            <w:noWrap/>
            <w:vAlign w:val="bottom"/>
            <w:hideMark/>
          </w:tcPr>
          <w:p w:rsidR="00AD7262" w:rsidRPr="00E666DF" w:rsidRDefault="00AD7262" w:rsidP="008143AE">
            <w:pPr>
              <w:spacing w:after="0"/>
              <w:jc w:val="lef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 xml:space="preserve">Average </w:t>
            </w:r>
            <w:r>
              <w:rPr>
                <w:rStyle w:val="FootnoteReference"/>
                <w:rFonts w:ascii="Calibri" w:eastAsia="Times New Roman" w:hAnsi="Calibri" w:cs="Times New Roman"/>
                <w:b/>
                <w:bCs/>
                <w:color w:val="000000"/>
                <w:lang w:eastAsia="en-GB"/>
              </w:rPr>
              <w:footnoteReference w:id="7"/>
            </w:r>
          </w:p>
        </w:tc>
        <w:tc>
          <w:tcPr>
            <w:tcW w:w="960" w:type="dxa"/>
            <w:shd w:val="clear" w:color="auto" w:fill="auto"/>
            <w:noWrap/>
            <w:vAlign w:val="bottom"/>
            <w:hideMark/>
          </w:tcPr>
          <w:p w:rsidR="00AD7262" w:rsidRPr="00E666DF" w:rsidRDefault="00AD7262" w:rsidP="008143AE">
            <w:pPr>
              <w:spacing w:after="0"/>
              <w:jc w:val="righ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9.76</w:t>
            </w:r>
          </w:p>
        </w:tc>
        <w:tc>
          <w:tcPr>
            <w:tcW w:w="932" w:type="dxa"/>
            <w:tcBorders>
              <w:right w:val="single" w:sz="4" w:space="0" w:color="auto"/>
            </w:tcBorders>
            <w:vAlign w:val="bottom"/>
          </w:tcPr>
          <w:p w:rsidR="00AD7262" w:rsidRPr="0065310D" w:rsidRDefault="00AD7262" w:rsidP="008143AE">
            <w:pPr>
              <w:spacing w:after="0"/>
              <w:jc w:val="right"/>
              <w:rPr>
                <w:rFonts w:ascii="Calibri" w:eastAsia="Times New Roman" w:hAnsi="Calibri" w:cs="Times New Roman"/>
                <w:b/>
                <w:bCs/>
                <w:color w:val="000000"/>
                <w:lang w:eastAsia="en-GB"/>
              </w:rPr>
            </w:pPr>
            <w:r w:rsidRPr="0065310D">
              <w:rPr>
                <w:rFonts w:ascii="Calibri" w:eastAsia="Times New Roman" w:hAnsi="Calibri" w:cs="Times New Roman"/>
                <w:b/>
                <w:bCs/>
                <w:color w:val="000000"/>
                <w:lang w:eastAsia="en-GB"/>
              </w:rPr>
              <w:t>0.34</w:t>
            </w:r>
          </w:p>
        </w:tc>
        <w:tc>
          <w:tcPr>
            <w:tcW w:w="896" w:type="dxa"/>
            <w:tcBorders>
              <w:top w:val="nil"/>
              <w:left w:val="single" w:sz="4" w:space="0" w:color="auto"/>
              <w:bottom w:val="nil"/>
              <w:right w:val="nil"/>
            </w:tcBorders>
            <w:shd w:val="clear" w:color="auto" w:fill="auto"/>
          </w:tcPr>
          <w:p w:rsidR="00AD7262" w:rsidRPr="0065310D" w:rsidRDefault="00AD7262" w:rsidP="008143AE">
            <w:pPr>
              <w:spacing w:after="0"/>
              <w:jc w:val="right"/>
              <w:rPr>
                <w:rFonts w:ascii="Calibri" w:eastAsia="Times New Roman" w:hAnsi="Calibri" w:cs="Times New Roman"/>
                <w:b/>
                <w:bCs/>
                <w:color w:val="000000"/>
                <w:lang w:eastAsia="en-GB"/>
              </w:rPr>
            </w:pPr>
          </w:p>
        </w:tc>
        <w:tc>
          <w:tcPr>
            <w:tcW w:w="967"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b/>
                <w:bCs/>
                <w:color w:val="000000"/>
                <w:lang w:eastAsia="en-GB"/>
              </w:rPr>
            </w:pPr>
          </w:p>
        </w:tc>
        <w:tc>
          <w:tcPr>
            <w:tcW w:w="916"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b/>
                <w:bCs/>
                <w:color w:val="000000"/>
                <w:lang w:eastAsia="en-GB"/>
              </w:rPr>
            </w:pPr>
          </w:p>
        </w:tc>
        <w:tc>
          <w:tcPr>
            <w:tcW w:w="913" w:type="dxa"/>
            <w:tcBorders>
              <w:top w:val="nil"/>
              <w:left w:val="nil"/>
              <w:bottom w:val="nil"/>
              <w:right w:val="nil"/>
            </w:tcBorders>
          </w:tcPr>
          <w:p w:rsidR="00AD7262" w:rsidRPr="0065310D" w:rsidRDefault="00AD7262" w:rsidP="008143AE">
            <w:pPr>
              <w:spacing w:after="0"/>
              <w:jc w:val="right"/>
              <w:rPr>
                <w:rFonts w:ascii="Calibri" w:eastAsia="Times New Roman" w:hAnsi="Calibri" w:cs="Times New Roman"/>
                <w:b/>
                <w:bCs/>
                <w:color w:val="000000"/>
                <w:lang w:eastAsia="en-GB"/>
              </w:rPr>
            </w:pPr>
          </w:p>
        </w:tc>
      </w:tr>
    </w:tbl>
    <w:p w:rsidR="00254F7B" w:rsidRDefault="00254F7B" w:rsidP="006A0724"/>
    <w:p w:rsidR="00254F7B" w:rsidRDefault="00254F7B">
      <w:pPr>
        <w:spacing w:before="70"/>
        <w:ind w:left="850" w:right="965"/>
      </w:pPr>
      <w:r>
        <w:br w:type="page"/>
      </w:r>
    </w:p>
    <w:p w:rsidR="00BB5FA5" w:rsidRDefault="00BB5FA5" w:rsidP="00BB5FA5">
      <w:pPr>
        <w:pStyle w:val="Heading2"/>
      </w:pPr>
      <w:bookmarkStart w:id="34" w:name="_Ref361904400"/>
      <w:bookmarkStart w:id="35" w:name="_Toc366244940"/>
      <w:r>
        <w:lastRenderedPageBreak/>
        <w:t>Jo</w:t>
      </w:r>
      <w:r w:rsidR="0043371A">
        <w:t xml:space="preserve">bs associated with gains in energy </w:t>
      </w:r>
      <w:r w:rsidR="002438BE">
        <w:t xml:space="preserve">efficiency, </w:t>
      </w:r>
      <w:r w:rsidR="0043371A">
        <w:t>fuel economy</w:t>
      </w:r>
      <w:r w:rsidR="002438BE">
        <w:t xml:space="preserve"> and introduction of electric vehicles</w:t>
      </w:r>
      <w:bookmarkEnd w:id="34"/>
      <w:bookmarkEnd w:id="35"/>
    </w:p>
    <w:p w:rsidR="007D45E7" w:rsidRDefault="000D22D3" w:rsidP="007D45E7">
      <w:pPr>
        <w:pStyle w:val="Heading3"/>
      </w:pPr>
      <w:bookmarkStart w:id="36" w:name="_Toc366244941"/>
      <w:r>
        <w:t>Introduction and review</w:t>
      </w:r>
      <w:bookmarkEnd w:id="36"/>
    </w:p>
    <w:p w:rsidR="002438BE" w:rsidRDefault="008143AE" w:rsidP="008143AE">
      <w:r>
        <w:t xml:space="preserve">Improvements </w:t>
      </w:r>
      <w:r w:rsidR="0043371A">
        <w:t xml:space="preserve">in energy efficiency </w:t>
      </w:r>
      <w:r w:rsidR="00BA0E3A">
        <w:t xml:space="preserve">are claimed to create jobs by 2 mechanisms. The first one is by generating investments in manufacturing, R&amp;D, construction and other labour intensive sectors. The second is by moving consumer preferences away from imported and capital intensive energy goods to more labour intensive industries. </w:t>
      </w:r>
      <w:r w:rsidR="00044ED6">
        <w:t xml:space="preserve">Bell C. (2012) gives an example of a simple calculation using the relative job intensity of the sectors in the US economy. Given that the job creation effect of 1 million dollar investment in energy is 10 jobs, compared to an overall 20 jobs in construction and 17 jobs in the overall economy, net job creation effects can occur when reduction in energy demand is switched for construction (20-10 = 10 net jobs) or temporarily during construction phase (20-17= 3 net jobs). </w:t>
      </w:r>
      <w:r w:rsidR="00EF2A41">
        <w:t xml:space="preserve">This refers to the overall approach of the American </w:t>
      </w:r>
      <w:proofErr w:type="spellStart"/>
      <w:r w:rsidR="00EF2A41">
        <w:t>Laitner</w:t>
      </w:r>
      <w:proofErr w:type="spellEnd"/>
      <w:r w:rsidR="00EF2A41">
        <w:t xml:space="preserve"> et al (2012), which calculated the overall impact of energy efficiency improvements in the US economy leading to a respective decrease of 11.6 trillion dollars in the</w:t>
      </w:r>
      <w:r w:rsidR="00031539">
        <w:t xml:space="preserve"> net</w:t>
      </w:r>
      <w:r w:rsidR="00EF2A41">
        <w:t xml:space="preserve"> energy bill, would lead to 1.3 million jobs. This is about </w:t>
      </w:r>
      <w:r w:rsidR="00031539">
        <w:t xml:space="preserve">0.112 jobs per million </w:t>
      </w:r>
      <w:proofErr w:type="gramStart"/>
      <w:r w:rsidR="00031539">
        <w:t>dollar</w:t>
      </w:r>
      <w:proofErr w:type="gramEnd"/>
      <w:r w:rsidR="00031539">
        <w:t xml:space="preserve"> saved in energy. </w:t>
      </w:r>
      <w:r w:rsidR="00D57C57">
        <w:t xml:space="preserve">This is low, compared to other studies (see below).  </w:t>
      </w:r>
    </w:p>
    <w:p w:rsidR="006A7E1A" w:rsidRDefault="006A7E1A" w:rsidP="00D57C57">
      <w:pPr>
        <w:autoSpaceDE w:val="0"/>
        <w:autoSpaceDN w:val="0"/>
        <w:adjustRightInd w:val="0"/>
        <w:spacing w:after="0"/>
        <w:rPr>
          <w:rFonts w:cs="BookAntiqua"/>
        </w:rPr>
      </w:pPr>
      <w:r w:rsidRPr="00D57C57">
        <w:t xml:space="preserve">In D14.2 of the NEUJOBS project, (Meijer, </w:t>
      </w:r>
      <w:proofErr w:type="spellStart"/>
      <w:r w:rsidRPr="00D57C57">
        <w:t>Vischer</w:t>
      </w:r>
      <w:proofErr w:type="spellEnd"/>
      <w:r w:rsidRPr="00D57C57">
        <w:t xml:space="preserve"> et al (2012)), a calculation is made of the impact of energy renovation of the housing stock.</w:t>
      </w:r>
      <w:r w:rsidR="00D57C57" w:rsidRPr="00D57C57">
        <w:t xml:space="preserve"> The authors refer to a study of the </w:t>
      </w:r>
      <w:r w:rsidR="00D57C57" w:rsidRPr="00D57C57">
        <w:rPr>
          <w:rFonts w:cs="BookAntiqua"/>
        </w:rPr>
        <w:t>French Ministry for Ecology, Energy,</w:t>
      </w:r>
      <w:r w:rsidR="00D57C57">
        <w:rPr>
          <w:rFonts w:cs="BookAntiqua"/>
        </w:rPr>
        <w:t xml:space="preserve"> </w:t>
      </w:r>
      <w:r w:rsidR="00D57C57" w:rsidRPr="00D57C57">
        <w:rPr>
          <w:rFonts w:cs="BookAntiqua"/>
        </w:rPr>
        <w:t>Sustainable Development and Spatial Planning</w:t>
      </w:r>
      <w:r w:rsidR="00D57C57">
        <w:rPr>
          <w:rFonts w:cs="BookAntiqua"/>
        </w:rPr>
        <w:t xml:space="preserve">. For each €1 million investment in energy renovation, it was estimated that 14.2 jobs could be gained </w:t>
      </w:r>
      <w:r w:rsidR="00D57C57">
        <w:rPr>
          <w:rFonts w:ascii="BookAntiqua" w:hAnsi="BookAntiqua" w:cs="BookAntiqua"/>
        </w:rPr>
        <w:t>(</w:t>
      </w:r>
      <w:proofErr w:type="spellStart"/>
      <w:r w:rsidR="00D57C57">
        <w:rPr>
          <w:rFonts w:ascii="BookAntiqua" w:hAnsi="BookAntiqua" w:cs="BookAntiqua"/>
        </w:rPr>
        <w:t>L'Union</w:t>
      </w:r>
      <w:proofErr w:type="spellEnd"/>
      <w:r w:rsidR="00D57C57">
        <w:rPr>
          <w:rFonts w:ascii="BookAntiqua" w:hAnsi="BookAntiqua" w:cs="BookAntiqua"/>
        </w:rPr>
        <w:t xml:space="preserve"> Social pour </w:t>
      </w:r>
      <w:proofErr w:type="spellStart"/>
      <w:r w:rsidR="00D57C57">
        <w:rPr>
          <w:rFonts w:ascii="BookAntiqua" w:hAnsi="BookAntiqua" w:cs="BookAntiqua"/>
        </w:rPr>
        <w:t>l'Habitat</w:t>
      </w:r>
      <w:proofErr w:type="spellEnd"/>
      <w:r w:rsidR="00D57C57">
        <w:rPr>
          <w:rFonts w:ascii="BookAntiqua" w:hAnsi="BookAntiqua" w:cs="BookAntiqua"/>
        </w:rPr>
        <w:t>, 2011)</w:t>
      </w:r>
      <w:r w:rsidR="00D57C57">
        <w:rPr>
          <w:rFonts w:cs="BookAntiqua"/>
        </w:rPr>
        <w:t xml:space="preserve">. A similar study of the Green Jobs Initiative (2012) found that (converted from dollars) 15.7 jobs could be created by energy efficiency improvement in housing. </w:t>
      </w:r>
      <w:r w:rsidR="007251A3">
        <w:rPr>
          <w:rFonts w:cs="BookAntiqua"/>
        </w:rPr>
        <w:t xml:space="preserve">In conclusion, D14.2 cites a number of other sources (UNEP, 2008), ILO (2012), </w:t>
      </w:r>
      <w:proofErr w:type="gramStart"/>
      <w:r w:rsidR="007251A3">
        <w:rPr>
          <w:rFonts w:cs="BookAntiqua"/>
        </w:rPr>
        <w:t>EEIF(</w:t>
      </w:r>
      <w:proofErr w:type="gramEnd"/>
      <w:r w:rsidR="007251A3">
        <w:rPr>
          <w:rFonts w:cs="BookAntiqua"/>
        </w:rPr>
        <w:t xml:space="preserve"> 2012), BPIE (2011) all presenting job multipliers between 11.3 &amp; 19 jobs per €1 million investment. </w:t>
      </w:r>
    </w:p>
    <w:p w:rsidR="00D57C57" w:rsidRPr="00D57C57" w:rsidRDefault="00D57C57" w:rsidP="00D57C57">
      <w:pPr>
        <w:autoSpaceDE w:val="0"/>
        <w:autoSpaceDN w:val="0"/>
        <w:adjustRightInd w:val="0"/>
        <w:spacing w:after="0"/>
        <w:rPr>
          <w:rFonts w:ascii="BookAntiqua" w:hAnsi="BookAntiqua" w:cs="BookAntiqua"/>
        </w:rPr>
      </w:pPr>
    </w:p>
    <w:p w:rsidR="004427C6" w:rsidRDefault="007D45E7" w:rsidP="00BB5FA5">
      <w:r>
        <w:t>Several studies have claimed that an increase in fuel efficiency</w:t>
      </w:r>
      <w:r w:rsidR="00BB0C26">
        <w:t xml:space="preserve"> of vehicles</w:t>
      </w:r>
      <w:r w:rsidR="009F022E">
        <w:t xml:space="preserve"> can lead to </w:t>
      </w:r>
      <w:r w:rsidR="00BB0C26">
        <w:t xml:space="preserve">economic </w:t>
      </w:r>
      <w:r w:rsidR="009F022E">
        <w:t>benefits</w:t>
      </w:r>
      <w:r w:rsidR="00BB0C26">
        <w:t xml:space="preserve"> and job creation</w:t>
      </w:r>
      <w:r>
        <w:t>.</w:t>
      </w:r>
      <w:r w:rsidR="00D52ED2">
        <w:t xml:space="preserve"> PERI (2009) estimate, using an input-output model that 17 jobs can be gained per million dollars for clean energy investments and 5 jobs per million euros of fossil fuel savings.</w:t>
      </w:r>
      <w:r>
        <w:t xml:space="preserve"> Roland-Holst </w:t>
      </w:r>
      <w:r w:rsidR="00BB0C26">
        <w:t xml:space="preserve">of the CERES centre </w:t>
      </w:r>
      <w:r>
        <w:t xml:space="preserve">(2008) </w:t>
      </w:r>
      <w:r w:rsidR="00BB0C26">
        <w:t>while</w:t>
      </w:r>
      <w:r w:rsidR="00EB6852">
        <w:t xml:space="preserve"> calculating the impact of energy efficiency policy on the Californian </w:t>
      </w:r>
      <w:proofErr w:type="gramStart"/>
      <w:r w:rsidR="00EB6852">
        <w:t>economy,</w:t>
      </w:r>
      <w:proofErr w:type="gramEnd"/>
      <w:r w:rsidR="00EB6852">
        <w:t xml:space="preserve"> </w:t>
      </w:r>
      <w:r>
        <w:t xml:space="preserve">refers to a study </w:t>
      </w:r>
      <w:r w:rsidR="00EB6852">
        <w:t>of UCS (2007) on impact of fuel economy savings. They estimate that a fleet wide average of 35 mpg</w:t>
      </w:r>
      <w:r w:rsidR="00BB0C26">
        <w:rPr>
          <w:rStyle w:val="FootnoteReference"/>
        </w:rPr>
        <w:footnoteReference w:id="8"/>
      </w:r>
      <w:r w:rsidR="00EB6852">
        <w:t xml:space="preserve">, leads to fuel savings of 61 billion dollars in gasoline and would generate 241,000 jobs. This is equivalent with 3.95 jobs per million dollars saved in gasoline. </w:t>
      </w:r>
      <w:r w:rsidR="00BB0C26">
        <w:t>A more recent study, again from CERES (2011), makes an estimate of 700.000 jobs for fuels savings of 152 billion dollars</w:t>
      </w:r>
      <w:r w:rsidR="00D315B6">
        <w:t>, calculated from an Input Output model of the US economy</w:t>
      </w:r>
      <w:r w:rsidR="00BB0C26">
        <w:t xml:space="preserve">. This is about 4.6 jobs per million dollars. </w:t>
      </w:r>
    </w:p>
    <w:p w:rsidR="00BB5FA5" w:rsidRDefault="00D315B6" w:rsidP="00BB5FA5">
      <w:r>
        <w:t>A European study from Riccardo AEA (2013)</w:t>
      </w:r>
      <w:r w:rsidR="004427C6">
        <w:t xml:space="preserve"> found similar results for the new 95 g/km and 147 g/km standards, respectively for passenger vehicles and vans. They find a gain of 356.000 jobs and a gain of 16 billion euros in GDP for fuel savings of 57 billion euros. A more st</w:t>
      </w:r>
      <w:r w:rsidR="000B6E37">
        <w:t>ringent standard delivers</w:t>
      </w:r>
      <w:r w:rsidR="004427C6">
        <w:t xml:space="preserve"> 443.000 jobs and 10 billion euro gain </w:t>
      </w:r>
      <w:r w:rsidR="004427C6">
        <w:lastRenderedPageBreak/>
        <w:t xml:space="preserve">in GDP for fuel savings of 79 billion euros. </w:t>
      </w:r>
      <w:r w:rsidR="000B6E37">
        <w:t xml:space="preserve">This is respectively a gain of 6.2 jobs and 5.6 jobs gained per million euros in fuel economy and a 0.28 and 0.12 million euros in GDP per million </w:t>
      </w:r>
      <w:proofErr w:type="gramStart"/>
      <w:r w:rsidR="000B6E37">
        <w:t>euro</w:t>
      </w:r>
      <w:proofErr w:type="gramEnd"/>
      <w:r w:rsidR="000B6E37">
        <w:t xml:space="preserve"> of fuel savings. </w:t>
      </w:r>
    </w:p>
    <w:p w:rsidR="00465A31" w:rsidRDefault="002438BE" w:rsidP="00E5186B">
      <w:r>
        <w:t xml:space="preserve">The impact of electric mobility on job creation is controversial. Some studies (Friedrich, Ebert </w:t>
      </w:r>
      <w:proofErr w:type="spellStart"/>
      <w:r>
        <w:t>Stiftung</w:t>
      </w:r>
      <w:proofErr w:type="spellEnd"/>
      <w:r>
        <w:t>, 2010) claim that the short term impact can be positive, due to increased car sales but that the less complicated production of electric vehicles requires less staff and can be automated more easily.</w:t>
      </w:r>
      <w:r w:rsidR="00465A31">
        <w:t xml:space="preserve"> Hence, on longer term the employment in the sector falls due to its low labour intensity and lower maintenance costs.</w:t>
      </w:r>
      <w:r>
        <w:t xml:space="preserve"> </w:t>
      </w:r>
      <w:proofErr w:type="spellStart"/>
      <w:r w:rsidR="008504C1">
        <w:t>Mc</w:t>
      </w:r>
      <w:proofErr w:type="spellEnd"/>
      <w:r w:rsidR="008504C1">
        <w:t xml:space="preserve"> Kinsey (2010) use a value-added based multiplier in their calculation of the impact of electric mobility, which is 3.3 jobs per million euro of value added generated. The</w:t>
      </w:r>
      <w:r w:rsidR="00C71964">
        <w:t>y</w:t>
      </w:r>
      <w:r w:rsidR="008504C1">
        <w:t xml:space="preserve"> estimate a net gain of 61 billion euros of value added globally, due to a switch from conventional to electric propulsion, which would result (globally) in 204.000 jobs in 2020. The main gains are in the battery market (45</w:t>
      </w:r>
      <w:r w:rsidR="00D52ED2">
        <w:t xml:space="preserve"> billion). </w:t>
      </w:r>
      <w:r w:rsidR="00465A31">
        <w:t>Another study (Roland Berger Strategy Consultant</w:t>
      </w:r>
      <w:proofErr w:type="gramStart"/>
      <w:r w:rsidR="00465A31">
        <w:t>,  2025</w:t>
      </w:r>
      <w:proofErr w:type="gramEnd"/>
      <w:r w:rsidR="00465A31">
        <w:t>), found that in the most optimist</w:t>
      </w:r>
      <w:r w:rsidR="00C71964">
        <w:t>ic</w:t>
      </w:r>
      <w:r w:rsidR="00465A31">
        <w:t xml:space="preserve"> scenario (10% electrification and 40% hybridization of car fleet) a net increase of 700,000 jobs can be realized. A study of Friends of the Earth (1997) projected an increase of 6200 jobs in the UK when 5% of the car fleet would be electrified. </w:t>
      </w:r>
    </w:p>
    <w:p w:rsidR="00465A31" w:rsidRDefault="00465A31" w:rsidP="00465A31">
      <w:r>
        <w:t>A study from</w:t>
      </w:r>
      <w:r w:rsidR="00D52ED2">
        <w:t xml:space="preserve"> Renault, on the impact of electrification of vehicles showed that electric vehicles require less maintenance than conventional cars. According to </w:t>
      </w:r>
      <w:proofErr w:type="spellStart"/>
      <w:r w:rsidR="00D52ED2">
        <w:t>Sia</w:t>
      </w:r>
      <w:proofErr w:type="spellEnd"/>
      <w:r w:rsidR="00D52ED2">
        <w:t xml:space="preserve"> (the French society of automotive engineers, this would lead to a destruction of 1000 jobs in maintenance for every million electric cars in circulation).</w:t>
      </w:r>
    </w:p>
    <w:p w:rsidR="006042F5" w:rsidRDefault="006042F5" w:rsidP="00465A31">
      <w:pPr>
        <w:pStyle w:val="Heading3"/>
      </w:pPr>
      <w:bookmarkStart w:id="37" w:name="_Toc366244942"/>
      <w:r>
        <w:t>Results from EDIP model</w:t>
      </w:r>
      <w:bookmarkEnd w:id="37"/>
    </w:p>
    <w:p w:rsidR="00F05E79" w:rsidRDefault="009576C8" w:rsidP="006A0724">
      <w:r>
        <w:t>We will now compare the results for increased energy and fuel efficiency with results from EDIP.</w:t>
      </w:r>
      <w:r w:rsidR="00DB66EC">
        <w:t xml:space="preserve"> </w:t>
      </w:r>
      <w:r w:rsidR="00635A93">
        <w:t xml:space="preserve">We </w:t>
      </w:r>
      <w:r w:rsidR="00F05E79">
        <w:t>run 3 scenarios:</w:t>
      </w:r>
    </w:p>
    <w:p w:rsidR="00F05E79" w:rsidRPr="00F05E79" w:rsidRDefault="00F05E79" w:rsidP="00F05E79">
      <w:pPr>
        <w:pStyle w:val="ListParagraph"/>
        <w:numPr>
          <w:ilvl w:val="0"/>
          <w:numId w:val="33"/>
        </w:numPr>
        <w:rPr>
          <w:rFonts w:ascii="Book Antiqua" w:hAnsi="Book Antiqua"/>
        </w:rPr>
      </w:pPr>
      <w:r w:rsidRPr="00F05E79">
        <w:rPr>
          <w:rFonts w:ascii="Book Antiqua" w:hAnsi="Book Antiqua"/>
          <w:b/>
        </w:rPr>
        <w:t>Energy</w:t>
      </w:r>
      <w:r w:rsidRPr="00F05E79">
        <w:rPr>
          <w:rFonts w:ascii="Book Antiqua" w:hAnsi="Book Antiqua"/>
        </w:rPr>
        <w:t>: An overall economy wide increase in energy efficiency of 1%</w:t>
      </w:r>
      <w:r w:rsidR="00387085">
        <w:rPr>
          <w:rFonts w:ascii="Book Antiqua" w:hAnsi="Book Antiqua"/>
        </w:rPr>
        <w:t>, based on NEUJOBS (D15.2) policy scenario 1</w:t>
      </w:r>
    </w:p>
    <w:p w:rsidR="00F05E79" w:rsidRPr="00F05E79" w:rsidRDefault="00F05E79" w:rsidP="00F05E79">
      <w:pPr>
        <w:pStyle w:val="ListParagraph"/>
        <w:numPr>
          <w:ilvl w:val="0"/>
          <w:numId w:val="33"/>
        </w:numPr>
        <w:rPr>
          <w:rFonts w:ascii="Book Antiqua" w:hAnsi="Book Antiqua"/>
        </w:rPr>
      </w:pPr>
      <w:r w:rsidRPr="00F05E79">
        <w:rPr>
          <w:rFonts w:ascii="Book Antiqua" w:hAnsi="Book Antiqua"/>
          <w:b/>
        </w:rPr>
        <w:t>Fuel:</w:t>
      </w:r>
      <w:r w:rsidRPr="00F05E79">
        <w:rPr>
          <w:rFonts w:ascii="Book Antiqua" w:hAnsi="Book Antiqua"/>
        </w:rPr>
        <w:t xml:space="preserve"> An improvement in the fuel economy of 1%</w:t>
      </w:r>
      <w:r w:rsidR="00387085">
        <w:rPr>
          <w:rFonts w:ascii="Book Antiqua" w:hAnsi="Book Antiqua"/>
        </w:rPr>
        <w:t>, based on NEUJOBS (D15.2) policy scenario 2</w:t>
      </w:r>
    </w:p>
    <w:p w:rsidR="00F05E79" w:rsidRPr="00F05E79" w:rsidRDefault="00F05E79" w:rsidP="00F05E79">
      <w:pPr>
        <w:pStyle w:val="ListParagraph"/>
        <w:numPr>
          <w:ilvl w:val="0"/>
          <w:numId w:val="33"/>
        </w:numPr>
        <w:rPr>
          <w:rFonts w:ascii="Book Antiqua" w:hAnsi="Book Antiqua"/>
          <w:b/>
        </w:rPr>
      </w:pPr>
      <w:r w:rsidRPr="00F05E79">
        <w:rPr>
          <w:rFonts w:ascii="Book Antiqua" w:hAnsi="Book Antiqua"/>
          <w:b/>
        </w:rPr>
        <w:t xml:space="preserve">Electric: </w:t>
      </w:r>
      <w:r>
        <w:rPr>
          <w:rFonts w:ascii="Book Antiqua" w:hAnsi="Book Antiqua"/>
        </w:rPr>
        <w:t>A 1% switch from conventional fuel transport, towards electric transportation</w:t>
      </w:r>
      <w:r w:rsidR="00387085">
        <w:rPr>
          <w:rFonts w:ascii="Book Antiqua" w:hAnsi="Book Antiqua"/>
        </w:rPr>
        <w:t>, based on NEUJOBS (D15.2) policy scenario 3</w:t>
      </w:r>
    </w:p>
    <w:p w:rsidR="00E912ED" w:rsidRDefault="00F05E79" w:rsidP="006A0724">
      <w:r>
        <w:t xml:space="preserve">These scenarios are implemented in a similar way as is described in section 3.3.1, 3.3.2 and 3.3.3 of D15.2. However in this case, the changes implemented are only marginal </w:t>
      </w:r>
      <w:r w:rsidR="009576C8">
        <w:t>and are not taking into account the elaborate background scenarios of the NEUJOBS project.</w:t>
      </w:r>
      <w:r w:rsidR="00AD669B">
        <w:t xml:space="preserve"> This makes them comparable with the findings from literature described above.</w:t>
      </w:r>
      <w:r w:rsidR="00387085">
        <w:t xml:space="preserve"> </w:t>
      </w:r>
      <w:r w:rsidR="009576C8">
        <w:t>As in the previous section, we calculate</w:t>
      </w:r>
      <w:r w:rsidR="00AE7AAA">
        <w:t xml:space="preserve"> the</w:t>
      </w:r>
      <w:r w:rsidR="00AD669B">
        <w:t xml:space="preserve"> multiplier for</w:t>
      </w:r>
      <w:r w:rsidR="00AE7AAA">
        <w:t xml:space="preserve"> job creation effects and </w:t>
      </w:r>
      <w:r w:rsidR="00AD669B">
        <w:t>multiplier for GDP when introducing these efficiency gains</w:t>
      </w:r>
      <w:r w:rsidR="00AE7AAA">
        <w:t xml:space="preserve">. We calculate the amount of total jobs created per million </w:t>
      </w:r>
      <w:proofErr w:type="gramStart"/>
      <w:r w:rsidR="00AE7AAA">
        <w:t>euro</w:t>
      </w:r>
      <w:proofErr w:type="gramEnd"/>
      <w:r w:rsidR="00AE7AAA">
        <w:t xml:space="preserve"> in energy savings</w:t>
      </w:r>
      <w:r w:rsidR="00297E11">
        <w:t xml:space="preserve"> (energy)</w:t>
      </w:r>
      <w:r w:rsidR="00AE7AAA">
        <w:t>, fuel savings</w:t>
      </w:r>
      <w:r w:rsidR="00297E11">
        <w:t xml:space="preserve"> (fuel) and per million euro spent on nonconventional vehicles (electric). </w:t>
      </w:r>
      <w:r w:rsidR="00AD669B">
        <w:t xml:space="preserve">The numbers in </w:t>
      </w:r>
      <w:r w:rsidR="00AD669B">
        <w:fldChar w:fldCharType="begin"/>
      </w:r>
      <w:r w:rsidR="00AD669B">
        <w:instrText xml:space="preserve"> REF _Ref361834703 \h </w:instrText>
      </w:r>
      <w:r w:rsidR="00AD669B">
        <w:fldChar w:fldCharType="separate"/>
      </w:r>
      <w:r w:rsidR="0013270A">
        <w:t xml:space="preserve">Table </w:t>
      </w:r>
      <w:r w:rsidR="0013270A">
        <w:rPr>
          <w:noProof/>
        </w:rPr>
        <w:t>6</w:t>
      </w:r>
      <w:r w:rsidR="00AD669B">
        <w:fldChar w:fldCharType="end"/>
      </w:r>
      <w:r w:rsidR="00AD669B">
        <w:t xml:space="preserve"> are </w:t>
      </w:r>
      <w:r w:rsidR="00A92F36">
        <w:t>to be interpreted as the extra jobs and extra million euros in gross domestic product for each million euro saved.</w:t>
      </w:r>
    </w:p>
    <w:p w:rsidR="00272F05" w:rsidRDefault="00A92F36" w:rsidP="006A0724">
      <w:r>
        <w:t xml:space="preserve">As in the analysis above, we split our countries in 2 groups. The amount of job creation differs considerably among the different countries. </w:t>
      </w:r>
      <w:r w:rsidR="006E3F30">
        <w:t xml:space="preserve">There are quite a few outliers, </w:t>
      </w:r>
      <w:r w:rsidR="006E3F30">
        <w:lastRenderedPageBreak/>
        <w:t xml:space="preserve">especially in group 2, where the quality of the data on fuel use is an issue. Still these results show some interesting trend. Job creation from overall gains in energy efficiency seems to be significantly larger than job creation from fuel economy and introducing electric mobility, per million euro saved. </w:t>
      </w:r>
      <w:r w:rsidR="003F0B53">
        <w:t>Especially in group 2 countries, as well as CY, ES, PT, AT in group 1, the amount of jobs created from energy savings is substantial in ranges from 23 -67 jobs per million euros saved. Fuel economy seems to be much less effective to create jobs and reaches values (comparable with the review above) of 3-6 jobs per million euro of fuel economy. Electric mobility is even less effective as a stimulator of job creation and its overall (</w:t>
      </w:r>
      <w:proofErr w:type="spellStart"/>
      <w:r w:rsidR="003F0B53">
        <w:t>unweighted</w:t>
      </w:r>
      <w:proofErr w:type="spellEnd"/>
      <w:r w:rsidR="003F0B53">
        <w:t>) average shows negative values.</w:t>
      </w:r>
      <w:r w:rsidR="009D0B19">
        <w:t xml:space="preserve"> </w:t>
      </w:r>
      <w:r w:rsidR="003F0B53">
        <w:t xml:space="preserve">Looking at the GDP multiplier, we see that (contrary to study of Riccardo AEA, 2013) our results imply negative impacts on GDP. This is caused by a loss in tax income, both the in fuel economy and the electric mobility case. This stands in meek comparison with gains from overall improvements in energy efficiency. </w:t>
      </w:r>
    </w:p>
    <w:p w:rsidR="007251A3" w:rsidRDefault="007251A3" w:rsidP="006A0724">
      <w:r>
        <w:t>The difference between the Western European, Southern European and Eastern European countries are noticeable and important. We are not the first to remark the big differences between member states. The Green Jobs Initiative</w:t>
      </w:r>
      <w:r>
        <w:rPr>
          <w:rStyle w:val="FootnoteReference"/>
        </w:rPr>
        <w:footnoteReference w:id="9"/>
      </w:r>
      <w:r>
        <w:t xml:space="preserve"> (2012</w:t>
      </w:r>
      <w:proofErr w:type="gramStart"/>
      <w:r>
        <w:t>),</w:t>
      </w:r>
      <w:proofErr w:type="gramEnd"/>
      <w:r>
        <w:t xml:space="preserve"> already found that in certain Eastern European countries far more jobs could be created per million euro than in other countries</w:t>
      </w:r>
      <w:r w:rsidR="00DA51B9">
        <w:t xml:space="preserve">. The Energy Efficiency Industrial Forum (2012) found </w:t>
      </w:r>
      <w:proofErr w:type="gramStart"/>
      <w:r w:rsidR="00DA51B9">
        <w:t>a high 19 jobs</w:t>
      </w:r>
      <w:proofErr w:type="gramEnd"/>
      <w:r w:rsidR="00DA51B9">
        <w:t xml:space="preserve"> per million euro job multiplier, but acknowledged the large difference between individual member states. </w:t>
      </w:r>
      <w:r w:rsidR="006B5450">
        <w:t xml:space="preserve">The main reason for these differences is labour cost and labour productivity. </w:t>
      </w:r>
    </w:p>
    <w:p w:rsidR="00E912ED" w:rsidRDefault="00E912ED" w:rsidP="00E912ED">
      <w:pPr>
        <w:pStyle w:val="Caption"/>
      </w:pPr>
      <w:bookmarkStart w:id="38" w:name="_Ref361834703"/>
      <w:bookmarkStart w:id="39" w:name="_Toc373136643"/>
      <w:r>
        <w:t xml:space="preserve">Table </w:t>
      </w:r>
      <w:r>
        <w:fldChar w:fldCharType="begin"/>
      </w:r>
      <w:r>
        <w:instrText xml:space="preserve"> SEQ Table \* ARABIC </w:instrText>
      </w:r>
      <w:r>
        <w:fldChar w:fldCharType="separate"/>
      </w:r>
      <w:r w:rsidR="0013270A">
        <w:rPr>
          <w:noProof/>
        </w:rPr>
        <w:t>6</w:t>
      </w:r>
      <w:r>
        <w:fldChar w:fldCharType="end"/>
      </w:r>
      <w:bookmarkEnd w:id="38"/>
      <w:r>
        <w:t xml:space="preserve">: Job creation </w:t>
      </w:r>
      <w:r w:rsidR="009B62BA">
        <w:t>and GDP effect per million euros energy saved</w:t>
      </w:r>
      <w:bookmarkEnd w:id="39"/>
    </w:p>
    <w:tbl>
      <w:tblPr>
        <w:tblW w:w="75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9"/>
        <w:gridCol w:w="1134"/>
        <w:gridCol w:w="17"/>
        <w:gridCol w:w="962"/>
        <w:gridCol w:w="24"/>
        <w:gridCol w:w="1061"/>
        <w:gridCol w:w="33"/>
        <w:gridCol w:w="1069"/>
        <w:gridCol w:w="41"/>
        <w:gridCol w:w="795"/>
        <w:gridCol w:w="47"/>
        <w:gridCol w:w="990"/>
        <w:gridCol w:w="56"/>
      </w:tblGrid>
      <w:tr w:rsidR="009576C8" w:rsidRPr="00E666DF" w:rsidTr="002138A9">
        <w:trPr>
          <w:trHeight w:hRule="exact" w:val="260"/>
        </w:trPr>
        <w:tc>
          <w:tcPr>
            <w:tcW w:w="1325" w:type="dxa"/>
            <w:gridSpan w:val="2"/>
            <w:shd w:val="clear" w:color="auto" w:fill="C4BC96" w:themeFill="background2" w:themeFillShade="BF"/>
            <w:noWrap/>
            <w:vAlign w:val="bottom"/>
          </w:tcPr>
          <w:p w:rsidR="009576C8" w:rsidRDefault="009576C8" w:rsidP="00E912ED">
            <w:pPr>
              <w:spacing w:after="0"/>
              <w:jc w:val="left"/>
              <w:rPr>
                <w:rFonts w:ascii="Calibri" w:eastAsia="Times New Roman" w:hAnsi="Calibri" w:cs="Times New Roman"/>
                <w:b/>
                <w:bCs/>
                <w:color w:val="000000"/>
                <w:lang w:eastAsia="en-GB"/>
              </w:rPr>
            </w:pPr>
          </w:p>
        </w:tc>
        <w:tc>
          <w:tcPr>
            <w:tcW w:w="3231" w:type="dxa"/>
            <w:gridSpan w:val="6"/>
            <w:tcBorders>
              <w:right w:val="single" w:sz="4" w:space="0" w:color="auto"/>
            </w:tcBorders>
            <w:shd w:val="clear" w:color="auto" w:fill="C4BC96" w:themeFill="background2" w:themeFillShade="BF"/>
            <w:noWrap/>
            <w:vAlign w:val="bottom"/>
          </w:tcPr>
          <w:p w:rsidR="009576C8" w:rsidRDefault="00FC5AA5" w:rsidP="00E912ED">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2998" w:type="dxa"/>
            <w:gridSpan w:val="6"/>
            <w:tcBorders>
              <w:right w:val="single" w:sz="4" w:space="0" w:color="auto"/>
            </w:tcBorders>
            <w:shd w:val="clear" w:color="auto" w:fill="C4BC96" w:themeFill="background2" w:themeFillShade="BF"/>
          </w:tcPr>
          <w:p w:rsidR="009576C8" w:rsidRDefault="00FC5AA5" w:rsidP="00E912ED">
            <w:pPr>
              <w:spacing w:after="0"/>
              <w:jc w:val="left"/>
              <w:rPr>
                <w:rFonts w:eastAsia="Calibri" w:cs="Times New Roman"/>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r>
      <w:tr w:rsidR="009576C8" w:rsidRPr="00E666DF" w:rsidTr="002138A9">
        <w:trPr>
          <w:trHeight w:hRule="exact" w:val="264"/>
        </w:trPr>
        <w:tc>
          <w:tcPr>
            <w:tcW w:w="1325" w:type="dxa"/>
            <w:gridSpan w:val="2"/>
            <w:shd w:val="clear" w:color="auto" w:fill="C4BC96" w:themeFill="background2" w:themeFillShade="BF"/>
            <w:noWrap/>
            <w:vAlign w:val="bottom"/>
            <w:hideMark/>
          </w:tcPr>
          <w:p w:rsidR="009576C8" w:rsidRPr="00E666DF" w:rsidRDefault="009576C8" w:rsidP="00E912ED">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1</w:t>
            </w:r>
          </w:p>
        </w:tc>
        <w:tc>
          <w:tcPr>
            <w:tcW w:w="1151" w:type="dxa"/>
            <w:gridSpan w:val="2"/>
            <w:shd w:val="clear" w:color="auto" w:fill="C4BC96" w:themeFill="background2" w:themeFillShade="BF"/>
            <w:noWrap/>
            <w:vAlign w:val="bottom"/>
          </w:tcPr>
          <w:p w:rsidR="009576C8" w:rsidRPr="00E666DF" w:rsidRDefault="009576C8" w:rsidP="00E912ED">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Energy</w:t>
            </w:r>
          </w:p>
        </w:tc>
        <w:tc>
          <w:tcPr>
            <w:tcW w:w="986" w:type="dxa"/>
            <w:gridSpan w:val="2"/>
            <w:tcBorders>
              <w:right w:val="single" w:sz="4" w:space="0" w:color="auto"/>
            </w:tcBorders>
            <w:shd w:val="clear" w:color="auto" w:fill="C4BC96" w:themeFill="background2" w:themeFillShade="BF"/>
            <w:vAlign w:val="bottom"/>
          </w:tcPr>
          <w:p w:rsidR="009576C8" w:rsidRPr="00E666DF" w:rsidRDefault="009576C8" w:rsidP="00E912ED">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Fuel</w:t>
            </w:r>
          </w:p>
        </w:tc>
        <w:tc>
          <w:tcPr>
            <w:tcW w:w="1094" w:type="dxa"/>
            <w:gridSpan w:val="2"/>
            <w:tcBorders>
              <w:right w:val="single" w:sz="4" w:space="0" w:color="auto"/>
            </w:tcBorders>
            <w:shd w:val="clear" w:color="auto" w:fill="C4BC96" w:themeFill="background2" w:themeFillShade="BF"/>
          </w:tcPr>
          <w:p w:rsidR="009576C8" w:rsidRPr="00E666DF" w:rsidRDefault="009576C8" w:rsidP="00E912ED">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Electric</w:t>
            </w:r>
          </w:p>
        </w:tc>
        <w:tc>
          <w:tcPr>
            <w:tcW w:w="1110" w:type="dxa"/>
            <w:gridSpan w:val="2"/>
            <w:tcBorders>
              <w:right w:val="single" w:sz="4" w:space="0" w:color="auto"/>
            </w:tcBorders>
            <w:shd w:val="clear" w:color="auto" w:fill="C4BC96" w:themeFill="background2" w:themeFillShade="BF"/>
            <w:vAlign w:val="bottom"/>
          </w:tcPr>
          <w:p w:rsidR="009576C8" w:rsidRPr="00E666DF" w:rsidRDefault="009576C8"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Energy</w:t>
            </w:r>
          </w:p>
        </w:tc>
        <w:tc>
          <w:tcPr>
            <w:tcW w:w="842" w:type="dxa"/>
            <w:gridSpan w:val="2"/>
            <w:tcBorders>
              <w:right w:val="single" w:sz="4" w:space="0" w:color="auto"/>
            </w:tcBorders>
            <w:shd w:val="clear" w:color="auto" w:fill="C4BC96" w:themeFill="background2" w:themeFillShade="BF"/>
            <w:vAlign w:val="bottom"/>
          </w:tcPr>
          <w:p w:rsidR="009576C8" w:rsidRPr="00E666DF" w:rsidRDefault="009576C8"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Fuel</w:t>
            </w:r>
          </w:p>
        </w:tc>
        <w:tc>
          <w:tcPr>
            <w:tcW w:w="1046" w:type="dxa"/>
            <w:gridSpan w:val="2"/>
            <w:tcBorders>
              <w:right w:val="single" w:sz="4" w:space="0" w:color="auto"/>
            </w:tcBorders>
            <w:shd w:val="clear" w:color="auto" w:fill="C4BC96" w:themeFill="background2" w:themeFillShade="BF"/>
          </w:tcPr>
          <w:p w:rsidR="009576C8" w:rsidRPr="00E666DF" w:rsidRDefault="009576C8"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Electric</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AT</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26.70</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2.75</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0.17</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8.48</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-0.30</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-0.06</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BE</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2.99</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2.93</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0.63</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1.32</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-0.03</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-0.03</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CY</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39.73</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10.72</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3.57</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2.19</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0.08</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0.04</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DE</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6.07</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3.93</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0.73</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1.52</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-0.26</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-0.08</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DK</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6.15</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2.04</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-9.55</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1.95</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0.05</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0.01</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ES</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23.45</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6.36</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-0.25</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1.79</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-0.10</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-0.04</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FI</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5.96</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2.50</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-1.31</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1.43</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-0.05</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-0.05</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FR</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9.46</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4.57</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1.94</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1.39</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-0.15</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0.15</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GR</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11.01</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3.55</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-2.57</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1.42</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-0.10</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-0.11</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IT</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9.10</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10.86</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-0.68</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1.47</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-0.38</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-0.01</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MT</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7.91</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0.09</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-0.24</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1.11</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0.01</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0.02</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NL</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9.07</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2.62</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-0.22</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1.92</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-0.08</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-0.01</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PT</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29.54</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6.44</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0.24</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1.94</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-0.20</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-0.01</w:t>
            </w:r>
          </w:p>
        </w:tc>
      </w:tr>
      <w:tr w:rsidR="009576C8" w:rsidRPr="00E666DF" w:rsidTr="002138A9">
        <w:trPr>
          <w:trHeight w:hRule="exact" w:val="318"/>
        </w:trPr>
        <w:tc>
          <w:tcPr>
            <w:tcW w:w="1325" w:type="dxa"/>
            <w:gridSpan w:val="2"/>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SE</w:t>
            </w:r>
          </w:p>
        </w:tc>
        <w:tc>
          <w:tcPr>
            <w:tcW w:w="1151" w:type="dxa"/>
            <w:gridSpan w:val="2"/>
            <w:shd w:val="clear" w:color="auto" w:fill="auto"/>
            <w:noWrap/>
            <w:vAlign w:val="bottom"/>
          </w:tcPr>
          <w:p w:rsidR="009576C8" w:rsidRDefault="009576C8">
            <w:pPr>
              <w:jc w:val="right"/>
              <w:rPr>
                <w:rFonts w:ascii="Calibri" w:hAnsi="Calibri"/>
                <w:color w:val="000000"/>
              </w:rPr>
            </w:pPr>
            <w:r>
              <w:rPr>
                <w:rFonts w:ascii="Calibri" w:hAnsi="Calibri"/>
                <w:color w:val="000000"/>
              </w:rPr>
              <w:t>9.03</w:t>
            </w:r>
          </w:p>
        </w:tc>
        <w:tc>
          <w:tcPr>
            <w:tcW w:w="98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2.79</w:t>
            </w:r>
          </w:p>
        </w:tc>
        <w:tc>
          <w:tcPr>
            <w:tcW w:w="1094"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0.15</w:t>
            </w:r>
          </w:p>
        </w:tc>
        <w:tc>
          <w:tcPr>
            <w:tcW w:w="1110"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1.54</w:t>
            </w:r>
          </w:p>
        </w:tc>
        <w:tc>
          <w:tcPr>
            <w:tcW w:w="842"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-0.31</w:t>
            </w:r>
          </w:p>
        </w:tc>
        <w:tc>
          <w:tcPr>
            <w:tcW w:w="1046" w:type="dxa"/>
            <w:gridSpan w:val="2"/>
            <w:tcBorders>
              <w:right w:val="single" w:sz="4" w:space="0" w:color="auto"/>
            </w:tcBorders>
            <w:vAlign w:val="bottom"/>
          </w:tcPr>
          <w:p w:rsidR="009576C8" w:rsidRDefault="009576C8">
            <w:pPr>
              <w:jc w:val="right"/>
              <w:rPr>
                <w:rFonts w:ascii="Calibri" w:hAnsi="Calibri"/>
                <w:color w:val="000000"/>
              </w:rPr>
            </w:pPr>
            <w:r>
              <w:rPr>
                <w:rFonts w:ascii="Calibri" w:hAnsi="Calibri"/>
                <w:color w:val="000000"/>
              </w:rPr>
              <w:t>-0.07</w:t>
            </w:r>
          </w:p>
        </w:tc>
      </w:tr>
      <w:tr w:rsidR="009576C8" w:rsidRPr="00E666DF" w:rsidTr="002138A9">
        <w:trPr>
          <w:trHeight w:hRule="exact" w:val="318"/>
        </w:trPr>
        <w:tc>
          <w:tcPr>
            <w:tcW w:w="1325" w:type="dxa"/>
            <w:gridSpan w:val="2"/>
            <w:tcBorders>
              <w:bottom w:val="single" w:sz="4" w:space="0" w:color="auto"/>
            </w:tcBorders>
            <w:shd w:val="clear" w:color="auto" w:fill="auto"/>
            <w:noWrap/>
            <w:vAlign w:val="bottom"/>
            <w:hideMark/>
          </w:tcPr>
          <w:p w:rsidR="009576C8" w:rsidRPr="00E666DF" w:rsidRDefault="009576C8" w:rsidP="00E912ED">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UK</w:t>
            </w:r>
          </w:p>
        </w:tc>
        <w:tc>
          <w:tcPr>
            <w:tcW w:w="1151" w:type="dxa"/>
            <w:gridSpan w:val="2"/>
            <w:tcBorders>
              <w:bottom w:val="single" w:sz="4" w:space="0" w:color="auto"/>
            </w:tcBorders>
            <w:shd w:val="clear" w:color="auto" w:fill="auto"/>
            <w:noWrap/>
            <w:vAlign w:val="bottom"/>
          </w:tcPr>
          <w:p w:rsidR="009576C8" w:rsidRDefault="009576C8">
            <w:pPr>
              <w:jc w:val="right"/>
              <w:rPr>
                <w:rFonts w:ascii="Calibri" w:hAnsi="Calibri"/>
                <w:color w:val="000000"/>
              </w:rPr>
            </w:pPr>
            <w:r>
              <w:rPr>
                <w:rFonts w:ascii="Calibri" w:hAnsi="Calibri"/>
                <w:color w:val="000000"/>
              </w:rPr>
              <w:t>13.68</w:t>
            </w:r>
          </w:p>
        </w:tc>
        <w:tc>
          <w:tcPr>
            <w:tcW w:w="986" w:type="dxa"/>
            <w:gridSpan w:val="2"/>
            <w:tcBorders>
              <w:bottom w:val="single" w:sz="4" w:space="0" w:color="auto"/>
              <w:right w:val="single" w:sz="4" w:space="0" w:color="auto"/>
            </w:tcBorders>
            <w:vAlign w:val="bottom"/>
          </w:tcPr>
          <w:p w:rsidR="009576C8" w:rsidRDefault="009576C8">
            <w:pPr>
              <w:jc w:val="right"/>
              <w:rPr>
                <w:rFonts w:ascii="Calibri" w:hAnsi="Calibri"/>
                <w:color w:val="000000"/>
              </w:rPr>
            </w:pPr>
            <w:r>
              <w:rPr>
                <w:rFonts w:ascii="Calibri" w:hAnsi="Calibri"/>
                <w:color w:val="000000"/>
              </w:rPr>
              <w:t>3.35</w:t>
            </w:r>
          </w:p>
        </w:tc>
        <w:tc>
          <w:tcPr>
            <w:tcW w:w="1094" w:type="dxa"/>
            <w:gridSpan w:val="2"/>
            <w:tcBorders>
              <w:bottom w:val="single" w:sz="4" w:space="0" w:color="auto"/>
              <w:right w:val="single" w:sz="4" w:space="0" w:color="auto"/>
            </w:tcBorders>
            <w:vAlign w:val="bottom"/>
          </w:tcPr>
          <w:p w:rsidR="009576C8" w:rsidRDefault="009576C8">
            <w:pPr>
              <w:jc w:val="right"/>
              <w:rPr>
                <w:rFonts w:ascii="Calibri" w:hAnsi="Calibri"/>
                <w:color w:val="000000"/>
              </w:rPr>
            </w:pPr>
            <w:r>
              <w:rPr>
                <w:rFonts w:ascii="Calibri" w:hAnsi="Calibri"/>
                <w:color w:val="000000"/>
              </w:rPr>
              <w:t>0.39</w:t>
            </w:r>
          </w:p>
        </w:tc>
        <w:tc>
          <w:tcPr>
            <w:tcW w:w="1110" w:type="dxa"/>
            <w:gridSpan w:val="2"/>
            <w:tcBorders>
              <w:bottom w:val="single" w:sz="4" w:space="0" w:color="auto"/>
              <w:right w:val="single" w:sz="4" w:space="0" w:color="auto"/>
            </w:tcBorders>
            <w:vAlign w:val="bottom"/>
          </w:tcPr>
          <w:p w:rsidR="009576C8" w:rsidRDefault="009576C8">
            <w:pPr>
              <w:jc w:val="right"/>
              <w:rPr>
                <w:rFonts w:ascii="Calibri" w:hAnsi="Calibri"/>
                <w:color w:val="000000"/>
              </w:rPr>
            </w:pPr>
            <w:r>
              <w:rPr>
                <w:rFonts w:ascii="Calibri" w:hAnsi="Calibri"/>
                <w:color w:val="000000"/>
              </w:rPr>
              <w:t>2.33</w:t>
            </w:r>
          </w:p>
        </w:tc>
        <w:tc>
          <w:tcPr>
            <w:tcW w:w="842" w:type="dxa"/>
            <w:gridSpan w:val="2"/>
            <w:tcBorders>
              <w:bottom w:val="single" w:sz="4" w:space="0" w:color="auto"/>
              <w:right w:val="single" w:sz="4" w:space="0" w:color="auto"/>
            </w:tcBorders>
            <w:vAlign w:val="bottom"/>
          </w:tcPr>
          <w:p w:rsidR="009576C8" w:rsidRDefault="009576C8">
            <w:pPr>
              <w:jc w:val="right"/>
              <w:rPr>
                <w:rFonts w:ascii="Calibri" w:hAnsi="Calibri"/>
                <w:color w:val="000000"/>
              </w:rPr>
            </w:pPr>
            <w:r>
              <w:rPr>
                <w:rFonts w:ascii="Calibri" w:hAnsi="Calibri"/>
                <w:color w:val="000000"/>
              </w:rPr>
              <w:t>-0.45</w:t>
            </w:r>
          </w:p>
        </w:tc>
        <w:tc>
          <w:tcPr>
            <w:tcW w:w="1046" w:type="dxa"/>
            <w:gridSpan w:val="2"/>
            <w:tcBorders>
              <w:bottom w:val="single" w:sz="4" w:space="0" w:color="auto"/>
              <w:right w:val="single" w:sz="4" w:space="0" w:color="auto"/>
            </w:tcBorders>
            <w:vAlign w:val="bottom"/>
          </w:tcPr>
          <w:p w:rsidR="009576C8" w:rsidRDefault="009576C8">
            <w:pPr>
              <w:jc w:val="right"/>
              <w:rPr>
                <w:rFonts w:ascii="Calibri" w:hAnsi="Calibri"/>
                <w:color w:val="000000"/>
              </w:rPr>
            </w:pPr>
            <w:r>
              <w:rPr>
                <w:rFonts w:ascii="Calibri" w:hAnsi="Calibri"/>
                <w:color w:val="000000"/>
              </w:rPr>
              <w:t>-0.09</w:t>
            </w:r>
          </w:p>
        </w:tc>
      </w:tr>
      <w:tr w:rsidR="009576C8" w:rsidRPr="00E666DF" w:rsidTr="002138A9">
        <w:trPr>
          <w:trHeight w:hRule="exact" w:val="318"/>
        </w:trPr>
        <w:tc>
          <w:tcPr>
            <w:tcW w:w="1325" w:type="dxa"/>
            <w:gridSpan w:val="2"/>
            <w:tcBorders>
              <w:bottom w:val="single" w:sz="4" w:space="0" w:color="auto"/>
            </w:tcBorders>
            <w:shd w:val="clear" w:color="auto" w:fill="auto"/>
            <w:noWrap/>
            <w:vAlign w:val="bottom"/>
            <w:hideMark/>
          </w:tcPr>
          <w:p w:rsidR="009576C8" w:rsidRPr="00E666DF" w:rsidRDefault="009576C8" w:rsidP="00E912ED">
            <w:pPr>
              <w:spacing w:after="0"/>
              <w:jc w:val="lef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 xml:space="preserve">Average </w:t>
            </w:r>
            <w:r>
              <w:rPr>
                <w:rStyle w:val="FootnoteReference"/>
                <w:rFonts w:ascii="Calibri" w:eastAsia="Times New Roman" w:hAnsi="Calibri" w:cs="Times New Roman"/>
                <w:b/>
                <w:bCs/>
                <w:color w:val="000000"/>
                <w:lang w:eastAsia="en-GB"/>
              </w:rPr>
              <w:footnoteReference w:id="10"/>
            </w:r>
          </w:p>
        </w:tc>
        <w:tc>
          <w:tcPr>
            <w:tcW w:w="1151" w:type="dxa"/>
            <w:gridSpan w:val="2"/>
            <w:tcBorders>
              <w:bottom w:val="single" w:sz="4" w:space="0" w:color="auto"/>
            </w:tcBorders>
            <w:shd w:val="clear" w:color="auto" w:fill="auto"/>
            <w:noWrap/>
            <w:vAlign w:val="bottom"/>
          </w:tcPr>
          <w:p w:rsidR="009576C8" w:rsidRDefault="009576C8">
            <w:pPr>
              <w:jc w:val="right"/>
              <w:rPr>
                <w:rFonts w:ascii="Calibri" w:hAnsi="Calibri"/>
                <w:b/>
                <w:bCs/>
                <w:color w:val="000000"/>
              </w:rPr>
            </w:pPr>
            <w:r>
              <w:rPr>
                <w:rFonts w:ascii="Calibri" w:hAnsi="Calibri"/>
                <w:b/>
                <w:bCs/>
                <w:color w:val="000000"/>
              </w:rPr>
              <w:t>13.99</w:t>
            </w:r>
          </w:p>
        </w:tc>
        <w:tc>
          <w:tcPr>
            <w:tcW w:w="986" w:type="dxa"/>
            <w:gridSpan w:val="2"/>
            <w:tcBorders>
              <w:bottom w:val="single" w:sz="4" w:space="0" w:color="auto"/>
              <w:right w:val="single" w:sz="4" w:space="0" w:color="auto"/>
            </w:tcBorders>
            <w:vAlign w:val="bottom"/>
          </w:tcPr>
          <w:p w:rsidR="009576C8" w:rsidRDefault="009576C8">
            <w:pPr>
              <w:jc w:val="right"/>
              <w:rPr>
                <w:rFonts w:ascii="Calibri" w:hAnsi="Calibri"/>
                <w:b/>
                <w:bCs/>
                <w:color w:val="000000"/>
              </w:rPr>
            </w:pPr>
            <w:r>
              <w:rPr>
                <w:rFonts w:ascii="Calibri" w:hAnsi="Calibri"/>
                <w:b/>
                <w:bCs/>
                <w:color w:val="000000"/>
              </w:rPr>
              <w:t>4.37</w:t>
            </w:r>
          </w:p>
        </w:tc>
        <w:tc>
          <w:tcPr>
            <w:tcW w:w="1094" w:type="dxa"/>
            <w:gridSpan w:val="2"/>
            <w:tcBorders>
              <w:bottom w:val="single" w:sz="4" w:space="0" w:color="auto"/>
              <w:right w:val="single" w:sz="4" w:space="0" w:color="auto"/>
            </w:tcBorders>
            <w:vAlign w:val="bottom"/>
          </w:tcPr>
          <w:p w:rsidR="009576C8" w:rsidRDefault="009576C8">
            <w:pPr>
              <w:jc w:val="right"/>
              <w:rPr>
                <w:rFonts w:ascii="Calibri" w:hAnsi="Calibri"/>
                <w:b/>
                <w:bCs/>
                <w:color w:val="000000"/>
              </w:rPr>
            </w:pPr>
            <w:r>
              <w:rPr>
                <w:rFonts w:ascii="Calibri" w:hAnsi="Calibri"/>
                <w:b/>
                <w:bCs/>
                <w:color w:val="000000"/>
              </w:rPr>
              <w:t>-0.47</w:t>
            </w:r>
          </w:p>
        </w:tc>
        <w:tc>
          <w:tcPr>
            <w:tcW w:w="1110" w:type="dxa"/>
            <w:gridSpan w:val="2"/>
            <w:tcBorders>
              <w:bottom w:val="single" w:sz="4" w:space="0" w:color="auto"/>
              <w:right w:val="single" w:sz="4" w:space="0" w:color="auto"/>
            </w:tcBorders>
            <w:vAlign w:val="bottom"/>
          </w:tcPr>
          <w:p w:rsidR="009576C8" w:rsidRDefault="009576C8">
            <w:pPr>
              <w:jc w:val="right"/>
              <w:rPr>
                <w:rFonts w:ascii="Calibri" w:hAnsi="Calibri"/>
                <w:b/>
                <w:bCs/>
                <w:color w:val="000000"/>
              </w:rPr>
            </w:pPr>
            <w:r>
              <w:rPr>
                <w:rFonts w:ascii="Calibri" w:hAnsi="Calibri"/>
                <w:b/>
                <w:bCs/>
                <w:color w:val="000000"/>
              </w:rPr>
              <w:t>2.12</w:t>
            </w:r>
          </w:p>
        </w:tc>
        <w:tc>
          <w:tcPr>
            <w:tcW w:w="842" w:type="dxa"/>
            <w:gridSpan w:val="2"/>
            <w:tcBorders>
              <w:bottom w:val="single" w:sz="4" w:space="0" w:color="auto"/>
              <w:right w:val="single" w:sz="4" w:space="0" w:color="auto"/>
            </w:tcBorders>
            <w:vAlign w:val="bottom"/>
          </w:tcPr>
          <w:p w:rsidR="009576C8" w:rsidRDefault="009576C8">
            <w:pPr>
              <w:jc w:val="right"/>
              <w:rPr>
                <w:rFonts w:ascii="Calibri" w:hAnsi="Calibri"/>
                <w:b/>
                <w:bCs/>
                <w:color w:val="000000"/>
              </w:rPr>
            </w:pPr>
            <w:r>
              <w:rPr>
                <w:rFonts w:ascii="Calibri" w:hAnsi="Calibri"/>
                <w:b/>
                <w:bCs/>
                <w:color w:val="000000"/>
              </w:rPr>
              <w:t>-0.15</w:t>
            </w:r>
          </w:p>
        </w:tc>
        <w:tc>
          <w:tcPr>
            <w:tcW w:w="1046" w:type="dxa"/>
            <w:gridSpan w:val="2"/>
            <w:tcBorders>
              <w:bottom w:val="single" w:sz="4" w:space="0" w:color="auto"/>
              <w:right w:val="single" w:sz="4" w:space="0" w:color="auto"/>
            </w:tcBorders>
            <w:vAlign w:val="bottom"/>
          </w:tcPr>
          <w:p w:rsidR="009576C8" w:rsidRDefault="009576C8">
            <w:pPr>
              <w:jc w:val="right"/>
              <w:rPr>
                <w:rFonts w:ascii="Calibri" w:hAnsi="Calibri"/>
                <w:b/>
                <w:bCs/>
                <w:color w:val="000000"/>
              </w:rPr>
            </w:pPr>
            <w:r>
              <w:rPr>
                <w:rFonts w:ascii="Calibri" w:hAnsi="Calibri"/>
                <w:b/>
                <w:bCs/>
                <w:color w:val="000000"/>
              </w:rPr>
              <w:t>-0.02</w:t>
            </w:r>
          </w:p>
        </w:tc>
      </w:tr>
      <w:tr w:rsidR="008A44E6" w:rsidRPr="00E666DF" w:rsidTr="002138A9">
        <w:trPr>
          <w:trHeight w:hRule="exact" w:val="318"/>
        </w:trPr>
        <w:tc>
          <w:tcPr>
            <w:tcW w:w="1325" w:type="dxa"/>
            <w:gridSpan w:val="2"/>
            <w:tcBorders>
              <w:top w:val="single" w:sz="4" w:space="0" w:color="auto"/>
              <w:left w:val="nil"/>
              <w:bottom w:val="nil"/>
              <w:right w:val="nil"/>
            </w:tcBorders>
            <w:shd w:val="clear" w:color="auto" w:fill="auto"/>
            <w:noWrap/>
            <w:vAlign w:val="bottom"/>
          </w:tcPr>
          <w:p w:rsidR="008A44E6" w:rsidRPr="00E666DF" w:rsidRDefault="008A44E6" w:rsidP="00E912ED">
            <w:pPr>
              <w:spacing w:after="0"/>
              <w:jc w:val="left"/>
              <w:rPr>
                <w:rFonts w:ascii="Calibri" w:eastAsia="Times New Roman" w:hAnsi="Calibri" w:cs="Times New Roman"/>
                <w:b/>
                <w:bCs/>
                <w:color w:val="000000"/>
                <w:lang w:eastAsia="en-GB"/>
              </w:rPr>
            </w:pPr>
          </w:p>
        </w:tc>
        <w:tc>
          <w:tcPr>
            <w:tcW w:w="1151" w:type="dxa"/>
            <w:gridSpan w:val="2"/>
            <w:tcBorders>
              <w:top w:val="single" w:sz="4" w:space="0" w:color="auto"/>
              <w:left w:val="nil"/>
              <w:bottom w:val="nil"/>
              <w:right w:val="nil"/>
            </w:tcBorders>
            <w:shd w:val="clear" w:color="auto" w:fill="auto"/>
            <w:noWrap/>
            <w:vAlign w:val="bottom"/>
          </w:tcPr>
          <w:p w:rsidR="008A44E6" w:rsidRDefault="008A44E6">
            <w:pPr>
              <w:jc w:val="right"/>
              <w:rPr>
                <w:rFonts w:ascii="Calibri" w:hAnsi="Calibri"/>
                <w:b/>
                <w:bCs/>
                <w:color w:val="000000"/>
              </w:rPr>
            </w:pPr>
          </w:p>
        </w:tc>
        <w:tc>
          <w:tcPr>
            <w:tcW w:w="986" w:type="dxa"/>
            <w:gridSpan w:val="2"/>
            <w:tcBorders>
              <w:top w:val="single" w:sz="4" w:space="0" w:color="auto"/>
              <w:left w:val="nil"/>
              <w:bottom w:val="nil"/>
              <w:right w:val="nil"/>
            </w:tcBorders>
            <w:vAlign w:val="bottom"/>
          </w:tcPr>
          <w:p w:rsidR="008A44E6" w:rsidRDefault="008A44E6">
            <w:pPr>
              <w:jc w:val="right"/>
              <w:rPr>
                <w:rFonts w:ascii="Calibri" w:hAnsi="Calibri"/>
                <w:b/>
                <w:bCs/>
                <w:color w:val="000000"/>
              </w:rPr>
            </w:pPr>
          </w:p>
        </w:tc>
        <w:tc>
          <w:tcPr>
            <w:tcW w:w="1094" w:type="dxa"/>
            <w:gridSpan w:val="2"/>
            <w:tcBorders>
              <w:top w:val="single" w:sz="4" w:space="0" w:color="auto"/>
              <w:left w:val="nil"/>
              <w:bottom w:val="nil"/>
              <w:right w:val="nil"/>
            </w:tcBorders>
            <w:vAlign w:val="bottom"/>
          </w:tcPr>
          <w:p w:rsidR="008A44E6" w:rsidRDefault="008A44E6">
            <w:pPr>
              <w:jc w:val="right"/>
              <w:rPr>
                <w:rFonts w:ascii="Calibri" w:hAnsi="Calibri"/>
                <w:b/>
                <w:bCs/>
                <w:color w:val="000000"/>
              </w:rPr>
            </w:pPr>
          </w:p>
        </w:tc>
        <w:tc>
          <w:tcPr>
            <w:tcW w:w="1110" w:type="dxa"/>
            <w:gridSpan w:val="2"/>
            <w:tcBorders>
              <w:top w:val="single" w:sz="4" w:space="0" w:color="auto"/>
              <w:left w:val="nil"/>
              <w:bottom w:val="nil"/>
              <w:right w:val="nil"/>
            </w:tcBorders>
            <w:vAlign w:val="bottom"/>
          </w:tcPr>
          <w:p w:rsidR="008A44E6" w:rsidRDefault="008A44E6">
            <w:pPr>
              <w:jc w:val="right"/>
              <w:rPr>
                <w:rFonts w:ascii="Calibri" w:hAnsi="Calibri"/>
                <w:b/>
                <w:bCs/>
                <w:color w:val="000000"/>
              </w:rPr>
            </w:pPr>
          </w:p>
        </w:tc>
        <w:tc>
          <w:tcPr>
            <w:tcW w:w="842" w:type="dxa"/>
            <w:gridSpan w:val="2"/>
            <w:tcBorders>
              <w:top w:val="single" w:sz="4" w:space="0" w:color="auto"/>
              <w:left w:val="nil"/>
              <w:bottom w:val="nil"/>
              <w:right w:val="nil"/>
            </w:tcBorders>
            <w:vAlign w:val="bottom"/>
          </w:tcPr>
          <w:p w:rsidR="008A44E6" w:rsidRDefault="008A44E6">
            <w:pPr>
              <w:jc w:val="right"/>
              <w:rPr>
                <w:rFonts w:ascii="Calibri" w:hAnsi="Calibri"/>
                <w:b/>
                <w:bCs/>
                <w:color w:val="000000"/>
              </w:rPr>
            </w:pPr>
          </w:p>
        </w:tc>
        <w:tc>
          <w:tcPr>
            <w:tcW w:w="1046" w:type="dxa"/>
            <w:gridSpan w:val="2"/>
            <w:tcBorders>
              <w:top w:val="single" w:sz="4" w:space="0" w:color="auto"/>
              <w:left w:val="nil"/>
              <w:bottom w:val="nil"/>
              <w:right w:val="nil"/>
            </w:tcBorders>
            <w:vAlign w:val="bottom"/>
          </w:tcPr>
          <w:p w:rsidR="008A44E6" w:rsidRDefault="008A44E6">
            <w:pPr>
              <w:jc w:val="right"/>
              <w:rPr>
                <w:rFonts w:ascii="Calibri" w:hAnsi="Calibri"/>
                <w:b/>
                <w:bCs/>
                <w:color w:val="000000"/>
              </w:rPr>
            </w:pPr>
          </w:p>
        </w:tc>
      </w:tr>
      <w:tr w:rsidR="00AD669B" w:rsidRPr="00E666DF" w:rsidTr="002138A9">
        <w:trPr>
          <w:gridAfter w:val="1"/>
          <w:wAfter w:w="56" w:type="dxa"/>
          <w:trHeight w:hRule="exact" w:val="333"/>
        </w:trPr>
        <w:tc>
          <w:tcPr>
            <w:tcW w:w="1316" w:type="dxa"/>
            <w:shd w:val="clear" w:color="auto" w:fill="C4BC96" w:themeFill="background2" w:themeFillShade="BF"/>
            <w:noWrap/>
            <w:vAlign w:val="bottom"/>
          </w:tcPr>
          <w:p w:rsidR="00AD669B" w:rsidRDefault="00AD669B" w:rsidP="00282AC0">
            <w:pPr>
              <w:spacing w:after="0"/>
              <w:jc w:val="left"/>
              <w:rPr>
                <w:rFonts w:ascii="Calibri" w:eastAsia="Times New Roman" w:hAnsi="Calibri" w:cs="Times New Roman"/>
                <w:b/>
                <w:bCs/>
                <w:color w:val="000000"/>
                <w:lang w:eastAsia="en-GB"/>
              </w:rPr>
            </w:pPr>
          </w:p>
        </w:tc>
        <w:tc>
          <w:tcPr>
            <w:tcW w:w="3207" w:type="dxa"/>
            <w:gridSpan w:val="6"/>
            <w:tcBorders>
              <w:right w:val="single" w:sz="4" w:space="0" w:color="auto"/>
            </w:tcBorders>
            <w:shd w:val="clear" w:color="auto" w:fill="C4BC96" w:themeFill="background2" w:themeFillShade="BF"/>
            <w:noWrap/>
            <w:vAlign w:val="bottom"/>
          </w:tcPr>
          <w:p w:rsidR="00AD669B" w:rsidRDefault="00FC5AA5" w:rsidP="00282AC0">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2975" w:type="dxa"/>
            <w:gridSpan w:val="6"/>
            <w:tcBorders>
              <w:right w:val="single" w:sz="4" w:space="0" w:color="auto"/>
            </w:tcBorders>
            <w:shd w:val="clear" w:color="auto" w:fill="C4BC96" w:themeFill="background2" w:themeFillShade="BF"/>
          </w:tcPr>
          <w:p w:rsidR="00AD669B" w:rsidRDefault="00FC5AA5" w:rsidP="00282AC0">
            <w:pPr>
              <w:spacing w:after="0"/>
              <w:jc w:val="left"/>
              <w:rPr>
                <w:rFonts w:eastAsia="Calibri" w:cs="Times New Roman"/>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r>
      <w:tr w:rsidR="00AD669B" w:rsidRPr="00E666DF" w:rsidTr="002138A9">
        <w:trPr>
          <w:gridAfter w:val="1"/>
          <w:wAfter w:w="56" w:type="dxa"/>
          <w:trHeight w:hRule="exact" w:val="333"/>
        </w:trPr>
        <w:tc>
          <w:tcPr>
            <w:tcW w:w="1316" w:type="dxa"/>
            <w:shd w:val="clear" w:color="auto" w:fill="C4BC96" w:themeFill="background2" w:themeFillShade="BF"/>
            <w:noWrap/>
            <w:vAlign w:val="bottom"/>
            <w:hideMark/>
          </w:tcPr>
          <w:p w:rsidR="00AD669B" w:rsidRPr="00E666DF" w:rsidRDefault="00AD669B"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2</w:t>
            </w:r>
          </w:p>
        </w:tc>
        <w:tc>
          <w:tcPr>
            <w:tcW w:w="1143" w:type="dxa"/>
            <w:gridSpan w:val="2"/>
            <w:shd w:val="clear" w:color="auto" w:fill="C4BC96" w:themeFill="background2" w:themeFillShade="BF"/>
            <w:noWrap/>
            <w:vAlign w:val="bottom"/>
          </w:tcPr>
          <w:p w:rsidR="00AD669B" w:rsidRPr="00E666DF" w:rsidRDefault="00AD669B"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Energy</w:t>
            </w:r>
          </w:p>
        </w:tc>
        <w:tc>
          <w:tcPr>
            <w:tcW w:w="979" w:type="dxa"/>
            <w:gridSpan w:val="2"/>
            <w:tcBorders>
              <w:right w:val="single" w:sz="4" w:space="0" w:color="auto"/>
            </w:tcBorders>
            <w:shd w:val="clear" w:color="auto" w:fill="C4BC96" w:themeFill="background2" w:themeFillShade="BF"/>
            <w:vAlign w:val="bottom"/>
          </w:tcPr>
          <w:p w:rsidR="00AD669B" w:rsidRPr="00E666DF" w:rsidRDefault="00AD669B"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Fuel</w:t>
            </w:r>
          </w:p>
        </w:tc>
        <w:tc>
          <w:tcPr>
            <w:tcW w:w="1085" w:type="dxa"/>
            <w:gridSpan w:val="2"/>
            <w:tcBorders>
              <w:right w:val="single" w:sz="4" w:space="0" w:color="auto"/>
            </w:tcBorders>
            <w:shd w:val="clear" w:color="auto" w:fill="C4BC96" w:themeFill="background2" w:themeFillShade="BF"/>
          </w:tcPr>
          <w:p w:rsidR="00AD669B" w:rsidRPr="00E666DF" w:rsidRDefault="00AD669B"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Electric</w:t>
            </w:r>
          </w:p>
        </w:tc>
        <w:tc>
          <w:tcPr>
            <w:tcW w:w="1102" w:type="dxa"/>
            <w:gridSpan w:val="2"/>
            <w:tcBorders>
              <w:right w:val="single" w:sz="4" w:space="0" w:color="auto"/>
            </w:tcBorders>
            <w:shd w:val="clear" w:color="auto" w:fill="C4BC96" w:themeFill="background2" w:themeFillShade="BF"/>
            <w:vAlign w:val="bottom"/>
          </w:tcPr>
          <w:p w:rsidR="00AD669B" w:rsidRPr="00E666DF" w:rsidRDefault="00AD669B"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Energy</w:t>
            </w:r>
          </w:p>
        </w:tc>
        <w:tc>
          <w:tcPr>
            <w:tcW w:w="836" w:type="dxa"/>
            <w:gridSpan w:val="2"/>
            <w:tcBorders>
              <w:right w:val="single" w:sz="4" w:space="0" w:color="auto"/>
            </w:tcBorders>
            <w:shd w:val="clear" w:color="auto" w:fill="C4BC96" w:themeFill="background2" w:themeFillShade="BF"/>
            <w:vAlign w:val="bottom"/>
          </w:tcPr>
          <w:p w:rsidR="00AD669B" w:rsidRPr="00E666DF" w:rsidRDefault="00AD669B"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Fuel</w:t>
            </w:r>
          </w:p>
        </w:tc>
        <w:tc>
          <w:tcPr>
            <w:tcW w:w="1037" w:type="dxa"/>
            <w:gridSpan w:val="2"/>
            <w:tcBorders>
              <w:right w:val="single" w:sz="4" w:space="0" w:color="auto"/>
            </w:tcBorders>
            <w:shd w:val="clear" w:color="auto" w:fill="C4BC96" w:themeFill="background2" w:themeFillShade="BF"/>
          </w:tcPr>
          <w:p w:rsidR="00AD669B" w:rsidRPr="00E666DF" w:rsidRDefault="00AD669B" w:rsidP="00282AC0">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Electric</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BG</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67.51</w:t>
            </w:r>
          </w:p>
        </w:tc>
        <w:tc>
          <w:tcPr>
            <w:tcW w:w="979"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6.32</w:t>
            </w: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-2.21</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1.83</w:t>
            </w:r>
          </w:p>
        </w:tc>
        <w:tc>
          <w:tcPr>
            <w:tcW w:w="836"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-0.08</w:t>
            </w: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-0.07</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CZ</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57.33</w:t>
            </w:r>
          </w:p>
        </w:tc>
        <w:tc>
          <w:tcPr>
            <w:tcW w:w="979" w:type="dxa"/>
            <w:gridSpan w:val="2"/>
            <w:tcBorders>
              <w:right w:val="single" w:sz="4" w:space="0" w:color="auto"/>
            </w:tcBorders>
            <w:vAlign w:val="bottom"/>
          </w:tcPr>
          <w:p w:rsidR="00AD669B" w:rsidRDefault="00AD669B">
            <w:pPr>
              <w:rPr>
                <w:rFonts w:ascii="Calibri" w:hAnsi="Calibri"/>
                <w:color w:val="000000"/>
              </w:rPr>
            </w:pP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18.54</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2.85</w:t>
            </w:r>
          </w:p>
        </w:tc>
        <w:tc>
          <w:tcPr>
            <w:tcW w:w="836" w:type="dxa"/>
            <w:gridSpan w:val="2"/>
            <w:tcBorders>
              <w:right w:val="single" w:sz="4" w:space="0" w:color="auto"/>
            </w:tcBorders>
            <w:vAlign w:val="bottom"/>
          </w:tcPr>
          <w:p w:rsidR="00AD669B" w:rsidRDefault="00AD669B">
            <w:pPr>
              <w:rPr>
                <w:rFonts w:ascii="Calibri" w:hAnsi="Calibri"/>
                <w:color w:val="000000"/>
              </w:rPr>
            </w:pP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0.31</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EE</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47.66</w:t>
            </w:r>
          </w:p>
        </w:tc>
        <w:tc>
          <w:tcPr>
            <w:tcW w:w="979"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6.20</w:t>
            </w: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-15.76</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2.29</w:t>
            </w:r>
          </w:p>
        </w:tc>
        <w:tc>
          <w:tcPr>
            <w:tcW w:w="836"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-0.19</w:t>
            </w: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-0.31</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HU</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46.93</w:t>
            </w:r>
          </w:p>
        </w:tc>
        <w:tc>
          <w:tcPr>
            <w:tcW w:w="979"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5.89</w:t>
            </w: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-2.08</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2.48</w:t>
            </w:r>
          </w:p>
        </w:tc>
        <w:tc>
          <w:tcPr>
            <w:tcW w:w="836"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-0.13</w:t>
            </w: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-0.11</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LV</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84.80</w:t>
            </w:r>
          </w:p>
        </w:tc>
        <w:tc>
          <w:tcPr>
            <w:tcW w:w="979" w:type="dxa"/>
            <w:gridSpan w:val="2"/>
            <w:tcBorders>
              <w:right w:val="single" w:sz="4" w:space="0" w:color="auto"/>
            </w:tcBorders>
            <w:vAlign w:val="bottom"/>
          </w:tcPr>
          <w:p w:rsidR="00AD669B" w:rsidRDefault="00AD669B">
            <w:pPr>
              <w:rPr>
                <w:rFonts w:ascii="Calibri" w:hAnsi="Calibri"/>
                <w:color w:val="000000"/>
              </w:rPr>
            </w:pP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-3.95</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2.24</w:t>
            </w:r>
          </w:p>
        </w:tc>
        <w:tc>
          <w:tcPr>
            <w:tcW w:w="836" w:type="dxa"/>
            <w:gridSpan w:val="2"/>
            <w:tcBorders>
              <w:right w:val="single" w:sz="4" w:space="0" w:color="auto"/>
            </w:tcBorders>
            <w:vAlign w:val="bottom"/>
          </w:tcPr>
          <w:p w:rsidR="00AD669B" w:rsidRDefault="00AD669B">
            <w:pPr>
              <w:rPr>
                <w:rFonts w:ascii="Calibri" w:hAnsi="Calibri"/>
                <w:color w:val="000000"/>
              </w:rPr>
            </w:pP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-0.02</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PL</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6.20</w:t>
            </w:r>
          </w:p>
        </w:tc>
        <w:tc>
          <w:tcPr>
            <w:tcW w:w="979"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-8.76</w:t>
            </w: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0.07</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1.30</w:t>
            </w:r>
          </w:p>
        </w:tc>
        <w:tc>
          <w:tcPr>
            <w:tcW w:w="836"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-0.42</w:t>
            </w: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-0.10</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RO</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31.72</w:t>
            </w:r>
          </w:p>
        </w:tc>
        <w:tc>
          <w:tcPr>
            <w:tcW w:w="979"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2.24</w:t>
            </w: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2.91</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1.84</w:t>
            </w:r>
          </w:p>
        </w:tc>
        <w:tc>
          <w:tcPr>
            <w:tcW w:w="836"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-0.22</w:t>
            </w: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-0.09</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Default="00AD669B">
            <w:pPr>
              <w:ind w:firstLineChars="100" w:firstLine="220"/>
              <w:rPr>
                <w:rFonts w:ascii="Calibri" w:hAnsi="Calibri"/>
                <w:color w:val="000000"/>
              </w:rPr>
            </w:pPr>
            <w:r>
              <w:rPr>
                <w:rFonts w:ascii="Calibri" w:hAnsi="Calibri"/>
                <w:color w:val="000000"/>
              </w:rPr>
              <w:t>SK</w:t>
            </w:r>
          </w:p>
        </w:tc>
        <w:tc>
          <w:tcPr>
            <w:tcW w:w="1143" w:type="dxa"/>
            <w:gridSpan w:val="2"/>
            <w:shd w:val="clear" w:color="auto" w:fill="auto"/>
            <w:noWrap/>
            <w:vAlign w:val="bottom"/>
          </w:tcPr>
          <w:p w:rsidR="00AD669B" w:rsidRDefault="00AD669B">
            <w:pPr>
              <w:jc w:val="right"/>
              <w:rPr>
                <w:rFonts w:ascii="Calibri" w:hAnsi="Calibri"/>
                <w:color w:val="000000"/>
              </w:rPr>
            </w:pPr>
            <w:r>
              <w:rPr>
                <w:rFonts w:ascii="Calibri" w:hAnsi="Calibri"/>
                <w:color w:val="000000"/>
              </w:rPr>
              <w:t>47.38</w:t>
            </w:r>
          </w:p>
        </w:tc>
        <w:tc>
          <w:tcPr>
            <w:tcW w:w="979"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7.51</w:t>
            </w:r>
          </w:p>
        </w:tc>
        <w:tc>
          <w:tcPr>
            <w:tcW w:w="1085"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-3.23</w:t>
            </w:r>
          </w:p>
        </w:tc>
        <w:tc>
          <w:tcPr>
            <w:tcW w:w="1102"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0.62</w:t>
            </w:r>
          </w:p>
        </w:tc>
        <w:tc>
          <w:tcPr>
            <w:tcW w:w="836"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-0.02</w:t>
            </w:r>
          </w:p>
        </w:tc>
        <w:tc>
          <w:tcPr>
            <w:tcW w:w="1037" w:type="dxa"/>
            <w:gridSpan w:val="2"/>
            <w:tcBorders>
              <w:right w:val="single" w:sz="4" w:space="0" w:color="auto"/>
            </w:tcBorders>
            <w:vAlign w:val="bottom"/>
          </w:tcPr>
          <w:p w:rsidR="00AD669B" w:rsidRDefault="00AD669B">
            <w:pPr>
              <w:jc w:val="right"/>
              <w:rPr>
                <w:rFonts w:ascii="Calibri" w:hAnsi="Calibri"/>
                <w:color w:val="000000"/>
              </w:rPr>
            </w:pPr>
            <w:r>
              <w:rPr>
                <w:rFonts w:ascii="Calibri" w:hAnsi="Calibri"/>
                <w:color w:val="000000"/>
              </w:rPr>
              <w:t>-0.10</w:t>
            </w:r>
          </w:p>
        </w:tc>
      </w:tr>
      <w:tr w:rsidR="00AD669B" w:rsidRPr="00E666DF" w:rsidTr="002138A9">
        <w:trPr>
          <w:gridAfter w:val="1"/>
          <w:wAfter w:w="56" w:type="dxa"/>
          <w:trHeight w:hRule="exact" w:val="333"/>
        </w:trPr>
        <w:tc>
          <w:tcPr>
            <w:tcW w:w="1316" w:type="dxa"/>
            <w:shd w:val="clear" w:color="auto" w:fill="auto"/>
            <w:noWrap/>
            <w:vAlign w:val="bottom"/>
            <w:hideMark/>
          </w:tcPr>
          <w:p w:rsidR="00AD669B" w:rsidRPr="00E666DF" w:rsidRDefault="00AD669B" w:rsidP="00282AC0">
            <w:pPr>
              <w:spacing w:after="0"/>
              <w:jc w:val="lef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 xml:space="preserve">Average </w:t>
            </w:r>
            <w:r>
              <w:rPr>
                <w:rStyle w:val="FootnoteReference"/>
                <w:rFonts w:ascii="Calibri" w:eastAsia="Times New Roman" w:hAnsi="Calibri" w:cs="Times New Roman"/>
                <w:b/>
                <w:bCs/>
                <w:color w:val="000000"/>
                <w:lang w:eastAsia="en-GB"/>
              </w:rPr>
              <w:footnoteReference w:id="11"/>
            </w:r>
          </w:p>
        </w:tc>
        <w:tc>
          <w:tcPr>
            <w:tcW w:w="1143" w:type="dxa"/>
            <w:gridSpan w:val="2"/>
            <w:shd w:val="clear" w:color="auto" w:fill="auto"/>
            <w:noWrap/>
            <w:vAlign w:val="bottom"/>
          </w:tcPr>
          <w:p w:rsidR="00AD669B" w:rsidRPr="00AD669B" w:rsidRDefault="00AD669B">
            <w:pPr>
              <w:jc w:val="right"/>
              <w:rPr>
                <w:rFonts w:ascii="Calibri" w:hAnsi="Calibri"/>
                <w:b/>
                <w:color w:val="000000"/>
              </w:rPr>
            </w:pPr>
            <w:r w:rsidRPr="00AD669B">
              <w:rPr>
                <w:rFonts w:ascii="Calibri" w:hAnsi="Calibri"/>
                <w:b/>
                <w:color w:val="000000"/>
              </w:rPr>
              <w:t>48.69</w:t>
            </w:r>
          </w:p>
        </w:tc>
        <w:tc>
          <w:tcPr>
            <w:tcW w:w="979" w:type="dxa"/>
            <w:gridSpan w:val="2"/>
            <w:tcBorders>
              <w:right w:val="single" w:sz="4" w:space="0" w:color="auto"/>
            </w:tcBorders>
            <w:vAlign w:val="bottom"/>
          </w:tcPr>
          <w:p w:rsidR="00AD669B" w:rsidRPr="00AD669B" w:rsidRDefault="00AD669B">
            <w:pPr>
              <w:jc w:val="right"/>
              <w:rPr>
                <w:rFonts w:ascii="Calibri" w:hAnsi="Calibri"/>
                <w:b/>
                <w:color w:val="000000"/>
              </w:rPr>
            </w:pPr>
            <w:r w:rsidRPr="00AD669B">
              <w:rPr>
                <w:rFonts w:ascii="Calibri" w:hAnsi="Calibri"/>
                <w:b/>
                <w:color w:val="000000"/>
              </w:rPr>
              <w:t>3.23</w:t>
            </w:r>
          </w:p>
        </w:tc>
        <w:tc>
          <w:tcPr>
            <w:tcW w:w="1085" w:type="dxa"/>
            <w:gridSpan w:val="2"/>
            <w:tcBorders>
              <w:right w:val="single" w:sz="4" w:space="0" w:color="auto"/>
            </w:tcBorders>
            <w:vAlign w:val="bottom"/>
          </w:tcPr>
          <w:p w:rsidR="00AD669B" w:rsidRPr="00AD669B" w:rsidRDefault="00AD669B">
            <w:pPr>
              <w:jc w:val="right"/>
              <w:rPr>
                <w:rFonts w:ascii="Calibri" w:hAnsi="Calibri"/>
                <w:b/>
                <w:color w:val="000000"/>
              </w:rPr>
            </w:pPr>
            <w:r w:rsidRPr="00AD669B">
              <w:rPr>
                <w:rFonts w:ascii="Calibri" w:hAnsi="Calibri"/>
                <w:b/>
                <w:color w:val="000000"/>
              </w:rPr>
              <w:t>-0.71</w:t>
            </w:r>
          </w:p>
        </w:tc>
        <w:tc>
          <w:tcPr>
            <w:tcW w:w="1102" w:type="dxa"/>
            <w:gridSpan w:val="2"/>
            <w:tcBorders>
              <w:right w:val="single" w:sz="4" w:space="0" w:color="auto"/>
            </w:tcBorders>
            <w:vAlign w:val="bottom"/>
          </w:tcPr>
          <w:p w:rsidR="00AD669B" w:rsidRDefault="00AD669B">
            <w:pPr>
              <w:jc w:val="right"/>
              <w:rPr>
                <w:rFonts w:ascii="Calibri" w:hAnsi="Calibri"/>
                <w:b/>
                <w:bCs/>
                <w:color w:val="000000"/>
              </w:rPr>
            </w:pPr>
            <w:r>
              <w:rPr>
                <w:rFonts w:ascii="Calibri" w:hAnsi="Calibri"/>
                <w:b/>
                <w:bCs/>
                <w:color w:val="000000"/>
              </w:rPr>
              <w:t>1.93</w:t>
            </w:r>
          </w:p>
        </w:tc>
        <w:tc>
          <w:tcPr>
            <w:tcW w:w="836" w:type="dxa"/>
            <w:gridSpan w:val="2"/>
            <w:tcBorders>
              <w:right w:val="single" w:sz="4" w:space="0" w:color="auto"/>
            </w:tcBorders>
            <w:vAlign w:val="bottom"/>
          </w:tcPr>
          <w:p w:rsidR="00AD669B" w:rsidRDefault="00AD669B">
            <w:pPr>
              <w:jc w:val="right"/>
              <w:rPr>
                <w:rFonts w:ascii="Calibri" w:hAnsi="Calibri"/>
                <w:b/>
                <w:bCs/>
                <w:color w:val="000000"/>
              </w:rPr>
            </w:pPr>
            <w:r>
              <w:rPr>
                <w:rFonts w:ascii="Calibri" w:hAnsi="Calibri"/>
                <w:b/>
                <w:bCs/>
                <w:color w:val="000000"/>
              </w:rPr>
              <w:t>-0.18</w:t>
            </w:r>
          </w:p>
        </w:tc>
        <w:tc>
          <w:tcPr>
            <w:tcW w:w="1037" w:type="dxa"/>
            <w:gridSpan w:val="2"/>
            <w:tcBorders>
              <w:right w:val="single" w:sz="4" w:space="0" w:color="auto"/>
            </w:tcBorders>
            <w:vAlign w:val="bottom"/>
          </w:tcPr>
          <w:p w:rsidR="00AD669B" w:rsidRDefault="00AD669B">
            <w:pPr>
              <w:jc w:val="right"/>
              <w:rPr>
                <w:rFonts w:ascii="Calibri" w:hAnsi="Calibri"/>
                <w:b/>
                <w:bCs/>
                <w:color w:val="000000"/>
              </w:rPr>
            </w:pPr>
            <w:r>
              <w:rPr>
                <w:rFonts w:ascii="Calibri" w:hAnsi="Calibri"/>
                <w:b/>
                <w:bCs/>
                <w:color w:val="000000"/>
              </w:rPr>
              <w:t>-0.06</w:t>
            </w:r>
          </w:p>
        </w:tc>
      </w:tr>
    </w:tbl>
    <w:p w:rsidR="005F0A31" w:rsidRDefault="005F0A31" w:rsidP="00695E94"/>
    <w:p w:rsidR="005E28E2" w:rsidRDefault="005E28E2" w:rsidP="00695E94">
      <w:r>
        <w:t>Given the relatively counter-intuitive result on electrification of transport, we go</w:t>
      </w:r>
      <w:r w:rsidR="00695E94">
        <w:t xml:space="preserve"> into </w:t>
      </w:r>
      <w:r>
        <w:t>more detail on this simulation.</w:t>
      </w:r>
      <w:r w:rsidR="00695E94">
        <w:t xml:space="preserve"> </w:t>
      </w:r>
      <w:r>
        <w:t>We find that the</w:t>
      </w:r>
      <w:r w:rsidR="00695E94">
        <w:t xml:space="preserve"> nature of the negative job creation in electric </w:t>
      </w:r>
      <w:r w:rsidR="00DB66EC">
        <w:t>mobility</w:t>
      </w:r>
      <w:r w:rsidR="00695E94">
        <w:t xml:space="preserve"> </w:t>
      </w:r>
      <w:r>
        <w:t>was mostly</w:t>
      </w:r>
      <w:r w:rsidR="00695E94">
        <w:t xml:space="preserve"> due to </w:t>
      </w:r>
      <w:r>
        <w:t xml:space="preserve">a reduction in </w:t>
      </w:r>
      <w:r w:rsidR="00695E94">
        <w:t>car maintenance</w:t>
      </w:r>
      <w:r>
        <w:t xml:space="preserve"> expenditure</w:t>
      </w:r>
      <w:r w:rsidR="00695E94">
        <w:t>. Electric mobility stimulates job creation in the wholesale trade, car manufacturing, energy sector and distribution, but leads to relatively important losses of jobs in maintenance</w:t>
      </w:r>
      <w:r w:rsidR="006119AF">
        <w:t xml:space="preserve"> and other car related services</w:t>
      </w:r>
      <w:r w:rsidR="00695E94">
        <w:t>. Also, consumption of electricity by electric vehicles, leads to small increases in the energy price, which can affect industrial production and employment levels negatively. Overall, the impact is slightly negative</w:t>
      </w:r>
      <w:r w:rsidR="006119AF">
        <w:t>, though not in all countries</w:t>
      </w:r>
      <w:r w:rsidR="00695E94">
        <w:t xml:space="preserve">. We illustrate this quite remarkable result in the figure below, where we aggregated the monetary compensation of labour over all countries in the simulations performed above. </w:t>
      </w:r>
      <w:r w:rsidR="008A44E6">
        <w:t xml:space="preserve">This result is in line with the argument that job losses in maintenance when introducing electric mobility, will outweigh the job creation effects. </w:t>
      </w:r>
    </w:p>
    <w:p w:rsidR="00695E94" w:rsidRDefault="00695E94" w:rsidP="00695E94">
      <w:pPr>
        <w:pStyle w:val="Caption"/>
      </w:pPr>
      <w:bookmarkStart w:id="40" w:name="_Toc373136652"/>
      <w:r>
        <w:lastRenderedPageBreak/>
        <w:t xml:space="preserve">Figure </w:t>
      </w:r>
      <w:r>
        <w:fldChar w:fldCharType="begin"/>
      </w:r>
      <w:r>
        <w:instrText xml:space="preserve"> SEQ Figure \* ARABIC </w:instrText>
      </w:r>
      <w:r>
        <w:fldChar w:fldCharType="separate"/>
      </w:r>
      <w:r w:rsidR="0013270A">
        <w:rPr>
          <w:noProof/>
        </w:rPr>
        <w:t>3</w:t>
      </w:r>
      <w:r>
        <w:fldChar w:fldCharType="end"/>
      </w:r>
      <w:r>
        <w:t>: Monetary compensation of labour in the top 4 'winning sectors' and top 4 'losing sectors' when moving towards electric mobility</w:t>
      </w:r>
      <w:bookmarkEnd w:id="40"/>
    </w:p>
    <w:p w:rsidR="00387085" w:rsidRDefault="00695E94" w:rsidP="00387085">
      <w:pPr>
        <w:rPr>
          <w:lang w:val="en-US"/>
        </w:rPr>
      </w:pPr>
      <w:r>
        <w:rPr>
          <w:noProof/>
          <w:lang w:eastAsia="en-GB"/>
        </w:rPr>
        <w:drawing>
          <wp:inline distT="0" distB="0" distL="0" distR="0" wp14:anchorId="5E44B53F" wp14:editId="0CEA177E">
            <wp:extent cx="5400675" cy="2658794"/>
            <wp:effectExtent l="0" t="0" r="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005B8" w:rsidRDefault="00C005B8" w:rsidP="00387085">
      <w:pPr>
        <w:rPr>
          <w:lang w:val="en-US"/>
        </w:rPr>
      </w:pPr>
      <w:r>
        <w:rPr>
          <w:lang w:val="en-US"/>
        </w:rPr>
        <w:t>Exploration</w:t>
      </w:r>
      <w:r w:rsidR="005E28E2">
        <w:rPr>
          <w:lang w:val="en-US"/>
        </w:rPr>
        <w:t xml:space="preserve"> of the impact of electrification on net job creation within each </w:t>
      </w:r>
      <w:proofErr w:type="gramStart"/>
      <w:r w:rsidR="005E28E2">
        <w:rPr>
          <w:lang w:val="en-US"/>
        </w:rPr>
        <w:t>country,</w:t>
      </w:r>
      <w:proofErr w:type="gramEnd"/>
      <w:r w:rsidR="005E28E2">
        <w:rPr>
          <w:lang w:val="en-US"/>
        </w:rPr>
        <w:t xml:space="preserve"> show</w:t>
      </w:r>
      <w:r>
        <w:rPr>
          <w:lang w:val="en-US"/>
        </w:rPr>
        <w:t>s</w:t>
      </w:r>
      <w:r w:rsidR="005E28E2">
        <w:rPr>
          <w:lang w:val="en-US"/>
        </w:rPr>
        <w:t xml:space="preserve"> </w:t>
      </w:r>
      <w:r>
        <w:rPr>
          <w:lang w:val="en-US"/>
        </w:rPr>
        <w:t>remarkable differences</w:t>
      </w:r>
      <w:r w:rsidR="005E28E2">
        <w:rPr>
          <w:lang w:val="en-US"/>
        </w:rPr>
        <w:t xml:space="preserve">. </w:t>
      </w:r>
      <w:r>
        <w:rPr>
          <w:lang w:val="en-US"/>
        </w:rPr>
        <w:t>Looking at the</w:t>
      </w:r>
      <w:r w:rsidR="005E28E2">
        <w:rPr>
          <w:lang w:val="en-US"/>
        </w:rPr>
        <w:t xml:space="preserve"> top 4 ‘winning’ countries and top 4 ‘losing’ countries</w:t>
      </w:r>
      <w:r>
        <w:rPr>
          <w:lang w:val="en-US"/>
        </w:rPr>
        <w:t xml:space="preserve"> (</w:t>
      </w:r>
      <w:r w:rsidR="009B13AD">
        <w:rPr>
          <w:lang w:val="en-US"/>
        </w:rPr>
        <w:fldChar w:fldCharType="begin"/>
      </w:r>
      <w:r w:rsidR="009B13AD">
        <w:rPr>
          <w:lang w:val="en-US"/>
        </w:rPr>
        <w:instrText xml:space="preserve"> REF _Ref361914893 \h </w:instrText>
      </w:r>
      <w:r w:rsidR="009B13AD">
        <w:rPr>
          <w:lang w:val="en-US"/>
        </w:rPr>
      </w:r>
      <w:r w:rsidR="009B13AD">
        <w:rPr>
          <w:lang w:val="en-US"/>
        </w:rPr>
        <w:fldChar w:fldCharType="separate"/>
      </w:r>
      <w:r w:rsidR="0013270A">
        <w:t xml:space="preserve">Figure </w:t>
      </w:r>
      <w:r w:rsidR="0013270A">
        <w:rPr>
          <w:noProof/>
        </w:rPr>
        <w:t>4</w:t>
      </w:r>
      <w:r w:rsidR="009B13AD">
        <w:rPr>
          <w:lang w:val="en-US"/>
        </w:rPr>
        <w:fldChar w:fldCharType="end"/>
      </w:r>
      <w:r>
        <w:rPr>
          <w:lang w:val="en-US"/>
        </w:rPr>
        <w:t>)</w:t>
      </w:r>
      <w:r w:rsidR="005E28E2">
        <w:rPr>
          <w:lang w:val="en-US"/>
        </w:rPr>
        <w:t>, we remark that DE and the UK gain respectively 1105 and 404 jobs for an introduction of 1% electrification of transport. Followed by RO (245 jobs) and CZ (1</w:t>
      </w:r>
      <w:r w:rsidR="009B13AD">
        <w:rPr>
          <w:lang w:val="en-US"/>
        </w:rPr>
        <w:t xml:space="preserve">01 jobs). </w:t>
      </w:r>
      <w:r w:rsidR="005E28E2">
        <w:rPr>
          <w:lang w:val="en-US"/>
        </w:rPr>
        <w:t xml:space="preserve">The main loser from electrification, is DK (-1557 jobs), followed by IT (-443 jobs), ES (-83 jobs) and PT (-53 jobs). </w:t>
      </w:r>
    </w:p>
    <w:p w:rsidR="00E94878" w:rsidRDefault="00C005B8" w:rsidP="00387085">
      <w:pPr>
        <w:rPr>
          <w:lang w:val="en-US"/>
        </w:rPr>
      </w:pPr>
      <w:r>
        <w:rPr>
          <w:lang w:val="en-US"/>
        </w:rPr>
        <w:t xml:space="preserve">Differences between the countries </w:t>
      </w:r>
      <w:proofErr w:type="gramStart"/>
      <w:r>
        <w:rPr>
          <w:lang w:val="en-US"/>
        </w:rPr>
        <w:t>are explained</w:t>
      </w:r>
      <w:proofErr w:type="gramEnd"/>
      <w:r>
        <w:rPr>
          <w:lang w:val="en-US"/>
        </w:rPr>
        <w:t xml:space="preserve"> by the relative </w:t>
      </w:r>
      <w:proofErr w:type="spellStart"/>
      <w:r>
        <w:rPr>
          <w:lang w:val="en-US"/>
        </w:rPr>
        <w:t>labour</w:t>
      </w:r>
      <w:proofErr w:type="spellEnd"/>
      <w:r>
        <w:rPr>
          <w:lang w:val="en-US"/>
        </w:rPr>
        <w:t xml:space="preserve"> intensities of the ‘winning’ and ‘losing’ sectors. </w:t>
      </w:r>
      <w:r w:rsidR="00072E4F">
        <w:rPr>
          <w:lang w:val="en-US"/>
        </w:rPr>
        <w:t>More analysis of the results</w:t>
      </w:r>
      <w:r w:rsidR="009B13AD">
        <w:rPr>
          <w:lang w:val="en-US"/>
        </w:rPr>
        <w:t xml:space="preserve">, in </w:t>
      </w:r>
      <w:r w:rsidR="007711E8">
        <w:rPr>
          <w:lang w:val="en-US"/>
        </w:rPr>
        <w:fldChar w:fldCharType="begin"/>
      </w:r>
      <w:r w:rsidR="007711E8">
        <w:rPr>
          <w:lang w:val="en-US"/>
        </w:rPr>
        <w:instrText xml:space="preserve"> REF _Ref361915084 \h </w:instrText>
      </w:r>
      <w:r w:rsidR="007711E8">
        <w:rPr>
          <w:lang w:val="en-US"/>
        </w:rPr>
      </w:r>
      <w:r w:rsidR="007711E8">
        <w:rPr>
          <w:lang w:val="en-US"/>
        </w:rPr>
        <w:fldChar w:fldCharType="separate"/>
      </w:r>
      <w:r w:rsidR="0013270A">
        <w:t xml:space="preserve">Figure </w:t>
      </w:r>
      <w:r w:rsidR="0013270A">
        <w:rPr>
          <w:noProof/>
        </w:rPr>
        <w:t>5</w:t>
      </w:r>
      <w:r w:rsidR="007711E8">
        <w:rPr>
          <w:lang w:val="en-US"/>
        </w:rPr>
        <w:fldChar w:fldCharType="end"/>
      </w:r>
      <w:r w:rsidR="007711E8">
        <w:rPr>
          <w:lang w:val="en-US"/>
        </w:rPr>
        <w:t xml:space="preserve"> shows</w:t>
      </w:r>
      <w:r w:rsidR="00072E4F">
        <w:rPr>
          <w:lang w:val="en-US"/>
        </w:rPr>
        <w:t xml:space="preserve"> a link between the low share of </w:t>
      </w:r>
      <w:proofErr w:type="spellStart"/>
      <w:r w:rsidR="00072E4F">
        <w:rPr>
          <w:lang w:val="en-US"/>
        </w:rPr>
        <w:t>labour</w:t>
      </w:r>
      <w:proofErr w:type="spellEnd"/>
      <w:r w:rsidR="00072E4F">
        <w:rPr>
          <w:lang w:val="en-US"/>
        </w:rPr>
        <w:t xml:space="preserve"> compensation </w:t>
      </w:r>
      <w:r w:rsidR="00E94878">
        <w:rPr>
          <w:lang w:val="en-US"/>
        </w:rPr>
        <w:t xml:space="preserve">in the </w:t>
      </w:r>
      <w:r w:rsidR="00DB66EC">
        <w:rPr>
          <w:lang w:val="en-US"/>
        </w:rPr>
        <w:t>car-manufacturing</w:t>
      </w:r>
      <w:r w:rsidR="00E94878">
        <w:rPr>
          <w:lang w:val="en-US"/>
        </w:rPr>
        <w:t xml:space="preserve"> sector of DK (0.25% of total) a</w:t>
      </w:r>
      <w:r>
        <w:rPr>
          <w:lang w:val="en-US"/>
        </w:rPr>
        <w:t>nd the high share in DE (4.62%).</w:t>
      </w:r>
      <w:r w:rsidR="009B13AD">
        <w:rPr>
          <w:lang w:val="en-US"/>
        </w:rPr>
        <w:t xml:space="preserve"> </w:t>
      </w:r>
      <w:r w:rsidR="0054364B">
        <w:rPr>
          <w:lang w:val="en-US"/>
        </w:rPr>
        <w:t xml:space="preserve">The job losses in IT </w:t>
      </w:r>
      <w:proofErr w:type="gramStart"/>
      <w:r w:rsidR="0054364B">
        <w:rPr>
          <w:lang w:val="en-US"/>
        </w:rPr>
        <w:t>are explained</w:t>
      </w:r>
      <w:proofErr w:type="gramEnd"/>
      <w:r w:rsidR="0054364B">
        <w:rPr>
          <w:lang w:val="en-US"/>
        </w:rPr>
        <w:t xml:space="preserve"> from </w:t>
      </w:r>
      <w:r w:rsidR="00593B26">
        <w:rPr>
          <w:lang w:val="en-US"/>
        </w:rPr>
        <w:t xml:space="preserve">the </w:t>
      </w:r>
      <w:r>
        <w:rPr>
          <w:lang w:val="en-US"/>
        </w:rPr>
        <w:t>high</w:t>
      </w:r>
      <w:r w:rsidR="0054364B">
        <w:rPr>
          <w:lang w:val="en-US"/>
        </w:rPr>
        <w:t xml:space="preserve"> share of </w:t>
      </w:r>
      <w:proofErr w:type="spellStart"/>
      <w:r w:rsidR="0054364B">
        <w:rPr>
          <w:lang w:val="en-US"/>
        </w:rPr>
        <w:t>labour</w:t>
      </w:r>
      <w:proofErr w:type="spellEnd"/>
      <w:r w:rsidR="0054364B">
        <w:rPr>
          <w:lang w:val="en-US"/>
        </w:rPr>
        <w:t xml:space="preserve"> compensation in car maintenance (6.7%), compared to DE (2.09%) and UK (2.65%).</w:t>
      </w:r>
      <w:r>
        <w:rPr>
          <w:lang w:val="en-US"/>
        </w:rPr>
        <w:t xml:space="preserve"> </w:t>
      </w:r>
      <w:r w:rsidR="00593B26">
        <w:rPr>
          <w:lang w:val="en-US"/>
        </w:rPr>
        <w:t xml:space="preserve">The net job market effect for all countries together is about zero. </w:t>
      </w:r>
    </w:p>
    <w:p w:rsidR="00E94878" w:rsidRDefault="00E94878" w:rsidP="00E94878">
      <w:pPr>
        <w:pStyle w:val="Caption"/>
        <w:rPr>
          <w:lang w:val="en-US"/>
        </w:rPr>
      </w:pPr>
      <w:bookmarkStart w:id="41" w:name="_Ref361914893"/>
      <w:bookmarkStart w:id="42" w:name="_Toc373136653"/>
      <w:r>
        <w:lastRenderedPageBreak/>
        <w:t xml:space="preserve">Figure </w:t>
      </w:r>
      <w:r>
        <w:fldChar w:fldCharType="begin"/>
      </w:r>
      <w:r>
        <w:instrText xml:space="preserve"> SEQ Figure \* ARABIC </w:instrText>
      </w:r>
      <w:r>
        <w:fldChar w:fldCharType="separate"/>
      </w:r>
      <w:r w:rsidR="0013270A">
        <w:rPr>
          <w:noProof/>
        </w:rPr>
        <w:t>4</w:t>
      </w:r>
      <w:r>
        <w:fldChar w:fldCharType="end"/>
      </w:r>
      <w:bookmarkEnd w:id="41"/>
      <w:r>
        <w:t>: Net jobs created with 1% electrification, 4 top and 4 losing countries (in FTE's)</w:t>
      </w:r>
      <w:bookmarkEnd w:id="42"/>
    </w:p>
    <w:p w:rsidR="003324BE" w:rsidRDefault="008476D8" w:rsidP="00387085">
      <w:pPr>
        <w:rPr>
          <w:lang w:val="en-US"/>
        </w:rPr>
      </w:pPr>
      <w:r>
        <w:rPr>
          <w:noProof/>
          <w:lang w:eastAsia="en-GB"/>
        </w:rPr>
        <w:drawing>
          <wp:inline distT="0" distB="0" distL="0" distR="0" wp14:anchorId="54DF6B72" wp14:editId="1A29DFB7">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45388" w:rsidRDefault="009B13AD" w:rsidP="009B13AD">
      <w:pPr>
        <w:pStyle w:val="Caption"/>
        <w:rPr>
          <w:lang w:val="en-US"/>
        </w:rPr>
      </w:pPr>
      <w:bookmarkStart w:id="43" w:name="_Ref361915084"/>
      <w:bookmarkStart w:id="44" w:name="_Toc373136654"/>
      <w:r>
        <w:t xml:space="preserve">Figure </w:t>
      </w:r>
      <w:r>
        <w:fldChar w:fldCharType="begin"/>
      </w:r>
      <w:r>
        <w:instrText xml:space="preserve"> SEQ Figure \* ARABIC </w:instrText>
      </w:r>
      <w:r>
        <w:fldChar w:fldCharType="separate"/>
      </w:r>
      <w:r w:rsidR="0013270A">
        <w:rPr>
          <w:noProof/>
        </w:rPr>
        <w:t>5</w:t>
      </w:r>
      <w:r>
        <w:fldChar w:fldCharType="end"/>
      </w:r>
      <w:bookmarkEnd w:id="43"/>
      <w:r>
        <w:t>: Correlation of share of labour compensation in transport manufacturing on net job creation</w:t>
      </w:r>
      <w:bookmarkEnd w:id="44"/>
    </w:p>
    <w:p w:rsidR="00F45388" w:rsidRDefault="00072E4F" w:rsidP="00387085">
      <w:pPr>
        <w:rPr>
          <w:lang w:val="en-US"/>
        </w:rPr>
      </w:pPr>
      <w:r w:rsidRPr="00F45388">
        <w:rPr>
          <w:noProof/>
          <w:lang w:eastAsia="en-GB"/>
        </w:rPr>
        <mc:AlternateContent>
          <mc:Choice Requires="wps">
            <w:drawing>
              <wp:anchor distT="0" distB="0" distL="114300" distR="114300" simplePos="0" relativeHeight="251668480" behindDoc="0" locked="0" layoutInCell="1" allowOverlap="1" wp14:anchorId="53782727" wp14:editId="4382DB6F">
                <wp:simplePos x="0" y="0"/>
                <wp:positionH relativeFrom="column">
                  <wp:posOffset>1332290</wp:posOffset>
                </wp:positionH>
                <wp:positionV relativeFrom="paragraph">
                  <wp:posOffset>575203</wp:posOffset>
                </wp:positionV>
                <wp:extent cx="499745" cy="301625"/>
                <wp:effectExtent l="0" t="0" r="0" b="0"/>
                <wp:wrapNone/>
                <wp:docPr id="14" name="Rectangle 1"/>
                <wp:cNvGraphicFramePr/>
                <a:graphic xmlns:a="http://schemas.openxmlformats.org/drawingml/2006/main">
                  <a:graphicData uri="http://schemas.microsoft.com/office/word/2010/wordprocessingShape">
                    <wps:wsp>
                      <wps:cNvSpPr/>
                      <wps:spPr>
                        <a:xfrm>
                          <a:off x="0" y="0"/>
                          <a:ext cx="499745" cy="301625"/>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AA5" w:rsidRDefault="00FC5AA5" w:rsidP="00072E4F">
                            <w:pPr>
                              <w:pStyle w:val="NormalWeb"/>
                              <w:spacing w:before="0" w:beforeAutospacing="0" w:after="0" w:afterAutospacing="0"/>
                            </w:pPr>
                            <w:r>
                              <w:rPr>
                                <w:rFonts w:asciiTheme="minorHAnsi" w:hAnsi="Calibri" w:cstheme="minorBidi"/>
                                <w:color w:val="000000"/>
                                <w:sz w:val="22"/>
                                <w:szCs w:val="22"/>
                                <w:lang w:val="en-US"/>
                              </w:rPr>
                              <w:t>UK</w:t>
                            </w:r>
                          </w:p>
                        </w:txbxContent>
                      </wps:txbx>
                      <wps:bodyPr vertOverflow="clip" wrap="square"/>
                    </wps:wsp>
                  </a:graphicData>
                </a:graphic>
                <wp14:sizeRelH relativeFrom="margin">
                  <wp14:pctWidth>0</wp14:pctWidth>
                </wp14:sizeRelH>
              </wp:anchor>
            </w:drawing>
          </mc:Choice>
          <mc:Fallback>
            <w:pict>
              <v:rect id="Rectangle 1" o:spid="_x0000_s1027" style="position:absolute;left:0;text-align:left;margin-left:104.9pt;margin-top:45.3pt;width:39.35pt;height:2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" fillcolor="#4f81bd [3204]" stroked="f" strokeweight="2pt">
                <v:fill opacity="0"/>
                <v:textbox>
                  <w:txbxContent>
                    <w:p w:rsidR="00FC5AA5" w:rsidRDefault="00FC5AA5" w:rsidP="00072E4F">
                      <w:pPr>
                        <w:pStyle w:val="NormalWeb"/>
                        <w:spacing w:before="0" w:beforeAutospacing="0" w:after="0" w:afterAutospacing="0"/>
                      </w:pPr>
                      <w:r>
                        <w:rPr>
                          <w:rFonts w:asciiTheme="minorHAnsi" w:hAnsi="Calibri" w:cstheme="minorBidi"/>
                          <w:color w:val="000000"/>
                          <w:sz w:val="22"/>
                          <w:szCs w:val="22"/>
                          <w:lang w:val="en-US"/>
                        </w:rPr>
                        <w:t>UK</w:t>
                      </w:r>
                    </w:p>
                  </w:txbxContent>
                </v:textbox>
              </v:rect>
            </w:pict>
          </mc:Fallback>
        </mc:AlternateContent>
      </w:r>
      <w:r w:rsidRPr="00F45388">
        <w:rPr>
          <w:noProof/>
          <w:lang w:eastAsia="en-GB"/>
        </w:rPr>
        <mc:AlternateContent>
          <mc:Choice Requires="wps">
            <w:drawing>
              <wp:anchor distT="0" distB="0" distL="114300" distR="114300" simplePos="0" relativeHeight="251666432" behindDoc="0" locked="0" layoutInCell="1" allowOverlap="1" wp14:anchorId="0E290A1E" wp14:editId="5775DDBD">
                <wp:simplePos x="0" y="0"/>
                <wp:positionH relativeFrom="column">
                  <wp:posOffset>3086100</wp:posOffset>
                </wp:positionH>
                <wp:positionV relativeFrom="paragraph">
                  <wp:posOffset>742040</wp:posOffset>
                </wp:positionV>
                <wp:extent cx="500333" cy="301625"/>
                <wp:effectExtent l="0" t="0" r="0" b="0"/>
                <wp:wrapNone/>
                <wp:docPr id="13" name="Rectangle 1"/>
                <wp:cNvGraphicFramePr/>
                <a:graphic xmlns:a="http://schemas.openxmlformats.org/drawingml/2006/main">
                  <a:graphicData uri="http://schemas.microsoft.com/office/word/2010/wordprocessingShape">
                    <wps:wsp>
                      <wps:cNvSpPr/>
                      <wps:spPr>
                        <a:xfrm>
                          <a:off x="0" y="0"/>
                          <a:ext cx="500333" cy="301625"/>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AA5" w:rsidRDefault="00FC5AA5" w:rsidP="00072E4F">
                            <w:pPr>
                              <w:pStyle w:val="NormalWeb"/>
                              <w:spacing w:before="0" w:beforeAutospacing="0" w:after="0" w:afterAutospacing="0"/>
                            </w:pPr>
                            <w:r>
                              <w:rPr>
                                <w:rFonts w:asciiTheme="minorHAnsi" w:hAnsi="Calibri" w:cstheme="minorBidi"/>
                                <w:color w:val="000000"/>
                                <w:sz w:val="22"/>
                                <w:szCs w:val="22"/>
                                <w:lang w:val="en-US"/>
                              </w:rPr>
                              <w:t>RO</w:t>
                            </w:r>
                          </w:p>
                        </w:txbxContent>
                      </wps:txbx>
                      <wps:bodyPr vertOverflow="clip" wrap="square"/>
                    </wps:wsp>
                  </a:graphicData>
                </a:graphic>
                <wp14:sizeRelH relativeFrom="margin">
                  <wp14:pctWidth>0</wp14:pctWidth>
                </wp14:sizeRelH>
              </wp:anchor>
            </w:drawing>
          </mc:Choice>
          <mc:Fallback>
            <w:pict>
              <v:rect id="_x0000_s1028" style="position:absolute;left:0;text-align:left;margin-left:243pt;margin-top:58.45pt;width:39.4pt;height:2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" fillcolor="#4f81bd [3204]" stroked="f" strokeweight="2pt">
                <v:fill opacity="0"/>
                <v:textbox>
                  <w:txbxContent>
                    <w:p w:rsidR="00FC5AA5" w:rsidRDefault="00FC5AA5" w:rsidP="00072E4F">
                      <w:pPr>
                        <w:pStyle w:val="NormalWeb"/>
                        <w:spacing w:before="0" w:beforeAutospacing="0" w:after="0" w:afterAutospacing="0"/>
                      </w:pPr>
                      <w:r>
                        <w:rPr>
                          <w:rFonts w:asciiTheme="minorHAnsi" w:hAnsi="Calibri" w:cstheme="minorBidi"/>
                          <w:color w:val="000000"/>
                          <w:sz w:val="22"/>
                          <w:szCs w:val="22"/>
                          <w:lang w:val="en-US"/>
                        </w:rPr>
                        <w:t>RO</w:t>
                      </w:r>
                    </w:p>
                  </w:txbxContent>
                </v:textbox>
              </v:rect>
            </w:pict>
          </mc:Fallback>
        </mc:AlternateContent>
      </w:r>
      <w:r w:rsidRPr="00F45388">
        <w:rPr>
          <w:noProof/>
          <w:lang w:eastAsia="en-GB"/>
        </w:rPr>
        <mc:AlternateContent>
          <mc:Choice Requires="wps">
            <w:drawing>
              <wp:anchor distT="0" distB="0" distL="114300" distR="114300" simplePos="0" relativeHeight="251664384" behindDoc="0" locked="0" layoutInCell="1" allowOverlap="1" wp14:anchorId="5FC88861" wp14:editId="2B24E095">
                <wp:simplePos x="0" y="0"/>
                <wp:positionH relativeFrom="column">
                  <wp:posOffset>1405219</wp:posOffset>
                </wp:positionH>
                <wp:positionV relativeFrom="paragraph">
                  <wp:posOffset>1459961</wp:posOffset>
                </wp:positionV>
                <wp:extent cx="370840" cy="301625"/>
                <wp:effectExtent l="0" t="0" r="0" b="0"/>
                <wp:wrapNone/>
                <wp:docPr id="12" name="Rectangle 1"/>
                <wp:cNvGraphicFramePr/>
                <a:graphic xmlns:a="http://schemas.openxmlformats.org/drawingml/2006/main">
                  <a:graphicData uri="http://schemas.microsoft.com/office/word/2010/wordprocessingShape">
                    <wps:wsp>
                      <wps:cNvSpPr/>
                      <wps:spPr>
                        <a:xfrm>
                          <a:off x="0" y="0"/>
                          <a:ext cx="370840" cy="301625"/>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AA5" w:rsidRDefault="00FC5AA5" w:rsidP="00072E4F">
                            <w:pPr>
                              <w:pStyle w:val="NormalWeb"/>
                              <w:spacing w:before="0" w:beforeAutospacing="0" w:after="0" w:afterAutospacing="0"/>
                            </w:pPr>
                            <w:r>
                              <w:rPr>
                                <w:rFonts w:asciiTheme="minorHAnsi" w:hAnsi="Calibri" w:cstheme="minorBidi"/>
                                <w:color w:val="000000"/>
                                <w:sz w:val="22"/>
                                <w:szCs w:val="22"/>
                                <w:lang w:val="en-US"/>
                              </w:rPr>
                              <w:t>IT</w:t>
                            </w:r>
                          </w:p>
                        </w:txbxContent>
                      </wps:txbx>
                      <wps:bodyPr vertOverflow="clip"/>
                    </wps:wsp>
                  </a:graphicData>
                </a:graphic>
              </wp:anchor>
            </w:drawing>
          </mc:Choice>
          <mc:Fallback>
            <w:pict>
              <v:rect id="_x0000_s1029" style="position:absolute;left:0;text-align:left;margin-left:110.65pt;margin-top:114.95pt;width:29.2pt;height:2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" fillcolor="#4f81bd [3204]" stroked="f" strokeweight="2pt">
                <v:fill opacity="0"/>
                <v:textbox>
                  <w:txbxContent>
                    <w:p w:rsidR="00FC5AA5" w:rsidRDefault="00FC5AA5" w:rsidP="00072E4F">
                      <w:pPr>
                        <w:pStyle w:val="NormalWeb"/>
                        <w:spacing w:before="0" w:beforeAutospacing="0" w:after="0" w:afterAutospacing="0"/>
                      </w:pPr>
                      <w:r>
                        <w:rPr>
                          <w:rFonts w:asciiTheme="minorHAnsi" w:hAnsi="Calibri" w:cstheme="minorBidi"/>
                          <w:color w:val="000000"/>
                          <w:sz w:val="22"/>
                          <w:szCs w:val="22"/>
                          <w:lang w:val="en-US"/>
                        </w:rPr>
                        <w:t>IT</w:t>
                      </w:r>
                    </w:p>
                  </w:txbxContent>
                </v:textbox>
              </v:rect>
            </w:pict>
          </mc:Fallback>
        </mc:AlternateContent>
      </w:r>
      <w:r w:rsidR="00F45388" w:rsidRPr="00F45388">
        <w:rPr>
          <w:noProof/>
          <w:lang w:eastAsia="en-GB"/>
        </w:rPr>
        <mc:AlternateContent>
          <mc:Choice Requires="wps">
            <w:drawing>
              <wp:anchor distT="0" distB="0" distL="114300" distR="114300" simplePos="0" relativeHeight="251662336" behindDoc="0" locked="0" layoutInCell="1" allowOverlap="1" wp14:anchorId="40C88AD2" wp14:editId="68827A32">
                <wp:simplePos x="0" y="0"/>
                <wp:positionH relativeFrom="column">
                  <wp:posOffset>1029335</wp:posOffset>
                </wp:positionH>
                <wp:positionV relativeFrom="paragraph">
                  <wp:posOffset>1989982</wp:posOffset>
                </wp:positionV>
                <wp:extent cx="370840" cy="301625"/>
                <wp:effectExtent l="0" t="0" r="0" b="0"/>
                <wp:wrapNone/>
                <wp:docPr id="2" name="Rectangle 1"/>
                <wp:cNvGraphicFramePr/>
                <a:graphic xmlns:a="http://schemas.openxmlformats.org/drawingml/2006/main">
                  <a:graphicData uri="http://schemas.microsoft.com/office/word/2010/wordprocessingShape">
                    <wps:wsp>
                      <wps:cNvSpPr/>
                      <wps:spPr>
                        <a:xfrm>
                          <a:off x="0" y="0"/>
                          <a:ext cx="370840" cy="301625"/>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AA5" w:rsidRDefault="00FC5AA5" w:rsidP="00F45388">
                            <w:pPr>
                              <w:pStyle w:val="NormalWeb"/>
                              <w:spacing w:before="0" w:beforeAutospacing="0" w:after="0" w:afterAutospacing="0"/>
                            </w:pPr>
                            <w:r>
                              <w:rPr>
                                <w:rFonts w:asciiTheme="minorHAnsi" w:hAnsi="Calibri" w:cstheme="minorBidi"/>
                                <w:color w:val="000000"/>
                                <w:sz w:val="22"/>
                                <w:szCs w:val="22"/>
                                <w:lang w:val="en-US"/>
                              </w:rPr>
                              <w:t>DK</w:t>
                            </w:r>
                          </w:p>
                        </w:txbxContent>
                      </wps:txbx>
                      <wps:bodyPr vertOverflow="clip"/>
                    </wps:wsp>
                  </a:graphicData>
                </a:graphic>
              </wp:anchor>
            </w:drawing>
          </mc:Choice>
          <mc:Fallback>
            <w:pict>
              <v:rect id="_x0000_s1030" style="position:absolute;left:0;text-align:left;margin-left:81.05pt;margin-top:156.7pt;width:29.2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" fillcolor="#4f81bd [3204]" stroked="f" strokeweight="2pt">
                <v:fill opacity="0"/>
                <v:textbox>
                  <w:txbxContent>
                    <w:p w:rsidR="00FC5AA5" w:rsidRDefault="00FC5AA5" w:rsidP="00F45388">
                      <w:pPr>
                        <w:pStyle w:val="NormalWeb"/>
                        <w:spacing w:before="0" w:beforeAutospacing="0" w:after="0" w:afterAutospacing="0"/>
                      </w:pPr>
                      <w:r>
                        <w:rPr>
                          <w:rFonts w:asciiTheme="minorHAnsi" w:hAnsi="Calibri" w:cstheme="minorBidi"/>
                          <w:color w:val="000000"/>
                          <w:sz w:val="22"/>
                          <w:szCs w:val="22"/>
                          <w:lang w:val="en-US"/>
                        </w:rPr>
                        <w:t>DK</w:t>
                      </w:r>
                    </w:p>
                  </w:txbxContent>
                </v:textbox>
              </v:rect>
            </w:pict>
          </mc:Fallback>
        </mc:AlternateContent>
      </w:r>
      <w:r w:rsidR="00F45388">
        <w:rPr>
          <w:noProof/>
          <w:lang w:eastAsia="en-GB"/>
        </w:rPr>
        <w:drawing>
          <wp:inline distT="0" distB="0" distL="0" distR="0" wp14:anchorId="7096BD2F" wp14:editId="61E498ED">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F40DA" w:rsidRDefault="006F40DA">
      <w:pPr>
        <w:spacing w:before="70"/>
        <w:ind w:left="850" w:right="965"/>
        <w:rPr>
          <w:lang w:val="en-US"/>
        </w:rPr>
      </w:pPr>
      <w:r>
        <w:rPr>
          <w:lang w:val="en-US"/>
        </w:rPr>
        <w:br w:type="page"/>
      </w:r>
    </w:p>
    <w:p w:rsidR="00593B26" w:rsidRDefault="00593B26" w:rsidP="00593B26">
      <w:pPr>
        <w:pStyle w:val="Heading2"/>
      </w:pPr>
      <w:bookmarkStart w:id="45" w:name="_Toc366244943"/>
      <w:r>
        <w:lastRenderedPageBreak/>
        <w:t>Jobs associated with decreasing private transport use</w:t>
      </w:r>
      <w:bookmarkEnd w:id="45"/>
      <w:r>
        <w:t xml:space="preserve"> </w:t>
      </w:r>
    </w:p>
    <w:p w:rsidR="00593B26" w:rsidRDefault="00E1402B" w:rsidP="00E1402B">
      <w:pPr>
        <w:pStyle w:val="Heading3"/>
      </w:pPr>
      <w:bookmarkStart w:id="46" w:name="_Toc366244944"/>
      <w:r>
        <w:t>Introduction and review</w:t>
      </w:r>
      <w:bookmarkEnd w:id="46"/>
    </w:p>
    <w:p w:rsidR="00C94806" w:rsidRDefault="006F40DA" w:rsidP="00E1402B">
      <w:r>
        <w:t xml:space="preserve">Decreasing the use of private transport and moving transport kilometres towards the public transit sector, is often claimed to have a net positive effect on the job market. In principle this seems logical, a private car is driven by a private citizen, who is (in generally) not paid to spend money in traffic. Switching towards a public transit system requires engaging </w:t>
      </w:r>
      <w:r w:rsidR="007D6162">
        <w:t>a driver, so would (at least in theory) result in more employment.</w:t>
      </w:r>
      <w:r w:rsidR="00914DE0">
        <w:t xml:space="preserve"> </w:t>
      </w:r>
      <w:r w:rsidR="00C94806">
        <w:t xml:space="preserve">Of course, this type of effects should be considered carefully, given that </w:t>
      </w:r>
      <w:r w:rsidR="007D6162">
        <w:t xml:space="preserve">1 driver can carry up to 100 people in one bus, 300 people in a tram and more than 1000 people in a train. Therefore only when a relatively large amount of private users switch to public use of transport, a notably positive impact on job creation could be expected. </w:t>
      </w:r>
    </w:p>
    <w:p w:rsidR="007D6162" w:rsidRDefault="007D6162" w:rsidP="00E1402B">
      <w:r>
        <w:t xml:space="preserve">Friends of the earth claimed in 1997, that an increase of train passenger </w:t>
      </w:r>
      <w:r w:rsidR="0077508B">
        <w:t>kilometres</w:t>
      </w:r>
      <w:r>
        <w:t xml:space="preserve"> and bus kilometres with 35 % would create an additional 130,000 jobs related to the </w:t>
      </w:r>
      <w:r w:rsidR="003C5E29">
        <w:t xml:space="preserve">public </w:t>
      </w:r>
      <w:r>
        <w:t>transport sector</w:t>
      </w:r>
      <w:r w:rsidR="003C5E29">
        <w:t xml:space="preserve"> in the UK</w:t>
      </w:r>
      <w:r>
        <w:t xml:space="preserve">. </w:t>
      </w:r>
      <w:r w:rsidR="003C5E29">
        <w:t xml:space="preserve">Not many other studies have </w:t>
      </w:r>
      <w:r w:rsidR="00914DE0">
        <w:t>calculated job market effects</w:t>
      </w:r>
      <w:r w:rsidR="003C5E29">
        <w:t xml:space="preserve"> </w:t>
      </w:r>
      <w:r w:rsidR="00914DE0">
        <w:t>of</w:t>
      </w:r>
      <w:r w:rsidR="003C5E29">
        <w:t xml:space="preserve"> changing behaviour towards public uses</w:t>
      </w:r>
      <w:r w:rsidR="002138A9">
        <w:t>.</w:t>
      </w:r>
      <w:r w:rsidR="003C5E29">
        <w:t xml:space="preserve"> </w:t>
      </w:r>
    </w:p>
    <w:p w:rsidR="003C5E29" w:rsidRDefault="003C5E29" w:rsidP="003C5E29">
      <w:pPr>
        <w:pStyle w:val="Heading3"/>
      </w:pPr>
      <w:bookmarkStart w:id="47" w:name="_Toc366244945"/>
      <w:r>
        <w:t>Results from EDIP model</w:t>
      </w:r>
      <w:bookmarkEnd w:id="47"/>
    </w:p>
    <w:p w:rsidR="003C5E29" w:rsidRDefault="00914DE0" w:rsidP="00E1402B">
      <w:r>
        <w:t xml:space="preserve">We base ourselves on a simplified version policy scenario 5 in NEUJOBS </w:t>
      </w:r>
      <w:proofErr w:type="gramStart"/>
      <w:r>
        <w:t>D15.2,</w:t>
      </w:r>
      <w:proofErr w:type="gramEnd"/>
      <w:r>
        <w:t xml:space="preserve"> we assume that people change their preference for privat</w:t>
      </w:r>
      <w:r w:rsidR="002138A9">
        <w:t xml:space="preserve">e transport, such that they switch 1% of their total transport needs from private transport towards public transit services. This is an impact created purely by a change in passenger demand. We assume that people are motivated by ‘soft measures’ (information campaigns, courses in public transport use etc.) to change their behaviour in traffic. No </w:t>
      </w:r>
      <w:r w:rsidR="00601BDB">
        <w:t>extra investments in pu</w:t>
      </w:r>
      <w:r w:rsidR="00B14C52">
        <w:t>blic infrastructure are assumed from outside the sector, but the sector reacts to the extra demand by engaging new labour and other inputs to production.</w:t>
      </w:r>
    </w:p>
    <w:p w:rsidR="00B14C52" w:rsidRDefault="00A96B81" w:rsidP="00E1402B">
      <w:r>
        <w:t>As in the previous sections, we calculate the net impact</w:t>
      </w:r>
      <w:r w:rsidR="00276297">
        <w:t xml:space="preserve"> on job creation, using a multiplier based on a monetary (million euros) basis. The denominator in this case, is the amount of consumption in private transport</w:t>
      </w:r>
      <w:r w:rsidR="00276297">
        <w:rPr>
          <w:rStyle w:val="FootnoteReference"/>
        </w:rPr>
        <w:footnoteReference w:id="12"/>
      </w:r>
      <w:r w:rsidR="00276297">
        <w:t xml:space="preserve"> averted towards purchased transport services (taxi, bus, train, trams). </w:t>
      </w:r>
      <w:r w:rsidR="00B14C52">
        <w:t>We do the same for the GDP multiplier, which is used to examine the impact of the policy on domestic production.</w:t>
      </w:r>
    </w:p>
    <w:p w:rsidR="00B14C52" w:rsidRPr="00B14C52" w:rsidRDefault="00A96B81" w:rsidP="00E1402B">
      <w:r>
        <w:fldChar w:fldCharType="begin"/>
      </w:r>
      <w:r>
        <w:instrText xml:space="preserve"> REF _Ref361908694 \h </w:instrText>
      </w:r>
      <w:r>
        <w:fldChar w:fldCharType="separate"/>
      </w:r>
      <w:r w:rsidR="0013270A">
        <w:t xml:space="preserve">Table </w:t>
      </w:r>
      <w:r w:rsidR="0013270A">
        <w:rPr>
          <w:noProof/>
        </w:rPr>
        <w:t>9</w:t>
      </w:r>
      <w:r>
        <w:fldChar w:fldCharType="end"/>
      </w:r>
      <w:r>
        <w:t xml:space="preserve"> </w:t>
      </w:r>
      <w:r w:rsidR="00276297">
        <w:t>shows the results in the same format as the one used above. We see that the increase</w:t>
      </w:r>
      <w:r w:rsidR="00B14C52">
        <w:t xml:space="preserve"> in demand for public transport</w:t>
      </w:r>
      <w:r w:rsidR="00276297">
        <w:t xml:space="preserve"> has some positive impact on jobs, which is mainly caused by a direct increase in employment </w:t>
      </w:r>
      <w:r w:rsidR="00331CEC">
        <w:t xml:space="preserve">of the transport sector. Overall, the job creation effect of private transport demand is low, because the policy leads to a loss in jobs in vehicle manufacturing and maintenance services (see also D15.2), which offsets some of the positive effects of the extra demand for transport services. We see that taking an average over all countries, the job creation effect is around </w:t>
      </w:r>
      <w:r w:rsidR="00D94E86">
        <w:t>1.88</w:t>
      </w:r>
      <w:r w:rsidR="00331CEC">
        <w:t xml:space="preserve"> jobs per million euros averted from private car use in the group 1 countries and 6.</w:t>
      </w:r>
      <w:r w:rsidR="00D94E86">
        <w:t xml:space="preserve">21 jobs in group 2 countries. Only in IT the impact is negative, which was found to be due to its high share in transport maintenance jobs. </w:t>
      </w:r>
      <w:r w:rsidR="002F58A8">
        <w:fldChar w:fldCharType="begin"/>
      </w:r>
      <w:r w:rsidR="002F58A8">
        <w:instrText xml:space="preserve"> REF _Ref361929198 \h </w:instrText>
      </w:r>
      <w:r w:rsidR="002F58A8">
        <w:fldChar w:fldCharType="separate"/>
      </w:r>
      <w:r w:rsidR="0013270A">
        <w:t xml:space="preserve">Figure </w:t>
      </w:r>
      <w:r w:rsidR="0013270A">
        <w:rPr>
          <w:noProof/>
        </w:rPr>
        <w:t>6</w:t>
      </w:r>
      <w:r w:rsidR="002F58A8">
        <w:fldChar w:fldCharType="end"/>
      </w:r>
      <w:r w:rsidR="002F58A8">
        <w:t xml:space="preserve"> gives a by country overview of the </w:t>
      </w:r>
      <w:r w:rsidR="002F58A8" w:rsidRPr="002F58A8">
        <w:t xml:space="preserve">net </w:t>
      </w:r>
      <w:r w:rsidR="002F58A8">
        <w:t xml:space="preserve">amount of jobs created for switch 1% of expenditures on private transport towards </w:t>
      </w:r>
      <w:r w:rsidR="002F58A8">
        <w:lastRenderedPageBreak/>
        <w:t>public transport and services.</w:t>
      </w:r>
      <w:r w:rsidR="00677B6C">
        <w:t xml:space="preserve"> The impact is largest for DE (4750 jobs), FR (2940 jobs) and UK (2430 jobs). </w:t>
      </w:r>
      <w:r w:rsidR="00B14C52">
        <w:t>The impact on GDP is close to zero and slightly negative in quite a few countries, which is caused by a reduction of car sales, maintenance and an increase in subsidies for public transport offsetting positive impacts on transpo</w:t>
      </w:r>
      <w:r w:rsidR="004B08DA">
        <w:t xml:space="preserve">rt services. In general, the </w:t>
      </w:r>
      <w:r w:rsidR="00B14C52">
        <w:t>impact</w:t>
      </w:r>
      <w:r w:rsidR="004B08DA">
        <w:t xml:space="preserve"> on GDP</w:t>
      </w:r>
      <w:r w:rsidR="00B14C52">
        <w:t xml:space="preserve"> is </w:t>
      </w:r>
      <w:proofErr w:type="spellStart"/>
      <w:r w:rsidR="00B14C52">
        <w:t>neglible</w:t>
      </w:r>
      <w:proofErr w:type="spellEnd"/>
      <w:r w:rsidR="00B14C52">
        <w:t>.</w:t>
      </w:r>
    </w:p>
    <w:p w:rsidR="002138A9" w:rsidRDefault="002138A9" w:rsidP="002138A9">
      <w:pPr>
        <w:pStyle w:val="Caption"/>
      </w:pPr>
      <w:bookmarkStart w:id="48" w:name="_Toc373136644"/>
      <w:r>
        <w:t xml:space="preserve">Table </w:t>
      </w:r>
      <w:r>
        <w:fldChar w:fldCharType="begin"/>
      </w:r>
      <w:r>
        <w:instrText xml:space="preserve"> SEQ Table \* ARABIC </w:instrText>
      </w:r>
      <w:r>
        <w:fldChar w:fldCharType="separate"/>
      </w:r>
      <w:r w:rsidR="0013270A">
        <w:rPr>
          <w:noProof/>
        </w:rPr>
        <w:t>7</w:t>
      </w:r>
      <w:r>
        <w:fldChar w:fldCharType="end"/>
      </w:r>
      <w:r>
        <w:t>: Job creation and GDP effect per million euros averted from private car use</w:t>
      </w:r>
      <w:bookmarkEnd w:id="48"/>
    </w:p>
    <w:tbl>
      <w:tblPr>
        <w:tblW w:w="6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960"/>
        <w:gridCol w:w="932"/>
        <w:gridCol w:w="896"/>
        <w:gridCol w:w="967"/>
        <w:gridCol w:w="916"/>
        <w:gridCol w:w="913"/>
      </w:tblGrid>
      <w:tr w:rsidR="002138A9" w:rsidRPr="00E666DF" w:rsidTr="006632E3">
        <w:trPr>
          <w:trHeight w:hRule="exact" w:val="284"/>
        </w:trPr>
        <w:tc>
          <w:tcPr>
            <w:tcW w:w="1181" w:type="dxa"/>
            <w:shd w:val="clear" w:color="auto" w:fill="C4BC96" w:themeFill="background2" w:themeFillShade="BF"/>
            <w:noWrap/>
            <w:vAlign w:val="bottom"/>
            <w:hideMark/>
          </w:tcPr>
          <w:p w:rsidR="002138A9" w:rsidRPr="00E666DF" w:rsidRDefault="002138A9" w:rsidP="006632E3">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1</w:t>
            </w:r>
          </w:p>
        </w:tc>
        <w:tc>
          <w:tcPr>
            <w:tcW w:w="960" w:type="dxa"/>
            <w:shd w:val="clear" w:color="auto" w:fill="C4BC96" w:themeFill="background2" w:themeFillShade="BF"/>
            <w:noWrap/>
            <w:vAlign w:val="bottom"/>
            <w:hideMark/>
          </w:tcPr>
          <w:p w:rsidR="002138A9" w:rsidRPr="00E666DF" w:rsidRDefault="00FC5AA5" w:rsidP="006632E3">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932" w:type="dxa"/>
            <w:tcBorders>
              <w:right w:val="single" w:sz="4" w:space="0" w:color="auto"/>
            </w:tcBorders>
            <w:shd w:val="clear" w:color="auto" w:fill="C4BC96" w:themeFill="background2" w:themeFillShade="BF"/>
            <w:vAlign w:val="bottom"/>
          </w:tcPr>
          <w:p w:rsidR="002138A9" w:rsidRPr="00E666DF" w:rsidRDefault="00FC5AA5" w:rsidP="006632E3">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c>
          <w:tcPr>
            <w:tcW w:w="896" w:type="dxa"/>
            <w:tcBorders>
              <w:top w:val="nil"/>
              <w:left w:val="single" w:sz="4" w:space="0" w:color="auto"/>
              <w:bottom w:val="nil"/>
              <w:right w:val="single" w:sz="4" w:space="0" w:color="auto"/>
            </w:tcBorders>
            <w:shd w:val="clear" w:color="auto" w:fill="auto"/>
          </w:tcPr>
          <w:p w:rsidR="002138A9" w:rsidRPr="00E666DF" w:rsidRDefault="002138A9" w:rsidP="006632E3">
            <w:pPr>
              <w:spacing w:after="0"/>
              <w:jc w:val="left"/>
              <w:rPr>
                <w:rFonts w:ascii="Calibri" w:eastAsia="Times New Roman" w:hAnsi="Calibri" w:cs="Times New Roman"/>
                <w:b/>
                <w:bCs/>
                <w:color w:val="000000"/>
                <w:lang w:eastAsia="en-GB"/>
              </w:rPr>
            </w:pPr>
          </w:p>
        </w:tc>
        <w:tc>
          <w:tcPr>
            <w:tcW w:w="967" w:type="dxa"/>
            <w:tcBorders>
              <w:left w:val="single" w:sz="4" w:space="0" w:color="auto"/>
              <w:bottom w:val="single" w:sz="4" w:space="0" w:color="auto"/>
            </w:tcBorders>
            <w:shd w:val="clear" w:color="auto" w:fill="C4BC96" w:themeFill="background2" w:themeFillShade="BF"/>
            <w:vAlign w:val="bottom"/>
          </w:tcPr>
          <w:p w:rsidR="002138A9" w:rsidRPr="00E666DF" w:rsidRDefault="002138A9" w:rsidP="006632E3">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2</w:t>
            </w:r>
          </w:p>
        </w:tc>
        <w:tc>
          <w:tcPr>
            <w:tcW w:w="916" w:type="dxa"/>
            <w:tcBorders>
              <w:bottom w:val="single" w:sz="4" w:space="0" w:color="auto"/>
            </w:tcBorders>
            <w:shd w:val="clear" w:color="auto" w:fill="C4BC96" w:themeFill="background2" w:themeFillShade="BF"/>
            <w:vAlign w:val="bottom"/>
          </w:tcPr>
          <w:p w:rsidR="002138A9" w:rsidRPr="00E666DF" w:rsidRDefault="00FC5AA5" w:rsidP="006632E3">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913" w:type="dxa"/>
            <w:tcBorders>
              <w:bottom w:val="single" w:sz="4" w:space="0" w:color="auto"/>
            </w:tcBorders>
            <w:shd w:val="clear" w:color="auto" w:fill="C4BC96" w:themeFill="background2" w:themeFillShade="BF"/>
            <w:vAlign w:val="bottom"/>
          </w:tcPr>
          <w:p w:rsidR="002138A9" w:rsidRPr="00E666DF" w:rsidRDefault="00FC5AA5" w:rsidP="006632E3">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r>
      <w:tr w:rsidR="00276297" w:rsidRPr="00E666DF" w:rsidTr="002138A9">
        <w:trPr>
          <w:trHeight w:hRule="exact" w:val="284"/>
        </w:trPr>
        <w:tc>
          <w:tcPr>
            <w:tcW w:w="1181" w:type="dxa"/>
            <w:shd w:val="clear" w:color="auto" w:fill="auto"/>
            <w:noWrap/>
            <w:vAlign w:val="bottom"/>
            <w:hideMark/>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AT</w:t>
            </w:r>
          </w:p>
        </w:tc>
        <w:tc>
          <w:tcPr>
            <w:tcW w:w="960" w:type="dxa"/>
            <w:shd w:val="clear" w:color="auto" w:fill="auto"/>
            <w:noWrap/>
            <w:vAlign w:val="bottom"/>
          </w:tcPr>
          <w:p w:rsidR="00276297" w:rsidRDefault="00276297">
            <w:pPr>
              <w:jc w:val="right"/>
              <w:rPr>
                <w:rFonts w:ascii="Calibri" w:hAnsi="Calibri"/>
                <w:color w:val="000000"/>
              </w:rPr>
            </w:pPr>
            <w:r>
              <w:rPr>
                <w:rFonts w:ascii="Calibri" w:hAnsi="Calibri"/>
                <w:color w:val="000000"/>
              </w:rPr>
              <w:t>0.87</w:t>
            </w:r>
          </w:p>
        </w:tc>
        <w:tc>
          <w:tcPr>
            <w:tcW w:w="932" w:type="dxa"/>
            <w:tcBorders>
              <w:right w:val="single" w:sz="4" w:space="0" w:color="auto"/>
            </w:tcBorders>
            <w:vAlign w:val="bottom"/>
          </w:tcPr>
          <w:p w:rsidR="00276297" w:rsidRDefault="00276297">
            <w:pPr>
              <w:jc w:val="right"/>
              <w:rPr>
                <w:rFonts w:ascii="Calibri" w:hAnsi="Calibri"/>
                <w:color w:val="000000"/>
              </w:rPr>
            </w:pPr>
            <w:r>
              <w:rPr>
                <w:rFonts w:ascii="Calibri" w:hAnsi="Calibri"/>
                <w:color w:val="000000"/>
              </w:rPr>
              <w:t>-0.05</w:t>
            </w:r>
          </w:p>
        </w:tc>
        <w:tc>
          <w:tcPr>
            <w:tcW w:w="896" w:type="dxa"/>
            <w:tcBorders>
              <w:top w:val="nil"/>
              <w:left w:val="single" w:sz="4" w:space="0" w:color="auto"/>
              <w:bottom w:val="nil"/>
              <w:right w:val="single" w:sz="4" w:space="0" w:color="auto"/>
            </w:tcBorders>
            <w:shd w:val="clear" w:color="auto" w:fill="auto"/>
          </w:tcPr>
          <w:p w:rsidR="00276297" w:rsidRPr="0065310D" w:rsidRDefault="00276297"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BG</w:t>
            </w:r>
          </w:p>
        </w:tc>
        <w:tc>
          <w:tcPr>
            <w:tcW w:w="916" w:type="dxa"/>
            <w:vAlign w:val="bottom"/>
          </w:tcPr>
          <w:p w:rsidR="00276297" w:rsidRDefault="00276297">
            <w:pPr>
              <w:jc w:val="right"/>
              <w:rPr>
                <w:rFonts w:ascii="Calibri" w:hAnsi="Calibri"/>
                <w:color w:val="000000"/>
              </w:rPr>
            </w:pPr>
            <w:r>
              <w:rPr>
                <w:rFonts w:ascii="Calibri" w:hAnsi="Calibri"/>
                <w:color w:val="000000"/>
              </w:rPr>
              <w:t>9.57</w:t>
            </w:r>
          </w:p>
        </w:tc>
        <w:tc>
          <w:tcPr>
            <w:tcW w:w="913" w:type="dxa"/>
            <w:vAlign w:val="bottom"/>
          </w:tcPr>
          <w:p w:rsidR="00276297" w:rsidRDefault="00276297">
            <w:pPr>
              <w:jc w:val="right"/>
              <w:rPr>
                <w:rFonts w:ascii="Calibri" w:hAnsi="Calibri"/>
                <w:color w:val="000000"/>
              </w:rPr>
            </w:pPr>
            <w:r>
              <w:rPr>
                <w:rFonts w:ascii="Calibri" w:hAnsi="Calibri"/>
                <w:color w:val="000000"/>
              </w:rPr>
              <w:t>0.01</w:t>
            </w:r>
          </w:p>
        </w:tc>
      </w:tr>
      <w:tr w:rsidR="00276297" w:rsidRPr="00E666DF" w:rsidTr="002138A9">
        <w:trPr>
          <w:trHeight w:hRule="exact" w:val="284"/>
        </w:trPr>
        <w:tc>
          <w:tcPr>
            <w:tcW w:w="1181" w:type="dxa"/>
            <w:shd w:val="clear" w:color="auto" w:fill="auto"/>
            <w:noWrap/>
            <w:vAlign w:val="bottom"/>
            <w:hideMark/>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BE</w:t>
            </w:r>
          </w:p>
        </w:tc>
        <w:tc>
          <w:tcPr>
            <w:tcW w:w="960" w:type="dxa"/>
            <w:shd w:val="clear" w:color="auto" w:fill="auto"/>
            <w:noWrap/>
            <w:vAlign w:val="bottom"/>
          </w:tcPr>
          <w:p w:rsidR="00276297" w:rsidRDefault="00276297">
            <w:pPr>
              <w:jc w:val="right"/>
              <w:rPr>
                <w:rFonts w:ascii="Calibri" w:hAnsi="Calibri"/>
                <w:color w:val="000000"/>
              </w:rPr>
            </w:pPr>
            <w:r>
              <w:rPr>
                <w:rFonts w:ascii="Calibri" w:hAnsi="Calibri"/>
                <w:color w:val="000000"/>
              </w:rPr>
              <w:t>1.35</w:t>
            </w:r>
          </w:p>
        </w:tc>
        <w:tc>
          <w:tcPr>
            <w:tcW w:w="932" w:type="dxa"/>
            <w:tcBorders>
              <w:right w:val="single" w:sz="4" w:space="0" w:color="auto"/>
            </w:tcBorders>
            <w:vAlign w:val="bottom"/>
          </w:tcPr>
          <w:p w:rsidR="00276297" w:rsidRDefault="00276297">
            <w:pPr>
              <w:jc w:val="right"/>
              <w:rPr>
                <w:rFonts w:ascii="Calibri" w:hAnsi="Calibri"/>
                <w:color w:val="000000"/>
              </w:rPr>
            </w:pPr>
            <w:r>
              <w:rPr>
                <w:rFonts w:ascii="Calibri" w:hAnsi="Calibri"/>
                <w:color w:val="000000"/>
              </w:rPr>
              <w:t>0.00</w:t>
            </w:r>
          </w:p>
        </w:tc>
        <w:tc>
          <w:tcPr>
            <w:tcW w:w="896" w:type="dxa"/>
            <w:tcBorders>
              <w:top w:val="nil"/>
              <w:left w:val="single" w:sz="4" w:space="0" w:color="auto"/>
              <w:bottom w:val="nil"/>
              <w:right w:val="single" w:sz="4" w:space="0" w:color="auto"/>
            </w:tcBorders>
            <w:shd w:val="clear" w:color="auto" w:fill="auto"/>
          </w:tcPr>
          <w:p w:rsidR="00276297" w:rsidRPr="0065310D" w:rsidRDefault="00276297"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CZ</w:t>
            </w:r>
          </w:p>
        </w:tc>
        <w:tc>
          <w:tcPr>
            <w:tcW w:w="916" w:type="dxa"/>
            <w:vAlign w:val="bottom"/>
          </w:tcPr>
          <w:p w:rsidR="00276297" w:rsidRDefault="00276297">
            <w:pPr>
              <w:jc w:val="right"/>
              <w:rPr>
                <w:rFonts w:ascii="Calibri" w:hAnsi="Calibri"/>
                <w:color w:val="000000"/>
              </w:rPr>
            </w:pPr>
            <w:r>
              <w:rPr>
                <w:rFonts w:ascii="Calibri" w:hAnsi="Calibri"/>
                <w:color w:val="000000"/>
              </w:rPr>
              <w:t>17.06</w:t>
            </w:r>
          </w:p>
        </w:tc>
        <w:tc>
          <w:tcPr>
            <w:tcW w:w="913" w:type="dxa"/>
            <w:vAlign w:val="bottom"/>
          </w:tcPr>
          <w:p w:rsidR="00276297" w:rsidRDefault="00276297">
            <w:pPr>
              <w:jc w:val="right"/>
              <w:rPr>
                <w:rFonts w:ascii="Calibri" w:hAnsi="Calibri"/>
                <w:color w:val="000000"/>
              </w:rPr>
            </w:pPr>
            <w:r>
              <w:rPr>
                <w:rFonts w:ascii="Calibri" w:hAnsi="Calibri"/>
                <w:color w:val="000000"/>
              </w:rPr>
              <w:t>0.22</w:t>
            </w:r>
          </w:p>
        </w:tc>
      </w:tr>
      <w:tr w:rsidR="00276297" w:rsidRPr="00E666DF" w:rsidTr="002138A9">
        <w:trPr>
          <w:trHeight w:hRule="exact" w:val="284"/>
        </w:trPr>
        <w:tc>
          <w:tcPr>
            <w:tcW w:w="1181" w:type="dxa"/>
            <w:shd w:val="clear" w:color="auto" w:fill="auto"/>
            <w:noWrap/>
            <w:vAlign w:val="bottom"/>
            <w:hideMark/>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CY</w:t>
            </w:r>
          </w:p>
        </w:tc>
        <w:tc>
          <w:tcPr>
            <w:tcW w:w="960" w:type="dxa"/>
            <w:shd w:val="clear" w:color="auto" w:fill="auto"/>
            <w:noWrap/>
            <w:vAlign w:val="bottom"/>
          </w:tcPr>
          <w:p w:rsidR="00276297" w:rsidRDefault="00276297">
            <w:pPr>
              <w:jc w:val="right"/>
              <w:rPr>
                <w:rFonts w:ascii="Calibri" w:hAnsi="Calibri"/>
                <w:color w:val="000000"/>
              </w:rPr>
            </w:pPr>
            <w:r>
              <w:rPr>
                <w:rFonts w:ascii="Calibri" w:hAnsi="Calibri"/>
                <w:color w:val="000000"/>
              </w:rPr>
              <w:t>1.19</w:t>
            </w:r>
          </w:p>
        </w:tc>
        <w:tc>
          <w:tcPr>
            <w:tcW w:w="932" w:type="dxa"/>
            <w:tcBorders>
              <w:right w:val="single" w:sz="4" w:space="0" w:color="auto"/>
            </w:tcBorders>
            <w:vAlign w:val="bottom"/>
          </w:tcPr>
          <w:p w:rsidR="00276297" w:rsidRDefault="00276297">
            <w:pPr>
              <w:jc w:val="right"/>
              <w:rPr>
                <w:rFonts w:ascii="Calibri" w:hAnsi="Calibri"/>
                <w:color w:val="000000"/>
              </w:rPr>
            </w:pPr>
            <w:r>
              <w:rPr>
                <w:rFonts w:ascii="Calibri" w:hAnsi="Calibri"/>
                <w:color w:val="000000"/>
              </w:rPr>
              <w:t>-0.03</w:t>
            </w:r>
          </w:p>
        </w:tc>
        <w:tc>
          <w:tcPr>
            <w:tcW w:w="896" w:type="dxa"/>
            <w:tcBorders>
              <w:top w:val="nil"/>
              <w:left w:val="single" w:sz="4" w:space="0" w:color="auto"/>
              <w:bottom w:val="nil"/>
              <w:right w:val="single" w:sz="4" w:space="0" w:color="auto"/>
            </w:tcBorders>
            <w:shd w:val="clear" w:color="auto" w:fill="auto"/>
          </w:tcPr>
          <w:p w:rsidR="00276297" w:rsidRPr="0065310D" w:rsidRDefault="00276297"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EE</w:t>
            </w:r>
          </w:p>
        </w:tc>
        <w:tc>
          <w:tcPr>
            <w:tcW w:w="916" w:type="dxa"/>
            <w:vAlign w:val="bottom"/>
          </w:tcPr>
          <w:p w:rsidR="00276297" w:rsidRDefault="00276297">
            <w:pPr>
              <w:jc w:val="right"/>
              <w:rPr>
                <w:rFonts w:ascii="Calibri" w:hAnsi="Calibri"/>
                <w:color w:val="000000"/>
              </w:rPr>
            </w:pPr>
            <w:r>
              <w:rPr>
                <w:rFonts w:ascii="Calibri" w:hAnsi="Calibri"/>
                <w:color w:val="000000"/>
              </w:rPr>
              <w:t>5.04</w:t>
            </w:r>
          </w:p>
        </w:tc>
        <w:tc>
          <w:tcPr>
            <w:tcW w:w="913" w:type="dxa"/>
            <w:vAlign w:val="bottom"/>
          </w:tcPr>
          <w:p w:rsidR="00276297" w:rsidRDefault="00276297">
            <w:pPr>
              <w:jc w:val="right"/>
              <w:rPr>
                <w:rFonts w:ascii="Calibri" w:hAnsi="Calibri"/>
                <w:color w:val="000000"/>
              </w:rPr>
            </w:pPr>
            <w:r>
              <w:rPr>
                <w:rFonts w:ascii="Calibri" w:hAnsi="Calibri"/>
                <w:color w:val="000000"/>
              </w:rPr>
              <w:t>0.00</w:t>
            </w:r>
          </w:p>
        </w:tc>
      </w:tr>
      <w:tr w:rsidR="00276297" w:rsidRPr="00E666DF" w:rsidTr="002138A9">
        <w:trPr>
          <w:trHeight w:hRule="exact" w:val="284"/>
        </w:trPr>
        <w:tc>
          <w:tcPr>
            <w:tcW w:w="1181" w:type="dxa"/>
            <w:shd w:val="clear" w:color="auto" w:fill="auto"/>
            <w:noWrap/>
            <w:vAlign w:val="bottom"/>
            <w:hideMark/>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DE</w:t>
            </w:r>
          </w:p>
        </w:tc>
        <w:tc>
          <w:tcPr>
            <w:tcW w:w="960" w:type="dxa"/>
            <w:shd w:val="clear" w:color="auto" w:fill="auto"/>
            <w:noWrap/>
            <w:vAlign w:val="bottom"/>
          </w:tcPr>
          <w:p w:rsidR="00276297" w:rsidRDefault="00276297">
            <w:pPr>
              <w:jc w:val="right"/>
              <w:rPr>
                <w:rFonts w:ascii="Calibri" w:hAnsi="Calibri"/>
                <w:color w:val="000000"/>
              </w:rPr>
            </w:pPr>
            <w:r>
              <w:rPr>
                <w:rFonts w:ascii="Calibri" w:hAnsi="Calibri"/>
                <w:color w:val="000000"/>
              </w:rPr>
              <w:t>2.11</w:t>
            </w:r>
          </w:p>
        </w:tc>
        <w:tc>
          <w:tcPr>
            <w:tcW w:w="932" w:type="dxa"/>
            <w:tcBorders>
              <w:right w:val="single" w:sz="4" w:space="0" w:color="auto"/>
            </w:tcBorders>
            <w:vAlign w:val="bottom"/>
          </w:tcPr>
          <w:p w:rsidR="00276297" w:rsidRDefault="00276297">
            <w:pPr>
              <w:jc w:val="right"/>
              <w:rPr>
                <w:rFonts w:ascii="Calibri" w:hAnsi="Calibri"/>
                <w:color w:val="000000"/>
              </w:rPr>
            </w:pPr>
            <w:r>
              <w:rPr>
                <w:rFonts w:ascii="Calibri" w:hAnsi="Calibri"/>
                <w:color w:val="000000"/>
              </w:rPr>
              <w:t>-0.02</w:t>
            </w:r>
          </w:p>
        </w:tc>
        <w:tc>
          <w:tcPr>
            <w:tcW w:w="896" w:type="dxa"/>
            <w:tcBorders>
              <w:top w:val="nil"/>
              <w:left w:val="single" w:sz="4" w:space="0" w:color="auto"/>
              <w:bottom w:val="nil"/>
              <w:right w:val="single" w:sz="4" w:space="0" w:color="auto"/>
            </w:tcBorders>
            <w:shd w:val="clear" w:color="auto" w:fill="auto"/>
          </w:tcPr>
          <w:p w:rsidR="00276297" w:rsidRPr="0065310D" w:rsidRDefault="00276297"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HU</w:t>
            </w:r>
          </w:p>
        </w:tc>
        <w:tc>
          <w:tcPr>
            <w:tcW w:w="916" w:type="dxa"/>
            <w:vAlign w:val="bottom"/>
          </w:tcPr>
          <w:p w:rsidR="00276297" w:rsidRDefault="00276297">
            <w:pPr>
              <w:jc w:val="right"/>
              <w:rPr>
                <w:rFonts w:ascii="Calibri" w:hAnsi="Calibri"/>
                <w:color w:val="000000"/>
              </w:rPr>
            </w:pPr>
            <w:r>
              <w:rPr>
                <w:rFonts w:ascii="Calibri" w:hAnsi="Calibri"/>
                <w:color w:val="000000"/>
              </w:rPr>
              <w:t>7.94</w:t>
            </w:r>
          </w:p>
        </w:tc>
        <w:tc>
          <w:tcPr>
            <w:tcW w:w="913" w:type="dxa"/>
            <w:vAlign w:val="bottom"/>
          </w:tcPr>
          <w:p w:rsidR="00276297" w:rsidRDefault="00276297">
            <w:pPr>
              <w:jc w:val="right"/>
              <w:rPr>
                <w:rFonts w:ascii="Calibri" w:hAnsi="Calibri"/>
                <w:color w:val="000000"/>
              </w:rPr>
            </w:pPr>
            <w:r>
              <w:rPr>
                <w:rFonts w:ascii="Calibri" w:hAnsi="Calibri"/>
                <w:color w:val="000000"/>
              </w:rPr>
              <w:t>0.01</w:t>
            </w:r>
          </w:p>
        </w:tc>
      </w:tr>
      <w:tr w:rsidR="00276297" w:rsidRPr="00E666DF" w:rsidTr="002138A9">
        <w:trPr>
          <w:trHeight w:hRule="exact" w:val="284"/>
        </w:trPr>
        <w:tc>
          <w:tcPr>
            <w:tcW w:w="1181" w:type="dxa"/>
            <w:shd w:val="clear" w:color="auto" w:fill="auto"/>
            <w:noWrap/>
            <w:vAlign w:val="bottom"/>
            <w:hideMark/>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DK</w:t>
            </w:r>
          </w:p>
        </w:tc>
        <w:tc>
          <w:tcPr>
            <w:tcW w:w="960" w:type="dxa"/>
            <w:shd w:val="clear" w:color="auto" w:fill="auto"/>
            <w:noWrap/>
            <w:vAlign w:val="bottom"/>
          </w:tcPr>
          <w:p w:rsidR="00276297" w:rsidRDefault="00276297">
            <w:pPr>
              <w:jc w:val="right"/>
              <w:rPr>
                <w:rFonts w:ascii="Calibri" w:hAnsi="Calibri"/>
                <w:color w:val="000000"/>
              </w:rPr>
            </w:pPr>
            <w:r>
              <w:rPr>
                <w:rFonts w:ascii="Calibri" w:hAnsi="Calibri"/>
                <w:color w:val="000000"/>
              </w:rPr>
              <w:t>1.69</w:t>
            </w:r>
          </w:p>
        </w:tc>
        <w:tc>
          <w:tcPr>
            <w:tcW w:w="932" w:type="dxa"/>
            <w:tcBorders>
              <w:right w:val="single" w:sz="4" w:space="0" w:color="auto"/>
            </w:tcBorders>
            <w:vAlign w:val="bottom"/>
          </w:tcPr>
          <w:p w:rsidR="00276297" w:rsidRDefault="00276297">
            <w:pPr>
              <w:jc w:val="right"/>
              <w:rPr>
                <w:rFonts w:ascii="Calibri" w:hAnsi="Calibri"/>
                <w:color w:val="000000"/>
              </w:rPr>
            </w:pPr>
            <w:r>
              <w:rPr>
                <w:rFonts w:ascii="Calibri" w:hAnsi="Calibri"/>
                <w:color w:val="000000"/>
              </w:rPr>
              <w:t>-0.10</w:t>
            </w:r>
          </w:p>
        </w:tc>
        <w:tc>
          <w:tcPr>
            <w:tcW w:w="896" w:type="dxa"/>
            <w:tcBorders>
              <w:top w:val="nil"/>
              <w:left w:val="single" w:sz="4" w:space="0" w:color="auto"/>
              <w:bottom w:val="nil"/>
              <w:right w:val="single" w:sz="4" w:space="0" w:color="auto"/>
            </w:tcBorders>
            <w:shd w:val="clear" w:color="auto" w:fill="auto"/>
          </w:tcPr>
          <w:p w:rsidR="00276297" w:rsidRPr="0065310D" w:rsidRDefault="00276297"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LV</w:t>
            </w:r>
          </w:p>
        </w:tc>
        <w:tc>
          <w:tcPr>
            <w:tcW w:w="916" w:type="dxa"/>
            <w:vAlign w:val="bottom"/>
          </w:tcPr>
          <w:p w:rsidR="00276297" w:rsidRDefault="00276297">
            <w:pPr>
              <w:jc w:val="right"/>
              <w:rPr>
                <w:rFonts w:ascii="Calibri" w:hAnsi="Calibri"/>
                <w:color w:val="000000"/>
              </w:rPr>
            </w:pPr>
            <w:r>
              <w:rPr>
                <w:rFonts w:ascii="Calibri" w:hAnsi="Calibri"/>
                <w:color w:val="000000"/>
              </w:rPr>
              <w:t>0.11</w:t>
            </w:r>
          </w:p>
        </w:tc>
        <w:tc>
          <w:tcPr>
            <w:tcW w:w="913" w:type="dxa"/>
            <w:vAlign w:val="bottom"/>
          </w:tcPr>
          <w:p w:rsidR="00276297" w:rsidRDefault="00276297" w:rsidP="006632E3">
            <w:pPr>
              <w:jc w:val="right"/>
              <w:rPr>
                <w:rFonts w:ascii="Calibri" w:hAnsi="Calibri"/>
                <w:color w:val="000000"/>
              </w:rPr>
            </w:pPr>
            <w:r>
              <w:rPr>
                <w:rFonts w:ascii="Calibri" w:hAnsi="Calibri"/>
                <w:color w:val="000000"/>
              </w:rPr>
              <w:t>-0.06</w:t>
            </w:r>
          </w:p>
        </w:tc>
      </w:tr>
      <w:tr w:rsidR="00276297" w:rsidRPr="00E666DF" w:rsidTr="002138A9">
        <w:trPr>
          <w:trHeight w:hRule="exact" w:val="284"/>
        </w:trPr>
        <w:tc>
          <w:tcPr>
            <w:tcW w:w="1181" w:type="dxa"/>
            <w:shd w:val="clear" w:color="auto" w:fill="auto"/>
            <w:noWrap/>
            <w:vAlign w:val="bottom"/>
            <w:hideMark/>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ES</w:t>
            </w:r>
          </w:p>
        </w:tc>
        <w:tc>
          <w:tcPr>
            <w:tcW w:w="960" w:type="dxa"/>
            <w:shd w:val="clear" w:color="auto" w:fill="auto"/>
            <w:noWrap/>
            <w:vAlign w:val="bottom"/>
          </w:tcPr>
          <w:p w:rsidR="00276297" w:rsidRDefault="00276297">
            <w:pPr>
              <w:jc w:val="right"/>
              <w:rPr>
                <w:rFonts w:ascii="Calibri" w:hAnsi="Calibri"/>
                <w:color w:val="000000"/>
              </w:rPr>
            </w:pPr>
            <w:r>
              <w:rPr>
                <w:rFonts w:ascii="Calibri" w:hAnsi="Calibri"/>
                <w:color w:val="000000"/>
              </w:rPr>
              <w:t>1.32</w:t>
            </w:r>
          </w:p>
        </w:tc>
        <w:tc>
          <w:tcPr>
            <w:tcW w:w="932" w:type="dxa"/>
            <w:tcBorders>
              <w:right w:val="single" w:sz="4" w:space="0" w:color="auto"/>
            </w:tcBorders>
            <w:vAlign w:val="bottom"/>
          </w:tcPr>
          <w:p w:rsidR="00276297" w:rsidRDefault="00276297">
            <w:pPr>
              <w:jc w:val="right"/>
              <w:rPr>
                <w:rFonts w:ascii="Calibri" w:hAnsi="Calibri"/>
                <w:color w:val="000000"/>
              </w:rPr>
            </w:pPr>
            <w:r>
              <w:rPr>
                <w:rFonts w:ascii="Calibri" w:hAnsi="Calibri"/>
                <w:color w:val="000000"/>
              </w:rPr>
              <w:t>-0.03</w:t>
            </w:r>
          </w:p>
        </w:tc>
        <w:tc>
          <w:tcPr>
            <w:tcW w:w="896" w:type="dxa"/>
            <w:tcBorders>
              <w:top w:val="nil"/>
              <w:left w:val="single" w:sz="4" w:space="0" w:color="auto"/>
              <w:bottom w:val="nil"/>
              <w:right w:val="single" w:sz="4" w:space="0" w:color="auto"/>
            </w:tcBorders>
            <w:shd w:val="clear" w:color="auto" w:fill="auto"/>
          </w:tcPr>
          <w:p w:rsidR="00276297" w:rsidRPr="0065310D" w:rsidRDefault="00276297"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PL</w:t>
            </w:r>
          </w:p>
        </w:tc>
        <w:tc>
          <w:tcPr>
            <w:tcW w:w="916" w:type="dxa"/>
            <w:vAlign w:val="bottom"/>
          </w:tcPr>
          <w:p w:rsidR="00276297" w:rsidRDefault="00276297">
            <w:pPr>
              <w:jc w:val="right"/>
              <w:rPr>
                <w:rFonts w:ascii="Calibri" w:hAnsi="Calibri"/>
                <w:color w:val="000000"/>
              </w:rPr>
            </w:pPr>
            <w:r>
              <w:rPr>
                <w:rFonts w:ascii="Calibri" w:hAnsi="Calibri"/>
                <w:color w:val="000000"/>
              </w:rPr>
              <w:t>7.52</w:t>
            </w:r>
          </w:p>
        </w:tc>
        <w:tc>
          <w:tcPr>
            <w:tcW w:w="913" w:type="dxa"/>
            <w:vAlign w:val="bottom"/>
          </w:tcPr>
          <w:p w:rsidR="00276297" w:rsidRDefault="00276297" w:rsidP="006632E3">
            <w:pPr>
              <w:jc w:val="right"/>
              <w:rPr>
                <w:rFonts w:ascii="Calibri" w:hAnsi="Calibri"/>
                <w:color w:val="000000"/>
              </w:rPr>
            </w:pPr>
            <w:r>
              <w:rPr>
                <w:rFonts w:ascii="Calibri" w:hAnsi="Calibri"/>
                <w:color w:val="000000"/>
              </w:rPr>
              <w:t>-0.09</w:t>
            </w:r>
          </w:p>
        </w:tc>
      </w:tr>
      <w:tr w:rsidR="00276297" w:rsidRPr="00E666DF" w:rsidTr="002138A9">
        <w:trPr>
          <w:trHeight w:hRule="exact" w:val="284"/>
        </w:trPr>
        <w:tc>
          <w:tcPr>
            <w:tcW w:w="1181" w:type="dxa"/>
            <w:shd w:val="clear" w:color="auto" w:fill="auto"/>
            <w:noWrap/>
            <w:vAlign w:val="bottom"/>
            <w:hideMark/>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FI</w:t>
            </w:r>
          </w:p>
        </w:tc>
        <w:tc>
          <w:tcPr>
            <w:tcW w:w="960" w:type="dxa"/>
            <w:shd w:val="clear" w:color="auto" w:fill="auto"/>
            <w:noWrap/>
            <w:vAlign w:val="bottom"/>
          </w:tcPr>
          <w:p w:rsidR="00276297" w:rsidRDefault="00276297">
            <w:pPr>
              <w:jc w:val="right"/>
              <w:rPr>
                <w:rFonts w:ascii="Calibri" w:hAnsi="Calibri"/>
                <w:color w:val="000000"/>
              </w:rPr>
            </w:pPr>
            <w:r>
              <w:rPr>
                <w:rFonts w:ascii="Calibri" w:hAnsi="Calibri"/>
                <w:color w:val="000000"/>
              </w:rPr>
              <w:t>1.90</w:t>
            </w:r>
          </w:p>
        </w:tc>
        <w:tc>
          <w:tcPr>
            <w:tcW w:w="932" w:type="dxa"/>
            <w:tcBorders>
              <w:right w:val="single" w:sz="4" w:space="0" w:color="auto"/>
            </w:tcBorders>
            <w:vAlign w:val="bottom"/>
          </w:tcPr>
          <w:p w:rsidR="00276297" w:rsidRDefault="00276297">
            <w:pPr>
              <w:jc w:val="right"/>
              <w:rPr>
                <w:rFonts w:ascii="Calibri" w:hAnsi="Calibri"/>
                <w:color w:val="000000"/>
              </w:rPr>
            </w:pPr>
            <w:r>
              <w:rPr>
                <w:rFonts w:ascii="Calibri" w:hAnsi="Calibri"/>
                <w:color w:val="000000"/>
              </w:rPr>
              <w:t>-0.03</w:t>
            </w:r>
          </w:p>
        </w:tc>
        <w:tc>
          <w:tcPr>
            <w:tcW w:w="896" w:type="dxa"/>
            <w:tcBorders>
              <w:top w:val="nil"/>
              <w:left w:val="single" w:sz="4" w:space="0" w:color="auto"/>
              <w:bottom w:val="nil"/>
              <w:right w:val="single" w:sz="4" w:space="0" w:color="auto"/>
            </w:tcBorders>
            <w:shd w:val="clear" w:color="auto" w:fill="auto"/>
          </w:tcPr>
          <w:p w:rsidR="00276297" w:rsidRPr="0065310D" w:rsidRDefault="00276297"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76297" w:rsidRPr="00E666DF" w:rsidRDefault="00276297"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RO</w:t>
            </w:r>
          </w:p>
        </w:tc>
        <w:tc>
          <w:tcPr>
            <w:tcW w:w="916" w:type="dxa"/>
            <w:vAlign w:val="bottom"/>
          </w:tcPr>
          <w:p w:rsidR="00276297" w:rsidRDefault="00276297">
            <w:pPr>
              <w:jc w:val="right"/>
              <w:rPr>
                <w:rFonts w:ascii="Calibri" w:hAnsi="Calibri"/>
                <w:color w:val="000000"/>
              </w:rPr>
            </w:pPr>
            <w:r>
              <w:rPr>
                <w:rFonts w:ascii="Calibri" w:hAnsi="Calibri"/>
                <w:color w:val="000000"/>
              </w:rPr>
              <w:t>0.64</w:t>
            </w:r>
          </w:p>
        </w:tc>
        <w:tc>
          <w:tcPr>
            <w:tcW w:w="913" w:type="dxa"/>
            <w:vAlign w:val="bottom"/>
          </w:tcPr>
          <w:p w:rsidR="00276297" w:rsidRPr="002138A9" w:rsidRDefault="00276297" w:rsidP="006632E3">
            <w:pPr>
              <w:jc w:val="right"/>
              <w:rPr>
                <w:rFonts w:ascii="Calibri" w:hAnsi="Calibri"/>
                <w:bCs/>
                <w:color w:val="000000"/>
              </w:rPr>
            </w:pPr>
            <w:r w:rsidRPr="002138A9">
              <w:rPr>
                <w:rFonts w:ascii="Calibri" w:hAnsi="Calibri"/>
                <w:bCs/>
                <w:color w:val="000000"/>
              </w:rPr>
              <w:t>0.01</w:t>
            </w: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FR</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1.31</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-0.37</w:t>
            </w:r>
          </w:p>
        </w:tc>
        <w:tc>
          <w:tcPr>
            <w:tcW w:w="896" w:type="dxa"/>
            <w:tcBorders>
              <w:top w:val="nil"/>
              <w:left w:val="single" w:sz="4" w:space="0" w:color="auto"/>
              <w:bottom w:val="nil"/>
              <w:right w:val="single" w:sz="4" w:space="0" w:color="auto"/>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SK</w:t>
            </w:r>
          </w:p>
        </w:tc>
        <w:tc>
          <w:tcPr>
            <w:tcW w:w="916" w:type="dxa"/>
            <w:vAlign w:val="bottom"/>
          </w:tcPr>
          <w:p w:rsidR="002138A9" w:rsidRPr="00E666DF" w:rsidRDefault="00276297" w:rsidP="006632E3">
            <w:pPr>
              <w:spacing w:after="0"/>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1.78</w:t>
            </w:r>
          </w:p>
        </w:tc>
        <w:tc>
          <w:tcPr>
            <w:tcW w:w="913" w:type="dxa"/>
            <w:vAlign w:val="bottom"/>
          </w:tcPr>
          <w:p w:rsidR="002138A9" w:rsidRDefault="002138A9" w:rsidP="006632E3">
            <w:pPr>
              <w:jc w:val="right"/>
              <w:rPr>
                <w:rFonts w:ascii="Calibri" w:hAnsi="Calibri"/>
                <w:color w:val="000000"/>
              </w:rPr>
            </w:pPr>
            <w:r>
              <w:rPr>
                <w:rFonts w:ascii="Calibri" w:hAnsi="Calibri"/>
                <w:color w:val="000000"/>
              </w:rPr>
              <w:t>0.01</w:t>
            </w: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GR</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5.42</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0.08</w:t>
            </w:r>
          </w:p>
        </w:tc>
        <w:tc>
          <w:tcPr>
            <w:tcW w:w="896" w:type="dxa"/>
            <w:tcBorders>
              <w:top w:val="nil"/>
              <w:left w:val="single" w:sz="4" w:space="0" w:color="auto"/>
              <w:bottom w:val="nil"/>
              <w:right w:val="single" w:sz="4" w:space="0" w:color="auto"/>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left w:val="single" w:sz="4" w:space="0" w:color="auto"/>
              <w:bottom w:val="single" w:sz="4" w:space="0" w:color="auto"/>
            </w:tcBorders>
            <w:vAlign w:val="bottom"/>
          </w:tcPr>
          <w:p w:rsidR="002138A9" w:rsidRPr="00E666DF" w:rsidRDefault="002138A9" w:rsidP="006632E3">
            <w:pPr>
              <w:spacing w:after="0"/>
              <w:jc w:val="lef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Average</w:t>
            </w:r>
          </w:p>
        </w:tc>
        <w:tc>
          <w:tcPr>
            <w:tcW w:w="916" w:type="dxa"/>
            <w:tcBorders>
              <w:bottom w:val="single" w:sz="4" w:space="0" w:color="auto"/>
            </w:tcBorders>
            <w:vAlign w:val="bottom"/>
          </w:tcPr>
          <w:p w:rsidR="002138A9" w:rsidRPr="00E666DF" w:rsidRDefault="00276297" w:rsidP="006632E3">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6.21</w:t>
            </w:r>
          </w:p>
        </w:tc>
        <w:tc>
          <w:tcPr>
            <w:tcW w:w="913" w:type="dxa"/>
            <w:tcBorders>
              <w:bottom w:val="single" w:sz="4" w:space="0" w:color="auto"/>
            </w:tcBorders>
            <w:vAlign w:val="bottom"/>
          </w:tcPr>
          <w:p w:rsidR="002138A9" w:rsidRPr="00614941" w:rsidRDefault="002138A9" w:rsidP="006632E3">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-0.03</w:t>
            </w: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IT</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-0.09</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0.06</w:t>
            </w:r>
          </w:p>
        </w:tc>
        <w:tc>
          <w:tcPr>
            <w:tcW w:w="896" w:type="dxa"/>
            <w:tcBorders>
              <w:top w:val="nil"/>
              <w:left w:val="single" w:sz="4" w:space="0" w:color="auto"/>
              <w:bottom w:val="nil"/>
              <w:right w:val="nil"/>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top w:val="single" w:sz="4" w:space="0" w:color="auto"/>
              <w:left w:val="nil"/>
              <w:bottom w:val="nil"/>
              <w:right w:val="nil"/>
            </w:tcBorders>
            <w:vAlign w:val="bottom"/>
          </w:tcPr>
          <w:p w:rsidR="002138A9" w:rsidRPr="00E666DF" w:rsidRDefault="002138A9" w:rsidP="006632E3">
            <w:pPr>
              <w:spacing w:after="0"/>
              <w:jc w:val="left"/>
              <w:rPr>
                <w:rFonts w:ascii="Calibri" w:eastAsia="Times New Roman" w:hAnsi="Calibri" w:cs="Times New Roman"/>
                <w:b/>
                <w:bCs/>
                <w:color w:val="000000"/>
                <w:lang w:eastAsia="en-GB"/>
              </w:rPr>
            </w:pPr>
          </w:p>
        </w:tc>
        <w:tc>
          <w:tcPr>
            <w:tcW w:w="916" w:type="dxa"/>
            <w:tcBorders>
              <w:top w:val="single" w:sz="4" w:space="0" w:color="auto"/>
              <w:left w:val="nil"/>
              <w:bottom w:val="nil"/>
              <w:right w:val="nil"/>
            </w:tcBorders>
            <w:vAlign w:val="bottom"/>
          </w:tcPr>
          <w:p w:rsidR="002138A9" w:rsidRPr="00E666DF" w:rsidRDefault="002138A9" w:rsidP="006632E3">
            <w:pPr>
              <w:spacing w:after="0"/>
              <w:jc w:val="right"/>
              <w:rPr>
                <w:rFonts w:ascii="Calibri" w:eastAsia="Times New Roman" w:hAnsi="Calibri" w:cs="Times New Roman"/>
                <w:b/>
                <w:bCs/>
                <w:color w:val="000000"/>
                <w:lang w:eastAsia="en-GB"/>
              </w:rPr>
            </w:pPr>
          </w:p>
        </w:tc>
        <w:tc>
          <w:tcPr>
            <w:tcW w:w="913" w:type="dxa"/>
            <w:tcBorders>
              <w:top w:val="single" w:sz="4" w:space="0" w:color="auto"/>
              <w:left w:val="nil"/>
              <w:bottom w:val="nil"/>
              <w:right w:val="nil"/>
            </w:tcBorders>
            <w:vAlign w:val="bottom"/>
          </w:tcPr>
          <w:p w:rsidR="002138A9" w:rsidRPr="00614941" w:rsidRDefault="002138A9" w:rsidP="006632E3">
            <w:pPr>
              <w:spacing w:after="0"/>
              <w:jc w:val="right"/>
              <w:rPr>
                <w:rFonts w:ascii="Calibri" w:eastAsia="Times New Roman" w:hAnsi="Calibri" w:cs="Times New Roman"/>
                <w:b/>
                <w:bCs/>
                <w:color w:val="000000"/>
                <w:lang w:eastAsia="en-GB"/>
              </w:rPr>
            </w:pP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MT</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0.23</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-0.13</w:t>
            </w:r>
          </w:p>
        </w:tc>
        <w:tc>
          <w:tcPr>
            <w:tcW w:w="896" w:type="dxa"/>
            <w:tcBorders>
              <w:top w:val="nil"/>
              <w:left w:val="single" w:sz="4" w:space="0" w:color="auto"/>
              <w:bottom w:val="nil"/>
              <w:right w:val="nil"/>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2138A9" w:rsidRPr="00E666DF" w:rsidRDefault="002138A9" w:rsidP="006632E3">
            <w:pPr>
              <w:spacing w:after="0"/>
              <w:jc w:val="left"/>
              <w:rPr>
                <w:rFonts w:ascii="Calibri" w:eastAsia="Times New Roman" w:hAnsi="Calibri" w:cs="Times New Roman"/>
                <w:b/>
                <w:bCs/>
                <w:color w:val="000000"/>
                <w:lang w:eastAsia="en-GB"/>
              </w:rPr>
            </w:pPr>
          </w:p>
        </w:tc>
        <w:tc>
          <w:tcPr>
            <w:tcW w:w="916" w:type="dxa"/>
            <w:tcBorders>
              <w:top w:val="nil"/>
              <w:left w:val="nil"/>
              <w:bottom w:val="nil"/>
              <w:right w:val="nil"/>
            </w:tcBorders>
            <w:vAlign w:val="bottom"/>
          </w:tcPr>
          <w:p w:rsidR="002138A9" w:rsidRPr="00E666DF" w:rsidRDefault="002138A9" w:rsidP="006632E3">
            <w:pPr>
              <w:spacing w:after="0"/>
              <w:jc w:val="left"/>
              <w:rPr>
                <w:rFonts w:ascii="Calibri" w:eastAsia="Times New Roman" w:hAnsi="Calibri" w:cs="Times New Roman"/>
                <w:b/>
                <w:bCs/>
                <w:color w:val="000000"/>
                <w:lang w:eastAsia="en-GB"/>
              </w:rPr>
            </w:pPr>
          </w:p>
        </w:tc>
        <w:tc>
          <w:tcPr>
            <w:tcW w:w="913" w:type="dxa"/>
            <w:tcBorders>
              <w:top w:val="nil"/>
              <w:left w:val="nil"/>
              <w:bottom w:val="nil"/>
              <w:right w:val="nil"/>
            </w:tcBorders>
            <w:vAlign w:val="bottom"/>
          </w:tcPr>
          <w:p w:rsidR="002138A9" w:rsidRPr="00E666DF" w:rsidRDefault="002138A9" w:rsidP="006632E3">
            <w:pPr>
              <w:spacing w:after="0"/>
              <w:jc w:val="left"/>
              <w:rPr>
                <w:rFonts w:ascii="Calibri" w:eastAsia="Times New Roman" w:hAnsi="Calibri" w:cs="Times New Roman"/>
                <w:b/>
                <w:bCs/>
                <w:color w:val="000000"/>
                <w:lang w:eastAsia="en-GB"/>
              </w:rPr>
            </w:pP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NL</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1.64</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-0.08</w:t>
            </w:r>
          </w:p>
        </w:tc>
        <w:tc>
          <w:tcPr>
            <w:tcW w:w="896" w:type="dxa"/>
            <w:tcBorders>
              <w:top w:val="nil"/>
              <w:left w:val="single" w:sz="4" w:space="0" w:color="auto"/>
              <w:bottom w:val="nil"/>
              <w:right w:val="nil"/>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2138A9" w:rsidRPr="00E666DF" w:rsidRDefault="002138A9" w:rsidP="006632E3">
            <w:pPr>
              <w:spacing w:after="0"/>
              <w:jc w:val="left"/>
              <w:rPr>
                <w:rFonts w:ascii="Calibri" w:eastAsia="Times New Roman" w:hAnsi="Calibri" w:cs="Times New Roman"/>
                <w:color w:val="000000"/>
                <w:lang w:eastAsia="en-GB"/>
              </w:rPr>
            </w:pPr>
          </w:p>
        </w:tc>
        <w:tc>
          <w:tcPr>
            <w:tcW w:w="916" w:type="dxa"/>
            <w:tcBorders>
              <w:top w:val="nil"/>
              <w:left w:val="nil"/>
              <w:bottom w:val="nil"/>
              <w:right w:val="nil"/>
            </w:tcBorders>
            <w:vAlign w:val="bottom"/>
          </w:tcPr>
          <w:p w:rsidR="002138A9" w:rsidRPr="00E666DF" w:rsidRDefault="002138A9" w:rsidP="006632E3">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vAlign w:val="bottom"/>
          </w:tcPr>
          <w:p w:rsidR="002138A9" w:rsidRPr="00614941" w:rsidRDefault="002138A9" w:rsidP="006632E3">
            <w:pPr>
              <w:spacing w:after="0"/>
              <w:jc w:val="right"/>
              <w:rPr>
                <w:rFonts w:ascii="Calibri" w:eastAsia="Times New Roman" w:hAnsi="Calibri" w:cs="Times New Roman"/>
                <w:color w:val="000000"/>
                <w:lang w:eastAsia="en-GB"/>
              </w:rPr>
            </w:pP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PT</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6.43</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0.01</w:t>
            </w:r>
          </w:p>
        </w:tc>
        <w:tc>
          <w:tcPr>
            <w:tcW w:w="896" w:type="dxa"/>
            <w:tcBorders>
              <w:top w:val="nil"/>
              <w:left w:val="single" w:sz="4" w:space="0" w:color="auto"/>
              <w:bottom w:val="nil"/>
              <w:right w:val="nil"/>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2138A9" w:rsidRPr="00E666DF" w:rsidRDefault="002138A9" w:rsidP="006632E3">
            <w:pPr>
              <w:spacing w:after="0"/>
              <w:jc w:val="left"/>
              <w:rPr>
                <w:rFonts w:ascii="Calibri" w:eastAsia="Times New Roman" w:hAnsi="Calibri" w:cs="Times New Roman"/>
                <w:color w:val="000000"/>
                <w:lang w:eastAsia="en-GB"/>
              </w:rPr>
            </w:pPr>
          </w:p>
        </w:tc>
        <w:tc>
          <w:tcPr>
            <w:tcW w:w="916" w:type="dxa"/>
            <w:tcBorders>
              <w:top w:val="nil"/>
              <w:left w:val="nil"/>
              <w:bottom w:val="nil"/>
              <w:right w:val="nil"/>
            </w:tcBorders>
            <w:vAlign w:val="bottom"/>
          </w:tcPr>
          <w:p w:rsidR="002138A9" w:rsidRPr="00E666DF" w:rsidRDefault="002138A9" w:rsidP="006632E3">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vAlign w:val="bottom"/>
          </w:tcPr>
          <w:p w:rsidR="002138A9" w:rsidRPr="00614941" w:rsidRDefault="002138A9" w:rsidP="006632E3">
            <w:pPr>
              <w:spacing w:after="0"/>
              <w:jc w:val="right"/>
              <w:rPr>
                <w:rFonts w:ascii="Calibri" w:eastAsia="Times New Roman" w:hAnsi="Calibri" w:cs="Times New Roman"/>
                <w:color w:val="000000"/>
                <w:lang w:eastAsia="en-GB"/>
              </w:rPr>
            </w:pP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SE</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1.36</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0.00</w:t>
            </w:r>
          </w:p>
        </w:tc>
        <w:tc>
          <w:tcPr>
            <w:tcW w:w="896" w:type="dxa"/>
            <w:tcBorders>
              <w:top w:val="nil"/>
              <w:left w:val="single" w:sz="4" w:space="0" w:color="auto"/>
              <w:bottom w:val="nil"/>
              <w:right w:val="nil"/>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color w:val="000000"/>
                <w:lang w:eastAsia="en-GB"/>
              </w:rPr>
            </w:pPr>
          </w:p>
        </w:tc>
        <w:tc>
          <w:tcPr>
            <w:tcW w:w="916"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color w:val="000000"/>
                <w:lang w:eastAsia="en-GB"/>
              </w:rPr>
            </w:pP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UK</w:t>
            </w:r>
          </w:p>
        </w:tc>
        <w:tc>
          <w:tcPr>
            <w:tcW w:w="960" w:type="dxa"/>
            <w:shd w:val="clear" w:color="auto" w:fill="auto"/>
            <w:noWrap/>
            <w:vAlign w:val="bottom"/>
          </w:tcPr>
          <w:p w:rsidR="002138A9" w:rsidRDefault="002138A9">
            <w:pPr>
              <w:jc w:val="right"/>
              <w:rPr>
                <w:rFonts w:ascii="Calibri" w:hAnsi="Calibri"/>
                <w:color w:val="000000"/>
              </w:rPr>
            </w:pPr>
            <w:r>
              <w:rPr>
                <w:rFonts w:ascii="Calibri" w:hAnsi="Calibri"/>
                <w:color w:val="000000"/>
              </w:rPr>
              <w:t>1.39</w:t>
            </w:r>
          </w:p>
        </w:tc>
        <w:tc>
          <w:tcPr>
            <w:tcW w:w="932" w:type="dxa"/>
            <w:tcBorders>
              <w:right w:val="single" w:sz="4" w:space="0" w:color="auto"/>
            </w:tcBorders>
            <w:vAlign w:val="bottom"/>
          </w:tcPr>
          <w:p w:rsidR="002138A9" w:rsidRDefault="002138A9">
            <w:pPr>
              <w:jc w:val="right"/>
              <w:rPr>
                <w:rFonts w:ascii="Calibri" w:hAnsi="Calibri"/>
                <w:color w:val="000000"/>
              </w:rPr>
            </w:pPr>
            <w:r>
              <w:rPr>
                <w:rFonts w:ascii="Calibri" w:hAnsi="Calibri"/>
                <w:color w:val="000000"/>
              </w:rPr>
              <w:t>-0.03</w:t>
            </w:r>
          </w:p>
        </w:tc>
        <w:tc>
          <w:tcPr>
            <w:tcW w:w="896" w:type="dxa"/>
            <w:tcBorders>
              <w:top w:val="nil"/>
              <w:left w:val="single" w:sz="4" w:space="0" w:color="auto"/>
              <w:bottom w:val="nil"/>
              <w:right w:val="nil"/>
            </w:tcBorders>
            <w:shd w:val="clear" w:color="auto" w:fill="auto"/>
          </w:tcPr>
          <w:p w:rsidR="002138A9" w:rsidRPr="0065310D" w:rsidRDefault="002138A9" w:rsidP="006632E3">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color w:val="000000"/>
                <w:lang w:eastAsia="en-GB"/>
              </w:rPr>
            </w:pPr>
          </w:p>
        </w:tc>
        <w:tc>
          <w:tcPr>
            <w:tcW w:w="916"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color w:val="000000"/>
                <w:lang w:eastAsia="en-GB"/>
              </w:rPr>
            </w:pPr>
          </w:p>
        </w:tc>
      </w:tr>
      <w:tr w:rsidR="002138A9" w:rsidRPr="00E666DF" w:rsidTr="002138A9">
        <w:trPr>
          <w:trHeight w:hRule="exact" w:val="284"/>
        </w:trPr>
        <w:tc>
          <w:tcPr>
            <w:tcW w:w="1181" w:type="dxa"/>
            <w:shd w:val="clear" w:color="auto" w:fill="auto"/>
            <w:noWrap/>
            <w:vAlign w:val="bottom"/>
            <w:hideMark/>
          </w:tcPr>
          <w:p w:rsidR="002138A9" w:rsidRPr="00E666DF" w:rsidRDefault="002138A9" w:rsidP="006632E3">
            <w:pPr>
              <w:spacing w:after="0"/>
              <w:jc w:val="lef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 xml:space="preserve">Average </w:t>
            </w:r>
            <w:r>
              <w:rPr>
                <w:rStyle w:val="FootnoteReference"/>
                <w:rFonts w:ascii="Calibri" w:eastAsia="Times New Roman" w:hAnsi="Calibri" w:cs="Times New Roman"/>
                <w:b/>
                <w:bCs/>
                <w:color w:val="000000"/>
                <w:lang w:eastAsia="en-GB"/>
              </w:rPr>
              <w:footnoteReference w:id="13"/>
            </w:r>
          </w:p>
        </w:tc>
        <w:tc>
          <w:tcPr>
            <w:tcW w:w="960" w:type="dxa"/>
            <w:shd w:val="clear" w:color="auto" w:fill="auto"/>
            <w:noWrap/>
            <w:vAlign w:val="bottom"/>
          </w:tcPr>
          <w:p w:rsidR="002138A9" w:rsidRPr="00E666DF" w:rsidRDefault="002138A9" w:rsidP="006632E3">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1.88</w:t>
            </w:r>
          </w:p>
        </w:tc>
        <w:tc>
          <w:tcPr>
            <w:tcW w:w="932" w:type="dxa"/>
            <w:tcBorders>
              <w:right w:val="single" w:sz="4" w:space="0" w:color="auto"/>
            </w:tcBorders>
            <w:vAlign w:val="bottom"/>
          </w:tcPr>
          <w:p w:rsidR="002138A9" w:rsidRPr="0065310D" w:rsidRDefault="002138A9" w:rsidP="006632E3">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-0.05</w:t>
            </w:r>
          </w:p>
        </w:tc>
        <w:tc>
          <w:tcPr>
            <w:tcW w:w="896" w:type="dxa"/>
            <w:tcBorders>
              <w:top w:val="nil"/>
              <w:left w:val="single" w:sz="4" w:space="0" w:color="auto"/>
              <w:bottom w:val="nil"/>
              <w:right w:val="nil"/>
            </w:tcBorders>
            <w:shd w:val="clear" w:color="auto" w:fill="auto"/>
          </w:tcPr>
          <w:p w:rsidR="002138A9" w:rsidRPr="0065310D" w:rsidRDefault="002138A9" w:rsidP="006632E3">
            <w:pPr>
              <w:spacing w:after="0"/>
              <w:jc w:val="right"/>
              <w:rPr>
                <w:rFonts w:ascii="Calibri" w:eastAsia="Times New Roman" w:hAnsi="Calibri" w:cs="Times New Roman"/>
                <w:b/>
                <w:bCs/>
                <w:color w:val="000000"/>
                <w:lang w:eastAsia="en-GB"/>
              </w:rPr>
            </w:pPr>
          </w:p>
        </w:tc>
        <w:tc>
          <w:tcPr>
            <w:tcW w:w="967"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b/>
                <w:bCs/>
                <w:color w:val="000000"/>
                <w:lang w:eastAsia="en-GB"/>
              </w:rPr>
            </w:pPr>
          </w:p>
        </w:tc>
        <w:tc>
          <w:tcPr>
            <w:tcW w:w="916"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b/>
                <w:bCs/>
                <w:color w:val="000000"/>
                <w:lang w:eastAsia="en-GB"/>
              </w:rPr>
            </w:pPr>
          </w:p>
        </w:tc>
        <w:tc>
          <w:tcPr>
            <w:tcW w:w="913" w:type="dxa"/>
            <w:tcBorders>
              <w:top w:val="nil"/>
              <w:left w:val="nil"/>
              <w:bottom w:val="nil"/>
              <w:right w:val="nil"/>
            </w:tcBorders>
          </w:tcPr>
          <w:p w:rsidR="002138A9" w:rsidRPr="0065310D" w:rsidRDefault="002138A9" w:rsidP="006632E3">
            <w:pPr>
              <w:spacing w:after="0"/>
              <w:jc w:val="right"/>
              <w:rPr>
                <w:rFonts w:ascii="Calibri" w:eastAsia="Times New Roman" w:hAnsi="Calibri" w:cs="Times New Roman"/>
                <w:b/>
                <w:bCs/>
                <w:color w:val="000000"/>
                <w:lang w:eastAsia="en-GB"/>
              </w:rPr>
            </w:pPr>
          </w:p>
        </w:tc>
      </w:tr>
    </w:tbl>
    <w:p w:rsidR="002138A9" w:rsidRDefault="002138A9" w:rsidP="00E1402B"/>
    <w:p w:rsidR="002F58A8" w:rsidRPr="00E1402B" w:rsidRDefault="002F58A8" w:rsidP="002F58A8">
      <w:pPr>
        <w:pStyle w:val="Caption"/>
      </w:pPr>
      <w:bookmarkStart w:id="49" w:name="_Ref361929198"/>
      <w:bookmarkStart w:id="50" w:name="_Toc373136655"/>
      <w:r>
        <w:t xml:space="preserve">Figure </w:t>
      </w:r>
      <w:r>
        <w:fldChar w:fldCharType="begin"/>
      </w:r>
      <w:r>
        <w:instrText xml:space="preserve"> SEQ Figure \* ARABIC </w:instrText>
      </w:r>
      <w:r>
        <w:fldChar w:fldCharType="separate"/>
      </w:r>
      <w:r w:rsidR="0013270A">
        <w:rPr>
          <w:noProof/>
        </w:rPr>
        <w:t>6</w:t>
      </w:r>
      <w:r>
        <w:fldChar w:fldCharType="end"/>
      </w:r>
      <w:bookmarkEnd w:id="49"/>
      <w:r>
        <w:t>: Net job creation of 1% change in private to public transport expenditures of consumers</w:t>
      </w:r>
      <w:bookmarkEnd w:id="50"/>
    </w:p>
    <w:p w:rsidR="00593B26" w:rsidRPr="00593B26" w:rsidRDefault="002F58A8" w:rsidP="00387085">
      <w:r>
        <w:rPr>
          <w:noProof/>
          <w:lang w:eastAsia="en-GB"/>
        </w:rPr>
        <w:drawing>
          <wp:inline distT="0" distB="0" distL="0" distR="0" wp14:anchorId="19CBA8AC" wp14:editId="35128987">
            <wp:extent cx="5305245" cy="2984739"/>
            <wp:effectExtent l="0" t="0" r="10160"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70AF" w:rsidRDefault="00D230BA" w:rsidP="00387085">
      <w:pPr>
        <w:pStyle w:val="Heading2"/>
        <w:rPr>
          <w:lang w:val="en-US"/>
        </w:rPr>
      </w:pPr>
      <w:bookmarkStart w:id="51" w:name="_Toc366244946"/>
      <w:r>
        <w:rPr>
          <w:lang w:val="en-US"/>
        </w:rPr>
        <w:lastRenderedPageBreak/>
        <w:t xml:space="preserve">Jobs associated with </w:t>
      </w:r>
      <w:r w:rsidR="00C17852">
        <w:rPr>
          <w:lang w:val="en-US"/>
        </w:rPr>
        <w:t>sustainable freight transport</w:t>
      </w:r>
      <w:bookmarkEnd w:id="51"/>
      <w:r w:rsidR="00C17852">
        <w:rPr>
          <w:lang w:val="en-US"/>
        </w:rPr>
        <w:t xml:space="preserve"> </w:t>
      </w:r>
    </w:p>
    <w:p w:rsidR="00D230BA" w:rsidRDefault="00D230BA" w:rsidP="00D230BA">
      <w:pPr>
        <w:pStyle w:val="Heading3"/>
      </w:pPr>
      <w:bookmarkStart w:id="52" w:name="_Toc366244947"/>
      <w:r>
        <w:t>Introduction and review</w:t>
      </w:r>
      <w:bookmarkEnd w:id="52"/>
    </w:p>
    <w:p w:rsidR="00D230BA" w:rsidRDefault="0011627C" w:rsidP="00A4322F">
      <w:pPr>
        <w:rPr>
          <w:lang w:eastAsia="en-GB"/>
        </w:rPr>
      </w:pPr>
      <w:r>
        <w:t>Freight transport within and between cities is a large consu</w:t>
      </w:r>
      <w:r w:rsidR="00D83B51">
        <w:t xml:space="preserve">mer of energy, as well as a cause for congestion on city level. Traditionally, there was not so much attention to urban freight within transport </w:t>
      </w:r>
      <w:r w:rsidR="00A4322F">
        <w:t>planning;</w:t>
      </w:r>
      <w:r w:rsidR="00D83B51">
        <w:t xml:space="preserve"> however access of goods to the business </w:t>
      </w:r>
      <w:r w:rsidR="00D83B51" w:rsidRPr="00A4322F">
        <w:t>districts is an important part of the travel demand in any city.</w:t>
      </w:r>
      <w:r w:rsidR="00A4322F" w:rsidRPr="00A4322F">
        <w:t xml:space="preserve"> </w:t>
      </w:r>
      <w:r w:rsidR="00A4322F" w:rsidRPr="00A4322F">
        <w:rPr>
          <w:lang w:eastAsia="en-GB"/>
        </w:rPr>
        <w:t>Freight vehicles typically represent 15% of total traffic flow in urban areas but when they park to make collections or deliveries outside designated parking spaces, they can reduce road capacity and contribute to congestion</w:t>
      </w:r>
      <w:r w:rsidR="00A4322F">
        <w:rPr>
          <w:lang w:eastAsia="en-GB"/>
        </w:rPr>
        <w:t xml:space="preserve"> (DG MOVE, 2012).</w:t>
      </w:r>
    </w:p>
    <w:p w:rsidR="00F41926" w:rsidRPr="00A4322F" w:rsidRDefault="00F41926" w:rsidP="00A4322F">
      <w:r>
        <w:rPr>
          <w:lang w:eastAsia="en-GB"/>
        </w:rPr>
        <w:t>One idea</w:t>
      </w:r>
      <w:r w:rsidR="000376FA">
        <w:rPr>
          <w:lang w:eastAsia="en-GB"/>
        </w:rPr>
        <w:t xml:space="preserve">, which has been popular in the last decade, was to increase the bundling of urban freight by creating so called Urban Consolidation </w:t>
      </w:r>
      <w:proofErr w:type="spellStart"/>
      <w:r w:rsidR="000376FA">
        <w:rPr>
          <w:lang w:eastAsia="en-GB"/>
        </w:rPr>
        <w:t>Centers</w:t>
      </w:r>
      <w:proofErr w:type="spellEnd"/>
      <w:r w:rsidR="000376FA">
        <w:rPr>
          <w:lang w:eastAsia="en-GB"/>
        </w:rPr>
        <w:t xml:space="preserve"> (UCC</w:t>
      </w:r>
      <w:r w:rsidR="0030451C">
        <w:rPr>
          <w:lang w:eastAsia="en-GB"/>
        </w:rPr>
        <w:t>, Browne et al, 2007</w:t>
      </w:r>
      <w:r w:rsidR="000376FA">
        <w:rPr>
          <w:lang w:eastAsia="en-GB"/>
        </w:rPr>
        <w:t xml:space="preserve">). The idea is that some central, publicly operated company is collecting urban freight outside the city </w:t>
      </w:r>
      <w:proofErr w:type="spellStart"/>
      <w:r w:rsidR="000376FA">
        <w:rPr>
          <w:lang w:eastAsia="en-GB"/>
        </w:rPr>
        <w:t>center</w:t>
      </w:r>
      <w:proofErr w:type="spellEnd"/>
      <w:r w:rsidR="000376FA">
        <w:rPr>
          <w:lang w:eastAsia="en-GB"/>
        </w:rPr>
        <w:t xml:space="preserve">. In a second stage, the packages can be transported by low emission vehicles or by cycling. Theoretically this can improve bundling of freight and draw some of the heavy good transport out of the city. </w:t>
      </w:r>
      <w:r w:rsidR="0030451C">
        <w:rPr>
          <w:lang w:eastAsia="en-GB"/>
        </w:rPr>
        <w:t xml:space="preserve">This may have also </w:t>
      </w:r>
      <w:proofErr w:type="gramStart"/>
      <w:r w:rsidR="0030451C">
        <w:rPr>
          <w:lang w:eastAsia="en-GB"/>
        </w:rPr>
        <w:t>have</w:t>
      </w:r>
      <w:proofErr w:type="gramEnd"/>
      <w:r w:rsidR="0030451C">
        <w:rPr>
          <w:lang w:eastAsia="en-GB"/>
        </w:rPr>
        <w:t xml:space="preserve"> some job effects, through employment connected at the </w:t>
      </w:r>
      <w:proofErr w:type="spellStart"/>
      <w:r w:rsidR="0030451C">
        <w:rPr>
          <w:lang w:eastAsia="en-GB"/>
        </w:rPr>
        <w:t>center</w:t>
      </w:r>
      <w:proofErr w:type="spellEnd"/>
      <w:r w:rsidR="0030451C">
        <w:rPr>
          <w:lang w:eastAsia="en-GB"/>
        </w:rPr>
        <w:t xml:space="preserve">. </w:t>
      </w:r>
    </w:p>
    <w:p w:rsidR="00A4322F" w:rsidRPr="00C17852" w:rsidRDefault="00C17852" w:rsidP="00A4322F">
      <w:pPr>
        <w:rPr>
          <w:rFonts w:eastAsia="Times New Roman" w:cs="Arial"/>
          <w:szCs w:val="20"/>
          <w:lang w:eastAsia="en-GB"/>
        </w:rPr>
      </w:pPr>
      <w:r w:rsidRPr="00C17852">
        <w:rPr>
          <w:rFonts w:eastAsia="Times New Roman" w:cs="Arial"/>
          <w:szCs w:val="20"/>
          <w:lang w:eastAsia="en-GB"/>
        </w:rPr>
        <w:t>More efficient urban freight traffic can lead to more job creation in a number of ways:</w:t>
      </w:r>
    </w:p>
    <w:p w:rsidR="00C17852" w:rsidRPr="00C17852" w:rsidRDefault="00C17852" w:rsidP="002F7BA3">
      <w:pPr>
        <w:pStyle w:val="ListParagraph"/>
        <w:numPr>
          <w:ilvl w:val="0"/>
          <w:numId w:val="36"/>
        </w:numPr>
        <w:jc w:val="both"/>
        <w:rPr>
          <w:rFonts w:ascii="Book Antiqua" w:hAnsi="Book Antiqua" w:cs="Arial"/>
          <w:lang w:eastAsia="en-GB"/>
        </w:rPr>
      </w:pPr>
      <w:r w:rsidRPr="00C17852">
        <w:rPr>
          <w:rFonts w:ascii="Book Antiqua" w:hAnsi="Book Antiqua" w:cs="Arial"/>
          <w:lang w:eastAsia="en-GB"/>
        </w:rPr>
        <w:t>Reduction of traffic congestion within the city, which increases accessibility for other transport users</w:t>
      </w:r>
    </w:p>
    <w:p w:rsidR="00C17852" w:rsidRPr="000A761E" w:rsidRDefault="00C17852" w:rsidP="002F7BA3">
      <w:pPr>
        <w:pStyle w:val="ListParagraph"/>
        <w:numPr>
          <w:ilvl w:val="0"/>
          <w:numId w:val="36"/>
        </w:numPr>
        <w:jc w:val="both"/>
        <w:rPr>
          <w:rFonts w:ascii="Book Antiqua" w:hAnsi="Book Antiqua" w:cs="Arial"/>
          <w:szCs w:val="22"/>
          <w:lang w:eastAsia="en-GB"/>
        </w:rPr>
      </w:pPr>
      <w:r w:rsidRPr="00C17852">
        <w:rPr>
          <w:rFonts w:ascii="Book Antiqua" w:hAnsi="Book Antiqua" w:cs="Arial"/>
          <w:lang w:eastAsia="en-GB"/>
        </w:rPr>
        <w:t xml:space="preserve">Reduction of cost for retail sector, </w:t>
      </w:r>
      <w:proofErr w:type="spellStart"/>
      <w:r w:rsidRPr="00C17852">
        <w:rPr>
          <w:rFonts w:ascii="Book Antiqua" w:hAnsi="Book Antiqua" w:cs="Arial"/>
          <w:lang w:eastAsia="en-GB"/>
        </w:rPr>
        <w:t>horeca</w:t>
      </w:r>
      <w:proofErr w:type="spellEnd"/>
      <w:r w:rsidRPr="00C17852">
        <w:rPr>
          <w:rFonts w:ascii="Book Antiqua" w:hAnsi="Book Antiqua" w:cs="Arial"/>
          <w:lang w:eastAsia="en-GB"/>
        </w:rPr>
        <w:t>, postal communications sector, construction and waste</w:t>
      </w:r>
      <w:r>
        <w:rPr>
          <w:rFonts w:ascii="Book Antiqua" w:hAnsi="Book Antiqua" w:cs="Arial"/>
          <w:lang w:eastAsia="en-GB"/>
        </w:rPr>
        <w:t xml:space="preserve"> (DG MOVE, 2012)</w:t>
      </w:r>
      <w:r w:rsidR="002F7BA3">
        <w:rPr>
          <w:rFonts w:ascii="Book Antiqua" w:hAnsi="Book Antiqua" w:cs="Arial"/>
          <w:lang w:eastAsia="en-GB"/>
        </w:rPr>
        <w:t xml:space="preserve">. Transport and distribution costs represent respectively 3% and 6.6% of the total turnover. In London about 2.4% of all employment is related to transport and distribution. Indirectly wholesale (4.3%), Retail (9.6%) and Manufacturing (6%) are associated with urban </w:t>
      </w:r>
      <w:r w:rsidR="002F7BA3" w:rsidRPr="000A761E">
        <w:rPr>
          <w:rFonts w:ascii="Book Antiqua" w:hAnsi="Book Antiqua" w:cs="Arial"/>
          <w:szCs w:val="22"/>
          <w:lang w:eastAsia="en-GB"/>
        </w:rPr>
        <w:t>transport deliveries, as well as other transport sectors (1.6%) (</w:t>
      </w:r>
      <w:proofErr w:type="spellStart"/>
      <w:r w:rsidR="002F7BA3" w:rsidRPr="000A761E">
        <w:rPr>
          <w:rFonts w:ascii="Book Antiqua" w:hAnsi="Book Antiqua" w:cs="Arial"/>
          <w:szCs w:val="22"/>
          <w:lang w:eastAsia="en-GB"/>
        </w:rPr>
        <w:t>Schoemaker</w:t>
      </w:r>
      <w:proofErr w:type="spellEnd"/>
      <w:r w:rsidR="002F7BA3" w:rsidRPr="000A761E">
        <w:rPr>
          <w:rFonts w:ascii="Book Antiqua" w:hAnsi="Book Antiqua" w:cs="Arial"/>
          <w:szCs w:val="22"/>
          <w:lang w:eastAsia="en-GB"/>
        </w:rPr>
        <w:t xml:space="preserve"> J. et al, 2006). </w:t>
      </w:r>
    </w:p>
    <w:p w:rsidR="00C17852" w:rsidRPr="000A761E" w:rsidRDefault="00C17852" w:rsidP="002F7BA3">
      <w:pPr>
        <w:pStyle w:val="ListParagraph"/>
        <w:numPr>
          <w:ilvl w:val="0"/>
          <w:numId w:val="36"/>
        </w:numPr>
        <w:jc w:val="both"/>
        <w:rPr>
          <w:rFonts w:ascii="Book Antiqua" w:hAnsi="Book Antiqua" w:cs="Arial"/>
          <w:szCs w:val="22"/>
          <w:lang w:eastAsia="en-GB"/>
        </w:rPr>
      </w:pPr>
      <w:r w:rsidRPr="000A761E">
        <w:rPr>
          <w:rFonts w:ascii="Book Antiqua" w:hAnsi="Book Antiqua" w:cs="Arial"/>
          <w:szCs w:val="22"/>
          <w:lang w:eastAsia="en-GB"/>
        </w:rPr>
        <w:t>Stimulating small scale transport services, with a high labour intensity such as delivery by bicycle</w:t>
      </w:r>
      <w:r w:rsidR="002F7BA3" w:rsidRPr="000A761E">
        <w:rPr>
          <w:rFonts w:ascii="Book Antiqua" w:hAnsi="Book Antiqua" w:cs="Arial"/>
          <w:szCs w:val="22"/>
          <w:lang w:eastAsia="en-GB"/>
        </w:rPr>
        <w:t>, or small scale delivery with electric vehicles.</w:t>
      </w:r>
    </w:p>
    <w:p w:rsidR="00F05704" w:rsidRPr="000A761E" w:rsidRDefault="00F05704" w:rsidP="002F7BA3">
      <w:pPr>
        <w:pStyle w:val="ListParagraph"/>
        <w:numPr>
          <w:ilvl w:val="0"/>
          <w:numId w:val="36"/>
        </w:numPr>
        <w:jc w:val="both"/>
        <w:rPr>
          <w:rFonts w:ascii="Book Antiqua" w:hAnsi="Book Antiqua" w:cs="Arial"/>
          <w:szCs w:val="22"/>
          <w:lang w:eastAsia="en-GB"/>
        </w:rPr>
      </w:pPr>
      <w:r w:rsidRPr="000A761E">
        <w:rPr>
          <w:rFonts w:ascii="Book Antiqua" w:hAnsi="Book Antiqua" w:cs="Arial"/>
          <w:szCs w:val="22"/>
          <w:lang w:eastAsia="en-GB"/>
        </w:rPr>
        <w:t>Stimulating small businesses within the city, which are closer to consumers and require less time and input of private transport compared to large supermarkets outside the city</w:t>
      </w:r>
    </w:p>
    <w:p w:rsidR="00BF17D7" w:rsidRPr="000A761E" w:rsidRDefault="00391B56" w:rsidP="00F04B28">
      <w:pPr>
        <w:autoSpaceDE w:val="0"/>
        <w:autoSpaceDN w:val="0"/>
        <w:adjustRightInd w:val="0"/>
        <w:spacing w:after="0"/>
        <w:rPr>
          <w:rFonts w:cs="Times New Roman"/>
        </w:rPr>
      </w:pPr>
      <w:r w:rsidRPr="000A761E">
        <w:rPr>
          <w:rFonts w:cs="Arial"/>
          <w:lang w:eastAsia="en-GB"/>
        </w:rPr>
        <w:t xml:space="preserve">Increasing efficiency of transport, especially where it concerns the efficiency of sectors providing auxiliary services to freight and passenger transport can be controversial. </w:t>
      </w:r>
      <w:r w:rsidR="0099684D" w:rsidRPr="000A761E">
        <w:rPr>
          <w:rFonts w:cs="Arial"/>
          <w:lang w:eastAsia="en-GB"/>
        </w:rPr>
        <w:t>It is clear that a set of next generation technologies are available, that can substantially decrease the administrative burden for the transport sector. In D15.2 (Heyndrickx, et al, 2013) we introduce an E-Freight scenario, based on recent research (2013)</w:t>
      </w:r>
      <w:r w:rsidR="0099684D" w:rsidRPr="000A761E">
        <w:rPr>
          <w:rStyle w:val="FootnoteReference"/>
          <w:rFonts w:cs="Arial"/>
          <w:lang w:eastAsia="en-GB"/>
        </w:rPr>
        <w:footnoteReference w:id="14"/>
      </w:r>
      <w:r w:rsidR="0099684D" w:rsidRPr="000A761E">
        <w:rPr>
          <w:rFonts w:cs="Arial"/>
          <w:lang w:eastAsia="en-GB"/>
        </w:rPr>
        <w:t xml:space="preserve"> performed by Transport &amp; Mobility Leuven in cooperation with TNO. </w:t>
      </w:r>
      <w:r w:rsidR="00024F2A" w:rsidRPr="000A761E">
        <w:rPr>
          <w:rFonts w:cs="Arial"/>
          <w:lang w:eastAsia="en-GB"/>
        </w:rPr>
        <w:t xml:space="preserve">We found that the potential </w:t>
      </w:r>
      <w:r w:rsidR="00024F2A" w:rsidRPr="000A761E">
        <w:rPr>
          <w:rFonts w:cs="Arial"/>
          <w:lang w:eastAsia="en-GB"/>
        </w:rPr>
        <w:lastRenderedPageBreak/>
        <w:t xml:space="preserve">for ‘net job creation’ from an increase in efficiency is substantial, but leads to a loss of jobs within the auxiliary transport sector itself. </w:t>
      </w:r>
      <w:r w:rsidR="00F04B28" w:rsidRPr="000A761E">
        <w:rPr>
          <w:rFonts w:cs="Arial"/>
          <w:lang w:eastAsia="en-GB"/>
        </w:rPr>
        <w:t>A similar finding is found in the (draft) impact assessment of the Single European Sky (</w:t>
      </w:r>
      <w:r w:rsidR="008B44DD">
        <w:rPr>
          <w:rFonts w:cs="Times New Roman"/>
        </w:rPr>
        <w:t>EC, 2013).</w:t>
      </w:r>
      <w:r w:rsidR="00F04B28" w:rsidRPr="000A761E">
        <w:rPr>
          <w:rFonts w:cs="Times New Roman"/>
        </w:rPr>
        <w:t xml:space="preserve"> The potential for savings in the European traffic control system is substantial. In the US, similarly sized en-route airspace is controlled by a single service provider as opposed to 38 service providers in Europe. The US service provider controls almost 70% more flights with 13% less air traffic controllers and in total 38% less supporting staff (p.14). </w:t>
      </w:r>
    </w:p>
    <w:p w:rsidR="009333C6" w:rsidRPr="000A761E" w:rsidRDefault="009333C6" w:rsidP="00F04B28">
      <w:pPr>
        <w:autoSpaceDE w:val="0"/>
        <w:autoSpaceDN w:val="0"/>
        <w:adjustRightInd w:val="0"/>
        <w:spacing w:after="0"/>
        <w:rPr>
          <w:rFonts w:cs="Times New Roman"/>
        </w:rPr>
      </w:pPr>
    </w:p>
    <w:p w:rsidR="00C74479" w:rsidRPr="000A761E" w:rsidRDefault="00F04B28" w:rsidP="00F04B28">
      <w:pPr>
        <w:autoSpaceDE w:val="0"/>
        <w:autoSpaceDN w:val="0"/>
        <w:adjustRightInd w:val="0"/>
        <w:spacing w:after="0"/>
        <w:rPr>
          <w:rFonts w:cs="Times New Roman"/>
        </w:rPr>
      </w:pPr>
      <w:r w:rsidRPr="000A761E">
        <w:rPr>
          <w:rFonts w:cs="Times New Roman"/>
        </w:rPr>
        <w:t>The impact asse</w:t>
      </w:r>
      <w:r w:rsidR="00BF17D7" w:rsidRPr="000A761E">
        <w:rPr>
          <w:rFonts w:cs="Times New Roman"/>
        </w:rPr>
        <w:t xml:space="preserve">ssment therefore estimates in a ‘fully optimised’ impact scenario that almost 3 billion euros can be saved (summing up cost of delays, personnel costs, flight efficiency) of which 750 – 900 million euros would result in additional GDP. The reduction in administrative cost is much more modest and would be around 13.8 to16.8 million euros. </w:t>
      </w:r>
      <w:r w:rsidR="00C74479" w:rsidRPr="000A761E">
        <w:rPr>
          <w:rFonts w:cs="Times New Roman"/>
        </w:rPr>
        <w:t>An alternative ‘risk optimised scenario’ leads to lower economic gains of 2 billion euros, a relatively high gain in jobs (10,000) with a lower reduction in jobs at the service provider (3400 instead of 9,400 jobs)</w:t>
      </w:r>
      <w:r w:rsidR="00714FCA" w:rsidRPr="000A761E">
        <w:rPr>
          <w:rFonts w:cs="Times New Roman"/>
        </w:rPr>
        <w:t xml:space="preserve"> and 600-700 million euros in GDP</w:t>
      </w:r>
      <w:r w:rsidR="00C74479" w:rsidRPr="000A761E">
        <w:rPr>
          <w:rFonts w:cs="Times New Roman"/>
        </w:rPr>
        <w:t xml:space="preserve"> (p.69)</w:t>
      </w:r>
    </w:p>
    <w:p w:rsidR="009333C6" w:rsidRPr="000A761E" w:rsidRDefault="009333C6" w:rsidP="00F04B28">
      <w:pPr>
        <w:autoSpaceDE w:val="0"/>
        <w:autoSpaceDN w:val="0"/>
        <w:adjustRightInd w:val="0"/>
        <w:spacing w:after="0"/>
        <w:rPr>
          <w:rFonts w:cs="Times New Roman"/>
        </w:rPr>
      </w:pPr>
    </w:p>
    <w:p w:rsidR="00C74479" w:rsidRPr="000A761E" w:rsidRDefault="00BF17D7" w:rsidP="00F04B28">
      <w:pPr>
        <w:autoSpaceDE w:val="0"/>
        <w:autoSpaceDN w:val="0"/>
        <w:adjustRightInd w:val="0"/>
        <w:spacing w:after="0"/>
        <w:rPr>
          <w:rFonts w:cs="Times New Roman"/>
        </w:rPr>
      </w:pPr>
      <w:r w:rsidRPr="000A761E">
        <w:rPr>
          <w:rFonts w:cs="Times New Roman"/>
        </w:rPr>
        <w:t xml:space="preserve">Calculating a job creation multiplier, based on the reduction in </w:t>
      </w:r>
      <w:r w:rsidR="00F84789" w:rsidRPr="000A761E">
        <w:rPr>
          <w:rFonts w:cs="Times New Roman"/>
        </w:rPr>
        <w:t>total costs, we have a net job gain of 3,400 jobs for 3 billion euros of savings or 1</w:t>
      </w:r>
      <w:r w:rsidR="00C74479" w:rsidRPr="000A761E">
        <w:rPr>
          <w:rFonts w:cs="Times New Roman"/>
        </w:rPr>
        <w:t xml:space="preserve">.13 jobs per million euros in the performance scenario. In the ‘risk optimised’ scenario we have 6,600 jobs for 2 billion euros of saving, resulting in a 3.35 jobs per million euros multiplier. The difference lies in more labour saving technologies in the ‘optimised scenario’. </w:t>
      </w:r>
      <w:r w:rsidR="00EE18B3" w:rsidRPr="000A761E">
        <w:rPr>
          <w:rFonts w:cs="Times New Roman"/>
        </w:rPr>
        <w:t>The relevant GDP multiplier is equal to 0.25 – 0.3 for the fully optimised and 0.3-0.35 for the ‘risk optimised’ scenarios.</w:t>
      </w:r>
    </w:p>
    <w:p w:rsidR="00F04B28" w:rsidRPr="00F04B28" w:rsidRDefault="00F04B28" w:rsidP="00F04B28">
      <w:pPr>
        <w:autoSpaceDE w:val="0"/>
        <w:autoSpaceDN w:val="0"/>
        <w:adjustRightInd w:val="0"/>
        <w:spacing w:after="0"/>
        <w:rPr>
          <w:rFonts w:ascii="Times New Roman" w:hAnsi="Times New Roman" w:cs="Times New Roman"/>
          <w:sz w:val="24"/>
          <w:szCs w:val="24"/>
        </w:rPr>
      </w:pPr>
    </w:p>
    <w:p w:rsidR="00D230BA" w:rsidRDefault="00D230BA" w:rsidP="00D230BA">
      <w:pPr>
        <w:pStyle w:val="Heading3"/>
      </w:pPr>
      <w:bookmarkStart w:id="53" w:name="_Toc366244948"/>
      <w:r>
        <w:t>Results from EDIP model</w:t>
      </w:r>
      <w:bookmarkEnd w:id="53"/>
    </w:p>
    <w:p w:rsidR="00D230BA" w:rsidRDefault="004B08DA" w:rsidP="00D230BA">
      <w:r>
        <w:t xml:space="preserve">Similar to the cases above, we base ourselves on a scaled-down version of the E-Freight scenario, used in D15.2. We </w:t>
      </w:r>
      <w:r w:rsidR="00421A52">
        <w:t>reduce the input of auxiliary transport services for road transport</w:t>
      </w:r>
      <w:r w:rsidR="00635395">
        <w:t xml:space="preserve"> with 0.3%, </w:t>
      </w:r>
      <w:r w:rsidR="00421A52">
        <w:t>water transport with 0.1%</w:t>
      </w:r>
      <w:r w:rsidR="00635395">
        <w:t xml:space="preserve"> and air transport with 0.01%</w:t>
      </w:r>
      <w:r w:rsidR="00421A52">
        <w:t>.</w:t>
      </w:r>
      <w:r w:rsidR="00635395">
        <w:t xml:space="preserve"> This is 100 times smaller than the original scenario.</w:t>
      </w:r>
      <w:r w:rsidR="00421A52">
        <w:t xml:space="preserve"> </w:t>
      </w:r>
      <w:r>
        <w:t xml:space="preserve">This represents a reduction in administration costs and costs of services provided at harbour, stations and other transport nodes. </w:t>
      </w:r>
      <w:r w:rsidR="00421A52">
        <w:t xml:space="preserve">From these marginal changes we can calculate the relevant GDP and job multipliers, as we did in previous sections of this chapter. </w:t>
      </w:r>
    </w:p>
    <w:p w:rsidR="00EE18B3" w:rsidRDefault="007A63C7" w:rsidP="00D230BA">
      <w:r>
        <w:t xml:space="preserve">The results are presented in </w:t>
      </w:r>
      <w:r>
        <w:fldChar w:fldCharType="begin"/>
      </w:r>
      <w:r>
        <w:instrText xml:space="preserve"> REF _Ref364947722 \h </w:instrText>
      </w:r>
      <w:r>
        <w:fldChar w:fldCharType="separate"/>
      </w:r>
      <w:r w:rsidR="0013270A">
        <w:t xml:space="preserve">Table </w:t>
      </w:r>
      <w:r w:rsidR="0013270A">
        <w:rPr>
          <w:noProof/>
        </w:rPr>
        <w:t>8</w:t>
      </w:r>
      <w:r>
        <w:fldChar w:fldCharType="end"/>
      </w:r>
      <w:r w:rsidR="00523D7A">
        <w:t xml:space="preserve"> and a limited analysis on the level of the sectors in </w:t>
      </w:r>
      <w:r w:rsidR="00523D7A">
        <w:fldChar w:fldCharType="begin"/>
      </w:r>
      <w:r w:rsidR="00523D7A">
        <w:instrText xml:space="preserve"> REF _Ref364948933 \h </w:instrText>
      </w:r>
      <w:r w:rsidR="00523D7A">
        <w:fldChar w:fldCharType="separate"/>
      </w:r>
      <w:r w:rsidR="0013270A">
        <w:t xml:space="preserve">Figure </w:t>
      </w:r>
      <w:r w:rsidR="0013270A">
        <w:rPr>
          <w:noProof/>
        </w:rPr>
        <w:t>7</w:t>
      </w:r>
      <w:r w:rsidR="00523D7A">
        <w:fldChar w:fldCharType="end"/>
      </w:r>
      <w:r w:rsidR="00523D7A">
        <w:t>.</w:t>
      </w:r>
      <w:r w:rsidR="00EE18B3">
        <w:t xml:space="preserve"> In </w:t>
      </w:r>
      <w:r w:rsidR="00EE18B3">
        <w:fldChar w:fldCharType="begin"/>
      </w:r>
      <w:r w:rsidR="00EE18B3">
        <w:instrText xml:space="preserve"> REF _Ref364948933 \h </w:instrText>
      </w:r>
      <w:r w:rsidR="00EE18B3">
        <w:fldChar w:fldCharType="separate"/>
      </w:r>
      <w:r w:rsidR="0013270A">
        <w:t xml:space="preserve">Figure </w:t>
      </w:r>
      <w:r w:rsidR="0013270A">
        <w:rPr>
          <w:noProof/>
        </w:rPr>
        <w:t>7</w:t>
      </w:r>
      <w:r w:rsidR="00EE18B3">
        <w:fldChar w:fldCharType="end"/>
      </w:r>
      <w:r w:rsidR="00EE18B3">
        <w:t xml:space="preserve">, we show the top 4 gaining and top 4 losing sectors. Improving the (administrative) efficiency of transport leads to losses in a number of sectors supporting the transport sectors, especially in the ‘auxiliary transport services’. These are services supporting transport, performed at airports, harbours and other transport hubs. The largest gains are in the transport service sectors (land and water transport sector), retail and distribution sectors. The total economy-wide use of labour (measured here in total compensation for labour) increases substantially, as much more sectors gain than lose from the improvement in efficiency. </w:t>
      </w:r>
    </w:p>
    <w:p w:rsidR="00EE18B3" w:rsidRDefault="00EE18B3" w:rsidP="00D230BA"/>
    <w:p w:rsidR="00ED2776" w:rsidRDefault="00ED2776" w:rsidP="00ED2776">
      <w:pPr>
        <w:pStyle w:val="Caption"/>
      </w:pPr>
      <w:bookmarkStart w:id="54" w:name="_Ref364947722"/>
      <w:bookmarkStart w:id="55" w:name="_Ref364947717"/>
      <w:bookmarkStart w:id="56" w:name="_Toc373136645"/>
      <w:r>
        <w:lastRenderedPageBreak/>
        <w:t xml:space="preserve">Table </w:t>
      </w:r>
      <w:r>
        <w:fldChar w:fldCharType="begin"/>
      </w:r>
      <w:r>
        <w:instrText xml:space="preserve"> SEQ Table \* ARABIC </w:instrText>
      </w:r>
      <w:r>
        <w:fldChar w:fldCharType="separate"/>
      </w:r>
      <w:r w:rsidR="0013270A">
        <w:rPr>
          <w:noProof/>
        </w:rPr>
        <w:t>8</w:t>
      </w:r>
      <w:r>
        <w:fldChar w:fldCharType="end"/>
      </w:r>
      <w:bookmarkEnd w:id="54"/>
      <w:r>
        <w:t>: Job creation and GDP effect per million euros ave</w:t>
      </w:r>
      <w:bookmarkEnd w:id="55"/>
      <w:r w:rsidR="007A63C7">
        <w:t>rted from auxiliary transport services</w:t>
      </w:r>
      <w:bookmarkEnd w:id="56"/>
      <w:r w:rsidR="007A63C7">
        <w:t xml:space="preserve"> </w:t>
      </w:r>
    </w:p>
    <w:tbl>
      <w:tblPr>
        <w:tblW w:w="6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960"/>
        <w:gridCol w:w="932"/>
        <w:gridCol w:w="896"/>
        <w:gridCol w:w="967"/>
        <w:gridCol w:w="916"/>
        <w:gridCol w:w="913"/>
      </w:tblGrid>
      <w:tr w:rsidR="00ED2776" w:rsidRPr="00E666DF" w:rsidTr="00ED2776">
        <w:trPr>
          <w:trHeight w:hRule="exact" w:val="284"/>
        </w:trPr>
        <w:tc>
          <w:tcPr>
            <w:tcW w:w="1181" w:type="dxa"/>
            <w:shd w:val="clear" w:color="auto" w:fill="C4BC96" w:themeFill="background2" w:themeFillShade="BF"/>
            <w:noWrap/>
            <w:vAlign w:val="bottom"/>
            <w:hideMark/>
          </w:tcPr>
          <w:p w:rsidR="00ED2776" w:rsidRPr="00E666DF" w:rsidRDefault="00ED2776" w:rsidP="00ED2776">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1</w:t>
            </w:r>
          </w:p>
        </w:tc>
        <w:tc>
          <w:tcPr>
            <w:tcW w:w="960" w:type="dxa"/>
            <w:shd w:val="clear" w:color="auto" w:fill="C4BC96" w:themeFill="background2" w:themeFillShade="BF"/>
            <w:noWrap/>
            <w:vAlign w:val="bottom"/>
            <w:hideMark/>
          </w:tcPr>
          <w:p w:rsidR="00ED2776" w:rsidRPr="00E666DF" w:rsidRDefault="00FC5AA5" w:rsidP="00ED2776">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932" w:type="dxa"/>
            <w:tcBorders>
              <w:right w:val="single" w:sz="4" w:space="0" w:color="auto"/>
            </w:tcBorders>
            <w:shd w:val="clear" w:color="auto" w:fill="C4BC96" w:themeFill="background2" w:themeFillShade="BF"/>
            <w:vAlign w:val="bottom"/>
          </w:tcPr>
          <w:p w:rsidR="00ED2776" w:rsidRPr="00E666DF" w:rsidRDefault="00FC5AA5" w:rsidP="00ED2776">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c>
          <w:tcPr>
            <w:tcW w:w="896" w:type="dxa"/>
            <w:tcBorders>
              <w:top w:val="nil"/>
              <w:left w:val="single" w:sz="4" w:space="0" w:color="auto"/>
              <w:bottom w:val="nil"/>
              <w:right w:val="single" w:sz="4" w:space="0" w:color="auto"/>
            </w:tcBorders>
            <w:shd w:val="clear" w:color="auto" w:fill="auto"/>
          </w:tcPr>
          <w:p w:rsidR="00ED2776" w:rsidRPr="00E666DF" w:rsidRDefault="00ED2776" w:rsidP="00ED2776">
            <w:pPr>
              <w:spacing w:after="0"/>
              <w:jc w:val="left"/>
              <w:rPr>
                <w:rFonts w:ascii="Calibri" w:eastAsia="Times New Roman" w:hAnsi="Calibri" w:cs="Times New Roman"/>
                <w:b/>
                <w:bCs/>
                <w:color w:val="000000"/>
                <w:lang w:eastAsia="en-GB"/>
              </w:rPr>
            </w:pPr>
          </w:p>
        </w:tc>
        <w:tc>
          <w:tcPr>
            <w:tcW w:w="967" w:type="dxa"/>
            <w:tcBorders>
              <w:left w:val="single" w:sz="4" w:space="0" w:color="auto"/>
              <w:bottom w:val="single" w:sz="4" w:space="0" w:color="auto"/>
            </w:tcBorders>
            <w:shd w:val="clear" w:color="auto" w:fill="C4BC96" w:themeFill="background2" w:themeFillShade="BF"/>
            <w:vAlign w:val="bottom"/>
          </w:tcPr>
          <w:p w:rsidR="00ED2776" w:rsidRPr="00E666DF" w:rsidRDefault="00ED2776" w:rsidP="00ED2776">
            <w:pPr>
              <w:spacing w:after="0"/>
              <w:jc w:val="lef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Group 2</w:t>
            </w:r>
          </w:p>
        </w:tc>
        <w:tc>
          <w:tcPr>
            <w:tcW w:w="916" w:type="dxa"/>
            <w:tcBorders>
              <w:bottom w:val="single" w:sz="4" w:space="0" w:color="auto"/>
            </w:tcBorders>
            <w:shd w:val="clear" w:color="auto" w:fill="C4BC96" w:themeFill="background2" w:themeFillShade="BF"/>
            <w:vAlign w:val="bottom"/>
          </w:tcPr>
          <w:p w:rsidR="00ED2776" w:rsidRPr="00E666DF" w:rsidRDefault="00FC5AA5" w:rsidP="00ED2776">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jobs</m:t>
                    </m:r>
                  </m:sub>
                </m:sSub>
              </m:oMath>
            </m:oMathPara>
          </w:p>
        </w:tc>
        <w:tc>
          <w:tcPr>
            <w:tcW w:w="913" w:type="dxa"/>
            <w:tcBorders>
              <w:bottom w:val="single" w:sz="4" w:space="0" w:color="auto"/>
            </w:tcBorders>
            <w:shd w:val="clear" w:color="auto" w:fill="C4BC96" w:themeFill="background2" w:themeFillShade="BF"/>
            <w:vAlign w:val="bottom"/>
          </w:tcPr>
          <w:p w:rsidR="00ED2776" w:rsidRPr="00E666DF" w:rsidRDefault="00FC5AA5" w:rsidP="00ED2776">
            <w:pPr>
              <w:spacing w:after="0"/>
              <w:jc w:val="left"/>
              <w:rPr>
                <w:rFonts w:ascii="Calibri" w:eastAsia="Times New Roman" w:hAnsi="Calibri" w:cs="Times New Roman"/>
                <w:b/>
                <w:bCs/>
                <w:color w:val="000000"/>
                <w:lang w:eastAsia="en-GB"/>
              </w:rPr>
            </w:pPr>
            <m:oMathPara>
              <m:oMath>
                <m:sSub>
                  <m:sSubPr>
                    <m:ctrlPr>
                      <w:rPr>
                        <w:rFonts w:ascii="Cambria Math" w:hAnsi="Cambria Math"/>
                        <w:i/>
                      </w:rPr>
                    </m:ctrlPr>
                  </m:sSubPr>
                  <m:e>
                    <m:r>
                      <w:rPr>
                        <w:rFonts w:ascii="Cambria Math" w:hAnsi="Cambria Math"/>
                      </w:rPr>
                      <m:t>M</m:t>
                    </m:r>
                  </m:e>
                  <m:sub>
                    <m:r>
                      <w:rPr>
                        <w:rFonts w:ascii="Cambria Math" w:hAnsi="Cambria Math"/>
                      </w:rPr>
                      <m:t>GDP</m:t>
                    </m:r>
                  </m:sub>
                </m:sSub>
              </m:oMath>
            </m:oMathPara>
          </w:p>
        </w:tc>
      </w:tr>
      <w:tr w:rsidR="00940ECE" w:rsidRPr="00E666DF" w:rsidTr="00ED2776">
        <w:trPr>
          <w:trHeight w:hRule="exact" w:val="284"/>
        </w:trPr>
        <w:tc>
          <w:tcPr>
            <w:tcW w:w="1181" w:type="dxa"/>
            <w:shd w:val="clear" w:color="auto" w:fill="auto"/>
            <w:noWrap/>
            <w:vAlign w:val="bottom"/>
            <w:hideMark/>
          </w:tcPr>
          <w:p w:rsidR="00940ECE" w:rsidRPr="00E666DF" w:rsidRDefault="00940ECE" w:rsidP="00ED2776">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AT</w:t>
            </w:r>
          </w:p>
        </w:tc>
        <w:tc>
          <w:tcPr>
            <w:tcW w:w="960" w:type="dxa"/>
            <w:shd w:val="clear" w:color="auto" w:fill="auto"/>
            <w:noWrap/>
            <w:vAlign w:val="bottom"/>
          </w:tcPr>
          <w:p w:rsidR="00940ECE" w:rsidRDefault="00940ECE">
            <w:pPr>
              <w:jc w:val="right"/>
              <w:rPr>
                <w:rFonts w:ascii="Calibri" w:hAnsi="Calibri"/>
                <w:color w:val="000000"/>
              </w:rPr>
            </w:pPr>
            <w:r>
              <w:rPr>
                <w:rFonts w:ascii="Calibri" w:hAnsi="Calibri"/>
                <w:color w:val="000000"/>
              </w:rPr>
              <w:t>2.38</w:t>
            </w:r>
          </w:p>
        </w:tc>
        <w:tc>
          <w:tcPr>
            <w:tcW w:w="932" w:type="dxa"/>
            <w:tcBorders>
              <w:right w:val="single" w:sz="4" w:space="0" w:color="auto"/>
            </w:tcBorders>
            <w:vAlign w:val="bottom"/>
          </w:tcPr>
          <w:p w:rsidR="00940ECE" w:rsidRDefault="00940ECE">
            <w:pPr>
              <w:jc w:val="right"/>
              <w:rPr>
                <w:rFonts w:ascii="Calibri" w:hAnsi="Calibri"/>
                <w:color w:val="000000"/>
              </w:rPr>
            </w:pPr>
            <w:r>
              <w:rPr>
                <w:rFonts w:ascii="Calibri" w:hAnsi="Calibri"/>
                <w:color w:val="000000"/>
              </w:rPr>
              <w:t>1.11</w:t>
            </w:r>
          </w:p>
        </w:tc>
        <w:tc>
          <w:tcPr>
            <w:tcW w:w="896" w:type="dxa"/>
            <w:tcBorders>
              <w:top w:val="nil"/>
              <w:left w:val="single" w:sz="4" w:space="0" w:color="auto"/>
              <w:bottom w:val="nil"/>
              <w:right w:val="single" w:sz="4" w:space="0" w:color="auto"/>
            </w:tcBorders>
            <w:shd w:val="clear" w:color="auto" w:fill="auto"/>
          </w:tcPr>
          <w:p w:rsidR="00940ECE" w:rsidRPr="0065310D" w:rsidRDefault="00940ECE" w:rsidP="00ED2776">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940ECE" w:rsidRPr="00E666DF" w:rsidRDefault="00940EC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BG</w:t>
            </w:r>
          </w:p>
        </w:tc>
        <w:tc>
          <w:tcPr>
            <w:tcW w:w="916" w:type="dxa"/>
            <w:vAlign w:val="bottom"/>
          </w:tcPr>
          <w:p w:rsidR="00940ECE" w:rsidRDefault="00940ECE">
            <w:pPr>
              <w:jc w:val="right"/>
              <w:rPr>
                <w:rFonts w:ascii="Calibri" w:hAnsi="Calibri"/>
                <w:color w:val="000000"/>
              </w:rPr>
            </w:pPr>
            <w:r>
              <w:rPr>
                <w:rFonts w:ascii="Calibri" w:hAnsi="Calibri"/>
                <w:color w:val="000000"/>
              </w:rPr>
              <w:t>3.71</w:t>
            </w:r>
          </w:p>
        </w:tc>
        <w:tc>
          <w:tcPr>
            <w:tcW w:w="913" w:type="dxa"/>
            <w:vAlign w:val="bottom"/>
          </w:tcPr>
          <w:p w:rsidR="00940ECE" w:rsidRDefault="00940ECE">
            <w:pPr>
              <w:jc w:val="right"/>
              <w:rPr>
                <w:rFonts w:ascii="Calibri" w:hAnsi="Calibri"/>
                <w:color w:val="000000"/>
              </w:rPr>
            </w:pPr>
            <w:r>
              <w:rPr>
                <w:rFonts w:ascii="Calibri" w:hAnsi="Calibri"/>
                <w:color w:val="000000"/>
              </w:rPr>
              <w:t>1.09</w:t>
            </w:r>
          </w:p>
        </w:tc>
      </w:tr>
      <w:tr w:rsidR="00940ECE" w:rsidRPr="00E666DF" w:rsidTr="00ED2776">
        <w:trPr>
          <w:trHeight w:hRule="exact" w:val="284"/>
        </w:trPr>
        <w:tc>
          <w:tcPr>
            <w:tcW w:w="1181" w:type="dxa"/>
            <w:shd w:val="clear" w:color="auto" w:fill="auto"/>
            <w:noWrap/>
            <w:vAlign w:val="bottom"/>
            <w:hideMark/>
          </w:tcPr>
          <w:p w:rsidR="00940ECE" w:rsidRPr="00E666DF" w:rsidRDefault="000A761E" w:rsidP="00ED2776">
            <w:pPr>
              <w:spacing w:after="0"/>
              <w:jc w:val="left"/>
              <w:rPr>
                <w:rFonts w:ascii="Calibri" w:eastAsia="Times New Roman" w:hAnsi="Calibri" w:cs="Times New Roman"/>
                <w:color w:val="000000"/>
                <w:lang w:eastAsia="en-GB"/>
              </w:rPr>
            </w:pPr>
            <w:r>
              <w:rPr>
                <w:rFonts w:ascii="Calibri" w:eastAsia="Times New Roman" w:hAnsi="Calibri" w:cs="Times New Roman"/>
                <w:color w:val="000000"/>
                <w:lang w:eastAsia="en-GB"/>
              </w:rPr>
              <w:t>BE</w:t>
            </w:r>
          </w:p>
        </w:tc>
        <w:tc>
          <w:tcPr>
            <w:tcW w:w="960" w:type="dxa"/>
            <w:shd w:val="clear" w:color="auto" w:fill="auto"/>
            <w:noWrap/>
            <w:vAlign w:val="bottom"/>
          </w:tcPr>
          <w:p w:rsidR="00940ECE" w:rsidRDefault="00940ECE">
            <w:pPr>
              <w:jc w:val="right"/>
              <w:rPr>
                <w:rFonts w:ascii="Calibri" w:hAnsi="Calibri"/>
                <w:color w:val="000000"/>
              </w:rPr>
            </w:pPr>
            <w:r>
              <w:rPr>
                <w:rFonts w:ascii="Calibri" w:hAnsi="Calibri"/>
                <w:color w:val="000000"/>
              </w:rPr>
              <w:t>1.49</w:t>
            </w:r>
          </w:p>
        </w:tc>
        <w:tc>
          <w:tcPr>
            <w:tcW w:w="932" w:type="dxa"/>
            <w:tcBorders>
              <w:right w:val="single" w:sz="4" w:space="0" w:color="auto"/>
            </w:tcBorders>
            <w:vAlign w:val="bottom"/>
          </w:tcPr>
          <w:p w:rsidR="00940ECE" w:rsidRDefault="00940ECE">
            <w:pPr>
              <w:jc w:val="right"/>
              <w:rPr>
                <w:rFonts w:ascii="Calibri" w:hAnsi="Calibri"/>
                <w:color w:val="000000"/>
              </w:rPr>
            </w:pPr>
            <w:r>
              <w:rPr>
                <w:rFonts w:ascii="Calibri" w:hAnsi="Calibri"/>
                <w:color w:val="000000"/>
              </w:rPr>
              <w:t>1.08</w:t>
            </w:r>
          </w:p>
        </w:tc>
        <w:tc>
          <w:tcPr>
            <w:tcW w:w="896" w:type="dxa"/>
            <w:tcBorders>
              <w:top w:val="nil"/>
              <w:left w:val="single" w:sz="4" w:space="0" w:color="auto"/>
              <w:bottom w:val="nil"/>
              <w:right w:val="single" w:sz="4" w:space="0" w:color="auto"/>
            </w:tcBorders>
            <w:shd w:val="clear" w:color="auto" w:fill="auto"/>
          </w:tcPr>
          <w:p w:rsidR="00940ECE" w:rsidRPr="0065310D" w:rsidRDefault="00940ECE" w:rsidP="00ED2776">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940ECE" w:rsidRPr="00E666DF" w:rsidRDefault="00940EC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CZ</w:t>
            </w:r>
          </w:p>
        </w:tc>
        <w:tc>
          <w:tcPr>
            <w:tcW w:w="916" w:type="dxa"/>
            <w:vAlign w:val="bottom"/>
          </w:tcPr>
          <w:p w:rsidR="00940ECE" w:rsidRDefault="00940ECE">
            <w:pPr>
              <w:jc w:val="right"/>
              <w:rPr>
                <w:rFonts w:ascii="Calibri" w:hAnsi="Calibri"/>
                <w:color w:val="000000"/>
              </w:rPr>
            </w:pPr>
            <w:r>
              <w:rPr>
                <w:rFonts w:ascii="Calibri" w:hAnsi="Calibri"/>
                <w:color w:val="000000"/>
              </w:rPr>
              <w:t>22.27</w:t>
            </w:r>
          </w:p>
        </w:tc>
        <w:tc>
          <w:tcPr>
            <w:tcW w:w="913" w:type="dxa"/>
            <w:vAlign w:val="bottom"/>
          </w:tcPr>
          <w:p w:rsidR="00940ECE" w:rsidRDefault="00940ECE">
            <w:pPr>
              <w:jc w:val="right"/>
              <w:rPr>
                <w:rFonts w:ascii="Calibri" w:hAnsi="Calibri"/>
                <w:color w:val="000000"/>
              </w:rPr>
            </w:pPr>
            <w:r>
              <w:rPr>
                <w:rFonts w:ascii="Calibri" w:hAnsi="Calibri"/>
                <w:color w:val="000000"/>
              </w:rPr>
              <w:t>1.48</w:t>
            </w:r>
          </w:p>
        </w:tc>
      </w:tr>
      <w:tr w:rsidR="00940ECE" w:rsidRPr="00E666DF" w:rsidTr="00ED2776">
        <w:trPr>
          <w:trHeight w:hRule="exact" w:val="284"/>
        </w:trPr>
        <w:tc>
          <w:tcPr>
            <w:tcW w:w="1181" w:type="dxa"/>
            <w:shd w:val="clear" w:color="auto" w:fill="auto"/>
            <w:noWrap/>
            <w:vAlign w:val="bottom"/>
            <w:hideMark/>
          </w:tcPr>
          <w:p w:rsidR="00940ECE" w:rsidRPr="00E666DF" w:rsidRDefault="000A761E" w:rsidP="00ED2776">
            <w:pPr>
              <w:spacing w:after="0"/>
              <w:jc w:val="left"/>
              <w:rPr>
                <w:rFonts w:ascii="Calibri" w:eastAsia="Times New Roman" w:hAnsi="Calibri" w:cs="Times New Roman"/>
                <w:color w:val="000000"/>
                <w:lang w:eastAsia="en-GB"/>
              </w:rPr>
            </w:pPr>
            <w:r>
              <w:rPr>
                <w:rFonts w:ascii="Calibri" w:eastAsia="Times New Roman" w:hAnsi="Calibri" w:cs="Times New Roman"/>
                <w:color w:val="000000"/>
                <w:lang w:eastAsia="en-GB"/>
              </w:rPr>
              <w:t>CY</w:t>
            </w:r>
          </w:p>
        </w:tc>
        <w:tc>
          <w:tcPr>
            <w:tcW w:w="960" w:type="dxa"/>
            <w:shd w:val="clear" w:color="auto" w:fill="auto"/>
            <w:noWrap/>
            <w:vAlign w:val="bottom"/>
          </w:tcPr>
          <w:p w:rsidR="00940ECE" w:rsidRDefault="00940ECE">
            <w:pPr>
              <w:jc w:val="right"/>
              <w:rPr>
                <w:rFonts w:ascii="Calibri" w:hAnsi="Calibri"/>
                <w:color w:val="000000"/>
              </w:rPr>
            </w:pPr>
            <w:r>
              <w:rPr>
                <w:rFonts w:ascii="Calibri" w:hAnsi="Calibri"/>
                <w:color w:val="000000"/>
              </w:rPr>
              <w:t>1.19</w:t>
            </w:r>
          </w:p>
        </w:tc>
        <w:tc>
          <w:tcPr>
            <w:tcW w:w="932" w:type="dxa"/>
            <w:tcBorders>
              <w:right w:val="single" w:sz="4" w:space="0" w:color="auto"/>
            </w:tcBorders>
            <w:vAlign w:val="bottom"/>
          </w:tcPr>
          <w:p w:rsidR="00940ECE" w:rsidRDefault="00940ECE">
            <w:pPr>
              <w:jc w:val="right"/>
              <w:rPr>
                <w:rFonts w:ascii="Calibri" w:hAnsi="Calibri"/>
                <w:color w:val="000000"/>
              </w:rPr>
            </w:pPr>
            <w:r>
              <w:rPr>
                <w:rFonts w:ascii="Calibri" w:hAnsi="Calibri"/>
                <w:color w:val="000000"/>
              </w:rPr>
              <w:t>1.12</w:t>
            </w:r>
          </w:p>
        </w:tc>
        <w:tc>
          <w:tcPr>
            <w:tcW w:w="896" w:type="dxa"/>
            <w:tcBorders>
              <w:top w:val="nil"/>
              <w:left w:val="single" w:sz="4" w:space="0" w:color="auto"/>
              <w:bottom w:val="nil"/>
              <w:right w:val="single" w:sz="4" w:space="0" w:color="auto"/>
            </w:tcBorders>
            <w:shd w:val="clear" w:color="auto" w:fill="auto"/>
          </w:tcPr>
          <w:p w:rsidR="00940ECE" w:rsidRPr="0065310D" w:rsidRDefault="00940ECE" w:rsidP="00ED2776">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940ECE" w:rsidRPr="00E666DF" w:rsidRDefault="00940EC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EE</w:t>
            </w:r>
          </w:p>
        </w:tc>
        <w:tc>
          <w:tcPr>
            <w:tcW w:w="916" w:type="dxa"/>
            <w:vAlign w:val="bottom"/>
          </w:tcPr>
          <w:p w:rsidR="00940ECE" w:rsidRDefault="00940ECE">
            <w:pPr>
              <w:jc w:val="right"/>
              <w:rPr>
                <w:rFonts w:ascii="Calibri" w:hAnsi="Calibri"/>
                <w:color w:val="000000"/>
              </w:rPr>
            </w:pPr>
            <w:r>
              <w:rPr>
                <w:rFonts w:ascii="Calibri" w:hAnsi="Calibri"/>
                <w:color w:val="000000"/>
              </w:rPr>
              <w:t>33.39</w:t>
            </w:r>
          </w:p>
        </w:tc>
        <w:tc>
          <w:tcPr>
            <w:tcW w:w="913" w:type="dxa"/>
            <w:vAlign w:val="bottom"/>
          </w:tcPr>
          <w:p w:rsidR="00940ECE" w:rsidRDefault="00940ECE">
            <w:pPr>
              <w:jc w:val="right"/>
              <w:rPr>
                <w:rFonts w:ascii="Calibri" w:hAnsi="Calibri"/>
                <w:color w:val="000000"/>
              </w:rPr>
            </w:pPr>
            <w:r>
              <w:rPr>
                <w:rFonts w:ascii="Calibri" w:hAnsi="Calibri"/>
                <w:color w:val="000000"/>
              </w:rPr>
              <w:t>1.50</w:t>
            </w:r>
          </w:p>
        </w:tc>
      </w:tr>
      <w:tr w:rsidR="000A761E" w:rsidRPr="00E666DF" w:rsidTr="00ED2776">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DE</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-0.33</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1.05</w:t>
            </w:r>
          </w:p>
        </w:tc>
        <w:tc>
          <w:tcPr>
            <w:tcW w:w="896" w:type="dxa"/>
            <w:tcBorders>
              <w:top w:val="nil"/>
              <w:left w:val="single" w:sz="4" w:space="0" w:color="auto"/>
              <w:bottom w:val="nil"/>
              <w:right w:val="single" w:sz="4" w:space="0" w:color="auto"/>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0A761E" w:rsidRPr="00E666DF" w:rsidRDefault="000A761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HU</w:t>
            </w:r>
          </w:p>
        </w:tc>
        <w:tc>
          <w:tcPr>
            <w:tcW w:w="916" w:type="dxa"/>
            <w:vAlign w:val="bottom"/>
          </w:tcPr>
          <w:p w:rsidR="000A761E" w:rsidRDefault="000A761E">
            <w:pPr>
              <w:jc w:val="right"/>
              <w:rPr>
                <w:rFonts w:ascii="Calibri" w:hAnsi="Calibri"/>
                <w:color w:val="000000"/>
              </w:rPr>
            </w:pPr>
            <w:r>
              <w:rPr>
                <w:rFonts w:ascii="Calibri" w:hAnsi="Calibri"/>
                <w:color w:val="000000"/>
              </w:rPr>
              <w:t>26.87</w:t>
            </w:r>
          </w:p>
        </w:tc>
        <w:tc>
          <w:tcPr>
            <w:tcW w:w="913" w:type="dxa"/>
            <w:vAlign w:val="bottom"/>
          </w:tcPr>
          <w:p w:rsidR="000A761E" w:rsidRDefault="000A761E">
            <w:pPr>
              <w:jc w:val="right"/>
              <w:rPr>
                <w:rFonts w:ascii="Calibri" w:hAnsi="Calibri"/>
                <w:color w:val="000000"/>
              </w:rPr>
            </w:pPr>
            <w:r>
              <w:rPr>
                <w:rFonts w:ascii="Calibri" w:hAnsi="Calibri"/>
                <w:color w:val="000000"/>
              </w:rPr>
              <w:t>1.42</w:t>
            </w:r>
          </w:p>
        </w:tc>
      </w:tr>
      <w:tr w:rsidR="000A761E" w:rsidRPr="00E666DF" w:rsidTr="00ED2776">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DK</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-1.78</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1.12</w:t>
            </w:r>
          </w:p>
        </w:tc>
        <w:tc>
          <w:tcPr>
            <w:tcW w:w="896" w:type="dxa"/>
            <w:tcBorders>
              <w:top w:val="nil"/>
              <w:left w:val="single" w:sz="4" w:space="0" w:color="auto"/>
              <w:bottom w:val="nil"/>
              <w:right w:val="single" w:sz="4" w:space="0" w:color="auto"/>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0A761E" w:rsidRPr="00E666DF" w:rsidRDefault="000A761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LV</w:t>
            </w:r>
          </w:p>
        </w:tc>
        <w:tc>
          <w:tcPr>
            <w:tcW w:w="916" w:type="dxa"/>
            <w:vAlign w:val="bottom"/>
          </w:tcPr>
          <w:p w:rsidR="000A761E" w:rsidRDefault="000A761E">
            <w:pPr>
              <w:jc w:val="right"/>
              <w:rPr>
                <w:rFonts w:ascii="Calibri" w:hAnsi="Calibri"/>
                <w:color w:val="000000"/>
              </w:rPr>
            </w:pPr>
            <w:r>
              <w:rPr>
                <w:rFonts w:ascii="Calibri" w:hAnsi="Calibri"/>
                <w:color w:val="000000"/>
              </w:rPr>
              <w:t>58.44</w:t>
            </w:r>
          </w:p>
        </w:tc>
        <w:tc>
          <w:tcPr>
            <w:tcW w:w="913" w:type="dxa"/>
            <w:vAlign w:val="bottom"/>
          </w:tcPr>
          <w:p w:rsidR="000A761E" w:rsidRDefault="000A761E">
            <w:pPr>
              <w:jc w:val="right"/>
              <w:rPr>
                <w:rFonts w:ascii="Calibri" w:hAnsi="Calibri"/>
                <w:color w:val="000000"/>
              </w:rPr>
            </w:pPr>
            <w:r>
              <w:rPr>
                <w:rFonts w:ascii="Calibri" w:hAnsi="Calibri"/>
                <w:color w:val="000000"/>
              </w:rPr>
              <w:t>1.35</w:t>
            </w:r>
          </w:p>
        </w:tc>
      </w:tr>
      <w:tr w:rsidR="000A761E" w:rsidRPr="00E666DF" w:rsidTr="00ED2776">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ES</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16.29</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1.41</w:t>
            </w:r>
          </w:p>
        </w:tc>
        <w:tc>
          <w:tcPr>
            <w:tcW w:w="896" w:type="dxa"/>
            <w:tcBorders>
              <w:top w:val="nil"/>
              <w:left w:val="single" w:sz="4" w:space="0" w:color="auto"/>
              <w:bottom w:val="nil"/>
              <w:right w:val="single" w:sz="4" w:space="0" w:color="auto"/>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left w:val="single" w:sz="4" w:space="0" w:color="auto"/>
            </w:tcBorders>
            <w:vAlign w:val="bottom"/>
          </w:tcPr>
          <w:p w:rsidR="000A761E" w:rsidRPr="00E666DF" w:rsidRDefault="000A761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PL</w:t>
            </w:r>
          </w:p>
        </w:tc>
        <w:tc>
          <w:tcPr>
            <w:tcW w:w="916" w:type="dxa"/>
            <w:vAlign w:val="bottom"/>
          </w:tcPr>
          <w:p w:rsidR="000A761E" w:rsidRDefault="000A761E">
            <w:pPr>
              <w:jc w:val="right"/>
              <w:rPr>
                <w:rFonts w:ascii="Calibri" w:hAnsi="Calibri"/>
                <w:color w:val="000000"/>
              </w:rPr>
            </w:pPr>
            <w:r>
              <w:rPr>
                <w:rFonts w:ascii="Calibri" w:hAnsi="Calibri"/>
                <w:color w:val="000000"/>
              </w:rPr>
              <w:t>15.90</w:t>
            </w:r>
          </w:p>
        </w:tc>
        <w:tc>
          <w:tcPr>
            <w:tcW w:w="913" w:type="dxa"/>
            <w:vAlign w:val="bottom"/>
          </w:tcPr>
          <w:p w:rsidR="000A761E" w:rsidRDefault="000A761E">
            <w:pPr>
              <w:jc w:val="right"/>
              <w:rPr>
                <w:rFonts w:ascii="Calibri" w:hAnsi="Calibri"/>
                <w:color w:val="000000"/>
              </w:rPr>
            </w:pPr>
            <w:r>
              <w:rPr>
                <w:rFonts w:ascii="Calibri" w:hAnsi="Calibri"/>
                <w:color w:val="000000"/>
              </w:rPr>
              <w:t>1.07</w:t>
            </w:r>
          </w:p>
        </w:tc>
      </w:tr>
      <w:tr w:rsidR="000A761E" w:rsidRPr="00E666DF" w:rsidTr="00940ECE">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FI</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3.58</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1.23</w:t>
            </w:r>
          </w:p>
        </w:tc>
        <w:tc>
          <w:tcPr>
            <w:tcW w:w="896" w:type="dxa"/>
            <w:tcBorders>
              <w:top w:val="nil"/>
              <w:left w:val="single" w:sz="4" w:space="0" w:color="auto"/>
              <w:bottom w:val="nil"/>
              <w:right w:val="single" w:sz="4" w:space="0" w:color="auto"/>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left w:val="single" w:sz="4" w:space="0" w:color="auto"/>
              <w:bottom w:val="single" w:sz="4" w:space="0" w:color="auto"/>
            </w:tcBorders>
            <w:vAlign w:val="bottom"/>
          </w:tcPr>
          <w:p w:rsidR="000A761E" w:rsidRPr="00E666DF" w:rsidRDefault="000A761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color w:val="000000"/>
                <w:lang w:eastAsia="en-GB"/>
              </w:rPr>
              <w:t>RO</w:t>
            </w:r>
          </w:p>
        </w:tc>
        <w:tc>
          <w:tcPr>
            <w:tcW w:w="916" w:type="dxa"/>
            <w:tcBorders>
              <w:bottom w:val="single" w:sz="4" w:space="0" w:color="auto"/>
            </w:tcBorders>
            <w:vAlign w:val="bottom"/>
          </w:tcPr>
          <w:p w:rsidR="000A761E" w:rsidRDefault="000A761E">
            <w:pPr>
              <w:jc w:val="right"/>
              <w:rPr>
                <w:rFonts w:ascii="Calibri" w:hAnsi="Calibri"/>
                <w:color w:val="000000"/>
              </w:rPr>
            </w:pPr>
            <w:r>
              <w:rPr>
                <w:rFonts w:ascii="Calibri" w:hAnsi="Calibri"/>
                <w:color w:val="000000"/>
              </w:rPr>
              <w:t>32.35</w:t>
            </w:r>
          </w:p>
        </w:tc>
        <w:tc>
          <w:tcPr>
            <w:tcW w:w="913" w:type="dxa"/>
            <w:tcBorders>
              <w:bottom w:val="single" w:sz="4" w:space="0" w:color="auto"/>
            </w:tcBorders>
            <w:vAlign w:val="bottom"/>
          </w:tcPr>
          <w:p w:rsidR="000A761E" w:rsidRPr="00940ECE" w:rsidRDefault="000A761E">
            <w:pPr>
              <w:jc w:val="right"/>
              <w:rPr>
                <w:rFonts w:ascii="Calibri" w:hAnsi="Calibri"/>
                <w:bCs/>
                <w:color w:val="000000"/>
              </w:rPr>
            </w:pPr>
            <w:r w:rsidRPr="00940ECE">
              <w:rPr>
                <w:rFonts w:ascii="Calibri" w:hAnsi="Calibri"/>
                <w:bCs/>
                <w:color w:val="000000"/>
              </w:rPr>
              <w:t>1.32</w:t>
            </w:r>
          </w:p>
        </w:tc>
      </w:tr>
      <w:tr w:rsidR="000A761E" w:rsidRPr="00E666DF" w:rsidTr="00940ECE">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FR</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-1.02</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0.95</w:t>
            </w:r>
          </w:p>
        </w:tc>
        <w:tc>
          <w:tcPr>
            <w:tcW w:w="896" w:type="dxa"/>
            <w:tcBorders>
              <w:top w:val="nil"/>
              <w:left w:val="single" w:sz="4" w:space="0" w:color="auto"/>
              <w:bottom w:val="nil"/>
              <w:right w:val="single" w:sz="4" w:space="0" w:color="auto"/>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left w:val="single" w:sz="4" w:space="0" w:color="auto"/>
              <w:bottom w:val="single" w:sz="4" w:space="0" w:color="auto"/>
            </w:tcBorders>
            <w:vAlign w:val="bottom"/>
          </w:tcPr>
          <w:p w:rsidR="000A761E" w:rsidRPr="00E666DF" w:rsidRDefault="000A761E" w:rsidP="00B3784E">
            <w:pPr>
              <w:spacing w:after="0"/>
              <w:jc w:val="left"/>
              <w:rPr>
                <w:rFonts w:ascii="Calibri" w:eastAsia="Times New Roman" w:hAnsi="Calibri" w:cs="Times New Roman"/>
                <w:color w:val="000000"/>
                <w:lang w:eastAsia="en-GB"/>
              </w:rPr>
            </w:pPr>
            <w:r w:rsidRPr="00E666DF">
              <w:rPr>
                <w:rFonts w:ascii="Calibri" w:eastAsia="Times New Roman" w:hAnsi="Calibri" w:cs="Times New Roman"/>
                <w:b/>
                <w:bCs/>
                <w:color w:val="000000"/>
                <w:lang w:eastAsia="en-GB"/>
              </w:rPr>
              <w:t xml:space="preserve">Average </w:t>
            </w:r>
            <w:r>
              <w:rPr>
                <w:rStyle w:val="FootnoteReference"/>
                <w:rFonts w:ascii="Calibri" w:eastAsia="Times New Roman" w:hAnsi="Calibri" w:cs="Times New Roman"/>
                <w:b/>
                <w:bCs/>
                <w:color w:val="000000"/>
                <w:lang w:eastAsia="en-GB"/>
              </w:rPr>
              <w:footnoteReference w:id="15"/>
            </w:r>
          </w:p>
        </w:tc>
        <w:tc>
          <w:tcPr>
            <w:tcW w:w="916" w:type="dxa"/>
            <w:tcBorders>
              <w:bottom w:val="single" w:sz="4" w:space="0" w:color="auto"/>
            </w:tcBorders>
            <w:vAlign w:val="bottom"/>
          </w:tcPr>
          <w:p w:rsidR="000A761E" w:rsidRPr="00E666DF" w:rsidRDefault="000A761E" w:rsidP="00ED2776">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27.56</w:t>
            </w:r>
          </w:p>
        </w:tc>
        <w:tc>
          <w:tcPr>
            <w:tcW w:w="913" w:type="dxa"/>
            <w:tcBorders>
              <w:bottom w:val="single" w:sz="4" w:space="0" w:color="auto"/>
            </w:tcBorders>
            <w:vAlign w:val="bottom"/>
          </w:tcPr>
          <w:p w:rsidR="000A761E" w:rsidRPr="00614941" w:rsidRDefault="000A761E" w:rsidP="00ED2776">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1.22</w:t>
            </w:r>
          </w:p>
        </w:tc>
      </w:tr>
      <w:tr w:rsidR="000A761E" w:rsidRPr="00E666DF" w:rsidTr="00940ECE">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GR</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4.19</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1.02</w:t>
            </w:r>
          </w:p>
        </w:tc>
        <w:tc>
          <w:tcPr>
            <w:tcW w:w="896" w:type="dxa"/>
            <w:tcBorders>
              <w:top w:val="nil"/>
              <w:left w:val="single" w:sz="4" w:space="0" w:color="auto"/>
              <w:bottom w:val="nil"/>
              <w:right w:val="nil"/>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top w:val="single" w:sz="4" w:space="0" w:color="auto"/>
              <w:left w:val="nil"/>
              <w:bottom w:val="nil"/>
              <w:right w:val="nil"/>
            </w:tcBorders>
            <w:vAlign w:val="bottom"/>
          </w:tcPr>
          <w:p w:rsidR="000A761E" w:rsidRPr="00E666DF" w:rsidRDefault="000A761E" w:rsidP="00ED2776">
            <w:pPr>
              <w:spacing w:after="0"/>
              <w:jc w:val="left"/>
              <w:rPr>
                <w:rFonts w:ascii="Calibri" w:eastAsia="Times New Roman" w:hAnsi="Calibri" w:cs="Times New Roman"/>
                <w:b/>
                <w:bCs/>
                <w:color w:val="000000"/>
                <w:lang w:eastAsia="en-GB"/>
              </w:rPr>
            </w:pPr>
          </w:p>
        </w:tc>
        <w:tc>
          <w:tcPr>
            <w:tcW w:w="916" w:type="dxa"/>
            <w:tcBorders>
              <w:top w:val="single" w:sz="4" w:space="0" w:color="auto"/>
              <w:left w:val="nil"/>
              <w:bottom w:val="nil"/>
              <w:right w:val="nil"/>
            </w:tcBorders>
            <w:vAlign w:val="bottom"/>
          </w:tcPr>
          <w:p w:rsidR="000A761E" w:rsidRPr="00E666DF" w:rsidRDefault="000A761E" w:rsidP="00ED2776">
            <w:pPr>
              <w:spacing w:after="0"/>
              <w:jc w:val="right"/>
              <w:rPr>
                <w:rFonts w:ascii="Calibri" w:eastAsia="Times New Roman" w:hAnsi="Calibri" w:cs="Times New Roman"/>
                <w:b/>
                <w:bCs/>
                <w:color w:val="000000"/>
                <w:lang w:eastAsia="en-GB"/>
              </w:rPr>
            </w:pPr>
          </w:p>
        </w:tc>
        <w:tc>
          <w:tcPr>
            <w:tcW w:w="913" w:type="dxa"/>
            <w:tcBorders>
              <w:top w:val="single" w:sz="4" w:space="0" w:color="auto"/>
              <w:left w:val="nil"/>
              <w:bottom w:val="nil"/>
              <w:right w:val="nil"/>
            </w:tcBorders>
            <w:vAlign w:val="bottom"/>
          </w:tcPr>
          <w:p w:rsidR="000A761E" w:rsidRPr="00614941" w:rsidRDefault="000A761E" w:rsidP="00ED2776">
            <w:pPr>
              <w:spacing w:after="0"/>
              <w:jc w:val="right"/>
              <w:rPr>
                <w:rFonts w:ascii="Calibri" w:eastAsia="Times New Roman" w:hAnsi="Calibri" w:cs="Times New Roman"/>
                <w:b/>
                <w:bCs/>
                <w:color w:val="000000"/>
                <w:lang w:eastAsia="en-GB"/>
              </w:rPr>
            </w:pPr>
          </w:p>
        </w:tc>
      </w:tr>
      <w:tr w:rsidR="000A761E" w:rsidRPr="00E666DF" w:rsidTr="00940ECE">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IT</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6.97</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1.32</w:t>
            </w:r>
          </w:p>
        </w:tc>
        <w:tc>
          <w:tcPr>
            <w:tcW w:w="896" w:type="dxa"/>
            <w:tcBorders>
              <w:top w:val="nil"/>
              <w:left w:val="single" w:sz="4" w:space="0" w:color="auto"/>
              <w:bottom w:val="nil"/>
              <w:right w:val="nil"/>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0A761E" w:rsidRPr="00E666DF" w:rsidRDefault="000A761E" w:rsidP="00ED2776">
            <w:pPr>
              <w:spacing w:after="0"/>
              <w:jc w:val="left"/>
              <w:rPr>
                <w:rFonts w:ascii="Calibri" w:eastAsia="Times New Roman" w:hAnsi="Calibri" w:cs="Times New Roman"/>
                <w:b/>
                <w:bCs/>
                <w:color w:val="000000"/>
                <w:lang w:eastAsia="en-GB"/>
              </w:rPr>
            </w:pPr>
          </w:p>
        </w:tc>
        <w:tc>
          <w:tcPr>
            <w:tcW w:w="916" w:type="dxa"/>
            <w:tcBorders>
              <w:top w:val="nil"/>
              <w:left w:val="nil"/>
              <w:bottom w:val="nil"/>
              <w:right w:val="nil"/>
            </w:tcBorders>
            <w:vAlign w:val="bottom"/>
          </w:tcPr>
          <w:p w:rsidR="000A761E" w:rsidRPr="00E666DF" w:rsidRDefault="000A761E" w:rsidP="00ED2776">
            <w:pPr>
              <w:spacing w:after="0"/>
              <w:jc w:val="left"/>
              <w:rPr>
                <w:rFonts w:ascii="Calibri" w:eastAsia="Times New Roman" w:hAnsi="Calibri" w:cs="Times New Roman"/>
                <w:b/>
                <w:bCs/>
                <w:color w:val="000000"/>
                <w:lang w:eastAsia="en-GB"/>
              </w:rPr>
            </w:pPr>
          </w:p>
        </w:tc>
        <w:tc>
          <w:tcPr>
            <w:tcW w:w="913" w:type="dxa"/>
            <w:tcBorders>
              <w:top w:val="nil"/>
              <w:left w:val="nil"/>
              <w:bottom w:val="nil"/>
              <w:right w:val="nil"/>
            </w:tcBorders>
            <w:vAlign w:val="bottom"/>
          </w:tcPr>
          <w:p w:rsidR="000A761E" w:rsidRPr="00E666DF" w:rsidRDefault="000A761E" w:rsidP="00ED2776">
            <w:pPr>
              <w:spacing w:after="0"/>
              <w:jc w:val="left"/>
              <w:rPr>
                <w:rFonts w:ascii="Calibri" w:eastAsia="Times New Roman" w:hAnsi="Calibri" w:cs="Times New Roman"/>
                <w:b/>
                <w:bCs/>
                <w:color w:val="000000"/>
                <w:lang w:eastAsia="en-GB"/>
              </w:rPr>
            </w:pPr>
          </w:p>
        </w:tc>
      </w:tr>
      <w:tr w:rsidR="000A761E" w:rsidRPr="00E666DF" w:rsidTr="00ED2776">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MT</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32.72</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1.25</w:t>
            </w:r>
          </w:p>
        </w:tc>
        <w:tc>
          <w:tcPr>
            <w:tcW w:w="896" w:type="dxa"/>
            <w:tcBorders>
              <w:top w:val="nil"/>
              <w:left w:val="single" w:sz="4" w:space="0" w:color="auto"/>
              <w:bottom w:val="nil"/>
              <w:right w:val="nil"/>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0A761E" w:rsidRPr="00E666DF" w:rsidRDefault="000A761E" w:rsidP="00ED2776">
            <w:pPr>
              <w:spacing w:after="0"/>
              <w:jc w:val="left"/>
              <w:rPr>
                <w:rFonts w:ascii="Calibri" w:eastAsia="Times New Roman" w:hAnsi="Calibri" w:cs="Times New Roman"/>
                <w:color w:val="000000"/>
                <w:lang w:eastAsia="en-GB"/>
              </w:rPr>
            </w:pPr>
          </w:p>
        </w:tc>
        <w:tc>
          <w:tcPr>
            <w:tcW w:w="916" w:type="dxa"/>
            <w:tcBorders>
              <w:top w:val="nil"/>
              <w:left w:val="nil"/>
              <w:bottom w:val="nil"/>
              <w:right w:val="nil"/>
            </w:tcBorders>
            <w:vAlign w:val="bottom"/>
          </w:tcPr>
          <w:p w:rsidR="000A761E" w:rsidRPr="00E666DF" w:rsidRDefault="000A761E" w:rsidP="00ED2776">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vAlign w:val="bottom"/>
          </w:tcPr>
          <w:p w:rsidR="000A761E" w:rsidRPr="00614941" w:rsidRDefault="000A761E" w:rsidP="00ED2776">
            <w:pPr>
              <w:spacing w:after="0"/>
              <w:jc w:val="right"/>
              <w:rPr>
                <w:rFonts w:ascii="Calibri" w:eastAsia="Times New Roman" w:hAnsi="Calibri" w:cs="Times New Roman"/>
                <w:color w:val="000000"/>
                <w:lang w:eastAsia="en-GB"/>
              </w:rPr>
            </w:pPr>
          </w:p>
        </w:tc>
      </w:tr>
      <w:tr w:rsidR="000A761E" w:rsidRPr="00E666DF" w:rsidTr="00ED2776">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NL</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5.56</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1.19</w:t>
            </w:r>
          </w:p>
        </w:tc>
        <w:tc>
          <w:tcPr>
            <w:tcW w:w="896" w:type="dxa"/>
            <w:tcBorders>
              <w:top w:val="nil"/>
              <w:left w:val="single" w:sz="4" w:space="0" w:color="auto"/>
              <w:bottom w:val="nil"/>
              <w:right w:val="nil"/>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vAlign w:val="bottom"/>
          </w:tcPr>
          <w:p w:rsidR="000A761E" w:rsidRPr="00E666DF" w:rsidRDefault="000A761E" w:rsidP="00ED2776">
            <w:pPr>
              <w:spacing w:after="0"/>
              <w:jc w:val="left"/>
              <w:rPr>
                <w:rFonts w:ascii="Calibri" w:eastAsia="Times New Roman" w:hAnsi="Calibri" w:cs="Times New Roman"/>
                <w:color w:val="000000"/>
                <w:lang w:eastAsia="en-GB"/>
              </w:rPr>
            </w:pPr>
          </w:p>
        </w:tc>
        <w:tc>
          <w:tcPr>
            <w:tcW w:w="916" w:type="dxa"/>
            <w:tcBorders>
              <w:top w:val="nil"/>
              <w:left w:val="nil"/>
              <w:bottom w:val="nil"/>
              <w:right w:val="nil"/>
            </w:tcBorders>
            <w:vAlign w:val="bottom"/>
          </w:tcPr>
          <w:p w:rsidR="000A761E" w:rsidRPr="00E666DF" w:rsidRDefault="000A761E" w:rsidP="00ED2776">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vAlign w:val="bottom"/>
          </w:tcPr>
          <w:p w:rsidR="000A761E" w:rsidRPr="00614941" w:rsidRDefault="000A761E" w:rsidP="00ED2776">
            <w:pPr>
              <w:spacing w:after="0"/>
              <w:jc w:val="right"/>
              <w:rPr>
                <w:rFonts w:ascii="Calibri" w:eastAsia="Times New Roman" w:hAnsi="Calibri" w:cs="Times New Roman"/>
                <w:color w:val="000000"/>
                <w:lang w:eastAsia="en-GB"/>
              </w:rPr>
            </w:pPr>
          </w:p>
        </w:tc>
      </w:tr>
      <w:tr w:rsidR="000A761E" w:rsidRPr="00E666DF" w:rsidTr="00ED2776">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PT</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20.33</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1.36</w:t>
            </w:r>
          </w:p>
        </w:tc>
        <w:tc>
          <w:tcPr>
            <w:tcW w:w="896" w:type="dxa"/>
            <w:tcBorders>
              <w:top w:val="nil"/>
              <w:left w:val="single" w:sz="4" w:space="0" w:color="auto"/>
              <w:bottom w:val="nil"/>
              <w:right w:val="nil"/>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tcPr>
          <w:p w:rsidR="000A761E" w:rsidRPr="0065310D" w:rsidRDefault="000A761E" w:rsidP="00ED2776">
            <w:pPr>
              <w:spacing w:after="0"/>
              <w:jc w:val="right"/>
              <w:rPr>
                <w:rFonts w:ascii="Calibri" w:eastAsia="Times New Roman" w:hAnsi="Calibri" w:cs="Times New Roman"/>
                <w:color w:val="000000"/>
                <w:lang w:eastAsia="en-GB"/>
              </w:rPr>
            </w:pPr>
          </w:p>
        </w:tc>
        <w:tc>
          <w:tcPr>
            <w:tcW w:w="916" w:type="dxa"/>
            <w:tcBorders>
              <w:top w:val="nil"/>
              <w:left w:val="nil"/>
              <w:bottom w:val="nil"/>
              <w:right w:val="nil"/>
            </w:tcBorders>
          </w:tcPr>
          <w:p w:rsidR="000A761E" w:rsidRPr="0065310D" w:rsidRDefault="000A761E" w:rsidP="00ED2776">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tcPr>
          <w:p w:rsidR="000A761E" w:rsidRPr="0065310D" w:rsidRDefault="000A761E" w:rsidP="00ED2776">
            <w:pPr>
              <w:spacing w:after="0"/>
              <w:jc w:val="right"/>
              <w:rPr>
                <w:rFonts w:ascii="Calibri" w:eastAsia="Times New Roman" w:hAnsi="Calibri" w:cs="Times New Roman"/>
                <w:color w:val="000000"/>
                <w:lang w:eastAsia="en-GB"/>
              </w:rPr>
            </w:pPr>
          </w:p>
        </w:tc>
      </w:tr>
      <w:tr w:rsidR="000A761E" w:rsidRPr="00E666DF" w:rsidTr="00ED2776">
        <w:trPr>
          <w:trHeight w:hRule="exact" w:val="284"/>
        </w:trPr>
        <w:tc>
          <w:tcPr>
            <w:tcW w:w="1181" w:type="dxa"/>
            <w:shd w:val="clear" w:color="auto" w:fill="auto"/>
            <w:noWrap/>
            <w:vAlign w:val="bottom"/>
            <w:hideMark/>
          </w:tcPr>
          <w:p w:rsidR="000A761E" w:rsidRPr="000A761E" w:rsidRDefault="000A761E" w:rsidP="000A761E">
            <w:pPr>
              <w:spacing w:after="0"/>
              <w:rPr>
                <w:rFonts w:ascii="Calibri" w:eastAsia="Times New Roman" w:hAnsi="Calibri" w:cs="Times New Roman"/>
                <w:color w:val="000000"/>
                <w:lang w:eastAsia="en-GB"/>
              </w:rPr>
            </w:pPr>
            <w:r w:rsidRPr="000A761E">
              <w:rPr>
                <w:rFonts w:ascii="Calibri" w:eastAsia="Times New Roman" w:hAnsi="Calibri" w:cs="Times New Roman"/>
                <w:color w:val="000000"/>
                <w:lang w:eastAsia="en-GB"/>
              </w:rPr>
              <w:t>SE</w:t>
            </w:r>
          </w:p>
        </w:tc>
        <w:tc>
          <w:tcPr>
            <w:tcW w:w="960" w:type="dxa"/>
            <w:shd w:val="clear" w:color="auto" w:fill="auto"/>
            <w:noWrap/>
            <w:vAlign w:val="bottom"/>
          </w:tcPr>
          <w:p w:rsidR="000A761E" w:rsidRDefault="000A761E">
            <w:pPr>
              <w:jc w:val="right"/>
              <w:rPr>
                <w:rFonts w:ascii="Calibri" w:hAnsi="Calibri"/>
                <w:color w:val="000000"/>
              </w:rPr>
            </w:pPr>
            <w:r>
              <w:rPr>
                <w:rFonts w:ascii="Calibri" w:hAnsi="Calibri"/>
                <w:color w:val="000000"/>
              </w:rPr>
              <w:t>2.90</w:t>
            </w:r>
          </w:p>
        </w:tc>
        <w:tc>
          <w:tcPr>
            <w:tcW w:w="932" w:type="dxa"/>
            <w:tcBorders>
              <w:right w:val="single" w:sz="4" w:space="0" w:color="auto"/>
            </w:tcBorders>
            <w:vAlign w:val="bottom"/>
          </w:tcPr>
          <w:p w:rsidR="000A761E" w:rsidRDefault="000A761E">
            <w:pPr>
              <w:jc w:val="right"/>
              <w:rPr>
                <w:rFonts w:ascii="Calibri" w:hAnsi="Calibri"/>
                <w:color w:val="000000"/>
              </w:rPr>
            </w:pPr>
            <w:r>
              <w:rPr>
                <w:rFonts w:ascii="Calibri" w:hAnsi="Calibri"/>
                <w:color w:val="000000"/>
              </w:rPr>
              <w:t>1.20</w:t>
            </w:r>
          </w:p>
        </w:tc>
        <w:tc>
          <w:tcPr>
            <w:tcW w:w="896" w:type="dxa"/>
            <w:tcBorders>
              <w:top w:val="nil"/>
              <w:left w:val="single" w:sz="4" w:space="0" w:color="auto"/>
              <w:bottom w:val="nil"/>
              <w:right w:val="nil"/>
            </w:tcBorders>
            <w:shd w:val="clear" w:color="auto" w:fill="auto"/>
          </w:tcPr>
          <w:p w:rsidR="000A761E" w:rsidRPr="0065310D" w:rsidRDefault="000A761E" w:rsidP="00ED2776">
            <w:pPr>
              <w:spacing w:after="0"/>
              <w:jc w:val="right"/>
              <w:rPr>
                <w:rFonts w:ascii="Calibri" w:eastAsia="Times New Roman" w:hAnsi="Calibri" w:cs="Times New Roman"/>
                <w:color w:val="000000"/>
                <w:lang w:eastAsia="en-GB"/>
              </w:rPr>
            </w:pPr>
          </w:p>
        </w:tc>
        <w:tc>
          <w:tcPr>
            <w:tcW w:w="967" w:type="dxa"/>
            <w:tcBorders>
              <w:top w:val="nil"/>
              <w:left w:val="nil"/>
              <w:bottom w:val="nil"/>
              <w:right w:val="nil"/>
            </w:tcBorders>
          </w:tcPr>
          <w:p w:rsidR="000A761E" w:rsidRPr="0065310D" w:rsidRDefault="000A761E" w:rsidP="00ED2776">
            <w:pPr>
              <w:spacing w:after="0"/>
              <w:jc w:val="right"/>
              <w:rPr>
                <w:rFonts w:ascii="Calibri" w:eastAsia="Times New Roman" w:hAnsi="Calibri" w:cs="Times New Roman"/>
                <w:color w:val="000000"/>
                <w:lang w:eastAsia="en-GB"/>
              </w:rPr>
            </w:pPr>
          </w:p>
        </w:tc>
        <w:tc>
          <w:tcPr>
            <w:tcW w:w="916" w:type="dxa"/>
            <w:tcBorders>
              <w:top w:val="nil"/>
              <w:left w:val="nil"/>
              <w:bottom w:val="nil"/>
              <w:right w:val="nil"/>
            </w:tcBorders>
          </w:tcPr>
          <w:p w:rsidR="000A761E" w:rsidRPr="0065310D" w:rsidRDefault="000A761E" w:rsidP="00ED2776">
            <w:pPr>
              <w:spacing w:after="0"/>
              <w:jc w:val="right"/>
              <w:rPr>
                <w:rFonts w:ascii="Calibri" w:eastAsia="Times New Roman" w:hAnsi="Calibri" w:cs="Times New Roman"/>
                <w:color w:val="000000"/>
                <w:lang w:eastAsia="en-GB"/>
              </w:rPr>
            </w:pPr>
          </w:p>
        </w:tc>
        <w:tc>
          <w:tcPr>
            <w:tcW w:w="913" w:type="dxa"/>
            <w:tcBorders>
              <w:top w:val="nil"/>
              <w:left w:val="nil"/>
              <w:bottom w:val="nil"/>
              <w:right w:val="nil"/>
            </w:tcBorders>
          </w:tcPr>
          <w:p w:rsidR="000A761E" w:rsidRPr="0065310D" w:rsidRDefault="000A761E" w:rsidP="00ED2776">
            <w:pPr>
              <w:spacing w:after="0"/>
              <w:jc w:val="right"/>
              <w:rPr>
                <w:rFonts w:ascii="Calibri" w:eastAsia="Times New Roman" w:hAnsi="Calibri" w:cs="Times New Roman"/>
                <w:color w:val="000000"/>
                <w:lang w:eastAsia="en-GB"/>
              </w:rPr>
            </w:pPr>
          </w:p>
        </w:tc>
      </w:tr>
      <w:tr w:rsidR="00ED2776" w:rsidRPr="00E666DF" w:rsidTr="00ED2776">
        <w:trPr>
          <w:trHeight w:hRule="exact" w:val="284"/>
        </w:trPr>
        <w:tc>
          <w:tcPr>
            <w:tcW w:w="1181" w:type="dxa"/>
            <w:shd w:val="clear" w:color="auto" w:fill="auto"/>
            <w:noWrap/>
            <w:vAlign w:val="bottom"/>
            <w:hideMark/>
          </w:tcPr>
          <w:p w:rsidR="00ED2776" w:rsidRPr="00E666DF" w:rsidRDefault="00ED2776" w:rsidP="00ED2776">
            <w:pPr>
              <w:spacing w:after="0"/>
              <w:jc w:val="left"/>
              <w:rPr>
                <w:rFonts w:ascii="Calibri" w:eastAsia="Times New Roman" w:hAnsi="Calibri" w:cs="Times New Roman"/>
                <w:b/>
                <w:bCs/>
                <w:color w:val="000000"/>
                <w:lang w:eastAsia="en-GB"/>
              </w:rPr>
            </w:pPr>
            <w:r w:rsidRPr="00E666DF">
              <w:rPr>
                <w:rFonts w:ascii="Calibri" w:eastAsia="Times New Roman" w:hAnsi="Calibri" w:cs="Times New Roman"/>
                <w:b/>
                <w:bCs/>
                <w:color w:val="000000"/>
                <w:lang w:eastAsia="en-GB"/>
              </w:rPr>
              <w:t xml:space="preserve">Average </w:t>
            </w:r>
            <w:r>
              <w:rPr>
                <w:rStyle w:val="FootnoteReference"/>
                <w:rFonts w:ascii="Calibri" w:eastAsia="Times New Roman" w:hAnsi="Calibri" w:cs="Times New Roman"/>
                <w:b/>
                <w:bCs/>
                <w:color w:val="000000"/>
                <w:lang w:eastAsia="en-GB"/>
              </w:rPr>
              <w:footnoteReference w:id="16"/>
            </w:r>
          </w:p>
        </w:tc>
        <w:tc>
          <w:tcPr>
            <w:tcW w:w="960" w:type="dxa"/>
            <w:shd w:val="clear" w:color="auto" w:fill="auto"/>
            <w:noWrap/>
            <w:vAlign w:val="bottom"/>
          </w:tcPr>
          <w:p w:rsidR="00ED2776" w:rsidRPr="00E666DF" w:rsidRDefault="00940ECE" w:rsidP="00ED2776">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6.53</w:t>
            </w:r>
          </w:p>
        </w:tc>
        <w:tc>
          <w:tcPr>
            <w:tcW w:w="932" w:type="dxa"/>
            <w:tcBorders>
              <w:right w:val="single" w:sz="4" w:space="0" w:color="auto"/>
            </w:tcBorders>
            <w:vAlign w:val="bottom"/>
          </w:tcPr>
          <w:p w:rsidR="00ED2776" w:rsidRPr="0065310D" w:rsidRDefault="00940ECE" w:rsidP="00ED2776">
            <w:pPr>
              <w:spacing w:after="0"/>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1.18</w:t>
            </w:r>
          </w:p>
        </w:tc>
        <w:tc>
          <w:tcPr>
            <w:tcW w:w="896" w:type="dxa"/>
            <w:tcBorders>
              <w:top w:val="nil"/>
              <w:left w:val="single" w:sz="4" w:space="0" w:color="auto"/>
              <w:bottom w:val="nil"/>
              <w:right w:val="nil"/>
            </w:tcBorders>
            <w:shd w:val="clear" w:color="auto" w:fill="auto"/>
          </w:tcPr>
          <w:p w:rsidR="00ED2776" w:rsidRPr="0065310D" w:rsidRDefault="00ED2776" w:rsidP="00ED2776">
            <w:pPr>
              <w:spacing w:after="0"/>
              <w:jc w:val="right"/>
              <w:rPr>
                <w:rFonts w:ascii="Calibri" w:eastAsia="Times New Roman" w:hAnsi="Calibri" w:cs="Times New Roman"/>
                <w:b/>
                <w:bCs/>
                <w:color w:val="000000"/>
                <w:lang w:eastAsia="en-GB"/>
              </w:rPr>
            </w:pPr>
          </w:p>
        </w:tc>
        <w:tc>
          <w:tcPr>
            <w:tcW w:w="967" w:type="dxa"/>
            <w:tcBorders>
              <w:top w:val="nil"/>
              <w:left w:val="nil"/>
              <w:bottom w:val="nil"/>
              <w:right w:val="nil"/>
            </w:tcBorders>
          </w:tcPr>
          <w:p w:rsidR="00ED2776" w:rsidRPr="0065310D" w:rsidRDefault="00ED2776" w:rsidP="00ED2776">
            <w:pPr>
              <w:spacing w:after="0"/>
              <w:jc w:val="right"/>
              <w:rPr>
                <w:rFonts w:ascii="Calibri" w:eastAsia="Times New Roman" w:hAnsi="Calibri" w:cs="Times New Roman"/>
                <w:b/>
                <w:bCs/>
                <w:color w:val="000000"/>
                <w:lang w:eastAsia="en-GB"/>
              </w:rPr>
            </w:pPr>
          </w:p>
        </w:tc>
        <w:tc>
          <w:tcPr>
            <w:tcW w:w="916" w:type="dxa"/>
            <w:tcBorders>
              <w:top w:val="nil"/>
              <w:left w:val="nil"/>
              <w:bottom w:val="nil"/>
              <w:right w:val="nil"/>
            </w:tcBorders>
          </w:tcPr>
          <w:p w:rsidR="00ED2776" w:rsidRPr="0065310D" w:rsidRDefault="00ED2776" w:rsidP="00ED2776">
            <w:pPr>
              <w:spacing w:after="0"/>
              <w:jc w:val="right"/>
              <w:rPr>
                <w:rFonts w:ascii="Calibri" w:eastAsia="Times New Roman" w:hAnsi="Calibri" w:cs="Times New Roman"/>
                <w:b/>
                <w:bCs/>
                <w:color w:val="000000"/>
                <w:lang w:eastAsia="en-GB"/>
              </w:rPr>
            </w:pPr>
          </w:p>
        </w:tc>
        <w:tc>
          <w:tcPr>
            <w:tcW w:w="913" w:type="dxa"/>
            <w:tcBorders>
              <w:top w:val="nil"/>
              <w:left w:val="nil"/>
              <w:bottom w:val="nil"/>
              <w:right w:val="nil"/>
            </w:tcBorders>
          </w:tcPr>
          <w:p w:rsidR="00ED2776" w:rsidRPr="0065310D" w:rsidRDefault="00ED2776" w:rsidP="00ED2776">
            <w:pPr>
              <w:spacing w:after="0"/>
              <w:jc w:val="right"/>
              <w:rPr>
                <w:rFonts w:ascii="Calibri" w:eastAsia="Times New Roman" w:hAnsi="Calibri" w:cs="Times New Roman"/>
                <w:b/>
                <w:bCs/>
                <w:color w:val="000000"/>
                <w:lang w:eastAsia="en-GB"/>
              </w:rPr>
            </w:pPr>
          </w:p>
        </w:tc>
      </w:tr>
    </w:tbl>
    <w:p w:rsidR="000A761E" w:rsidRDefault="000A761E" w:rsidP="00D230BA"/>
    <w:p w:rsidR="004B08DA" w:rsidRDefault="004B08DA" w:rsidP="004B08DA">
      <w:pPr>
        <w:pStyle w:val="Caption"/>
      </w:pPr>
      <w:bookmarkStart w:id="57" w:name="_Ref364948933"/>
      <w:bookmarkStart w:id="58" w:name="_Toc373136656"/>
      <w:r>
        <w:t xml:space="preserve">Figure </w:t>
      </w:r>
      <w:r>
        <w:fldChar w:fldCharType="begin"/>
      </w:r>
      <w:r>
        <w:instrText xml:space="preserve"> SEQ Figure \* ARABIC </w:instrText>
      </w:r>
      <w:r>
        <w:fldChar w:fldCharType="separate"/>
      </w:r>
      <w:r w:rsidR="0013270A">
        <w:rPr>
          <w:noProof/>
        </w:rPr>
        <w:t>7</w:t>
      </w:r>
      <w:r>
        <w:fldChar w:fldCharType="end"/>
      </w:r>
      <w:bookmarkEnd w:id="57"/>
      <w:r>
        <w:t xml:space="preserve">: Monetary compensation of labour in the top 4 'winning sectors' and top 4 'losing sectors' when </w:t>
      </w:r>
      <w:r w:rsidR="00883B09">
        <w:t>increasing efficiency of transport services</w:t>
      </w:r>
      <w:bookmarkEnd w:id="58"/>
    </w:p>
    <w:p w:rsidR="00F94453" w:rsidRDefault="00F94453" w:rsidP="00D230BA">
      <w:r>
        <w:rPr>
          <w:noProof/>
          <w:lang w:eastAsia="en-GB"/>
        </w:rPr>
        <w:drawing>
          <wp:inline distT="0" distB="0" distL="0" distR="0" wp14:anchorId="05DD5F8F" wp14:editId="727E39B7">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627D" w:rsidRDefault="004D627D" w:rsidP="00D230BA"/>
    <w:p w:rsidR="004D627D" w:rsidRDefault="004D627D" w:rsidP="00D230BA">
      <w:r>
        <w:t xml:space="preserve">Further analysis of the </w:t>
      </w:r>
      <w:r w:rsidR="00AF2BDA">
        <w:t xml:space="preserve">inter-country differences showed that the relative size of the labour compensation in land and air transport sector (water transport to a minor degree), auxiliary transport sector and wholesale trade contributed positively to the job multiplier. The size of the machinery and basic metal sectors contributed negatively to </w:t>
      </w:r>
      <w:r w:rsidR="00AF2BDA">
        <w:lastRenderedPageBreak/>
        <w:t>the job multiplier. By far the largest impact was caused by the size of the land transport sector (</w:t>
      </w:r>
      <w:r w:rsidR="00AF2BDA">
        <w:fldChar w:fldCharType="begin"/>
      </w:r>
      <w:r w:rsidR="00AF2BDA">
        <w:instrText xml:space="preserve"> REF _Ref372641155 \h </w:instrText>
      </w:r>
      <w:r w:rsidR="00AF2BDA">
        <w:fldChar w:fldCharType="separate"/>
      </w:r>
      <w:r w:rsidR="0013270A">
        <w:t xml:space="preserve">Figure </w:t>
      </w:r>
      <w:r w:rsidR="0013270A">
        <w:rPr>
          <w:noProof/>
        </w:rPr>
        <w:t>8</w:t>
      </w:r>
      <w:r w:rsidR="00AF2BDA">
        <w:fldChar w:fldCharType="end"/>
      </w:r>
      <w:r w:rsidR="00AF2BDA">
        <w:t>) and auxiliary transport sector (</w:t>
      </w:r>
      <w:r w:rsidR="00AF2BDA">
        <w:fldChar w:fldCharType="begin"/>
      </w:r>
      <w:r w:rsidR="00AF2BDA">
        <w:instrText xml:space="preserve"> REF _Ref372641171 \h </w:instrText>
      </w:r>
      <w:r w:rsidR="00AF2BDA">
        <w:fldChar w:fldCharType="separate"/>
      </w:r>
      <w:r w:rsidR="0013270A">
        <w:t xml:space="preserve">Figure </w:t>
      </w:r>
      <w:r w:rsidR="0013270A">
        <w:rPr>
          <w:noProof/>
        </w:rPr>
        <w:t>9</w:t>
      </w:r>
      <w:r w:rsidR="00AF2BDA">
        <w:fldChar w:fldCharType="end"/>
      </w:r>
      <w:r w:rsidR="00AF2BDA">
        <w:t xml:space="preserve">). </w:t>
      </w:r>
      <w:r w:rsidR="00C72CD1">
        <w:t>This is not that surprisin</w:t>
      </w:r>
      <w:r w:rsidR="009D1B9D">
        <w:t xml:space="preserve">g, as both indicators reflect the </w:t>
      </w:r>
      <w:r w:rsidR="00C72CD1">
        <w:t xml:space="preserve">dependence of the economy </w:t>
      </w:r>
      <w:r w:rsidR="009D1B9D">
        <w:t>on</w:t>
      </w:r>
      <w:r w:rsidR="00C72CD1">
        <w:t xml:space="preserve"> transport</w:t>
      </w:r>
      <w:r w:rsidR="009D1B9D">
        <w:t xml:space="preserve"> services</w:t>
      </w:r>
      <w:r w:rsidR="00C72CD1">
        <w:t>. Our results imply that if the auxiliary transport sector is relatively big, so are the potential gain</w:t>
      </w:r>
      <w:r w:rsidR="009D1B9D">
        <w:t xml:space="preserve">s of administrative efficiency. This would in turn imply, that countries with a large (auxiliary) transport sector, should not refrain from using the potential of labour saving technologies. The savings caused by the efficiency gains lead to an important net increase in the economy wide employment. </w:t>
      </w:r>
      <w:r w:rsidR="00330F2D">
        <w:t xml:space="preserve">This follows the same logic as </w:t>
      </w:r>
      <w:r w:rsidR="00330F2D" w:rsidRPr="000A761E">
        <w:rPr>
          <w:rFonts w:cs="Arial"/>
          <w:lang w:eastAsia="en-GB"/>
        </w:rPr>
        <w:t>(</w:t>
      </w:r>
      <w:proofErr w:type="gramStart"/>
      <w:r w:rsidR="00330F2D" w:rsidRPr="000A761E">
        <w:rPr>
          <w:rFonts w:cs="Times New Roman"/>
        </w:rPr>
        <w:t>SWD(</w:t>
      </w:r>
      <w:proofErr w:type="gramEnd"/>
      <w:r w:rsidR="00330F2D" w:rsidRPr="000A761E">
        <w:rPr>
          <w:rFonts w:cs="Times New Roman"/>
        </w:rPr>
        <w:t>2013) 206 final</w:t>
      </w:r>
      <w:r w:rsidR="00330F2D">
        <w:rPr>
          <w:rFonts w:cs="Times New Roman"/>
        </w:rPr>
        <w:t>.</w:t>
      </w:r>
    </w:p>
    <w:p w:rsidR="004D627D" w:rsidRPr="004D627D" w:rsidRDefault="004D627D" w:rsidP="004D627D">
      <w:pPr>
        <w:pStyle w:val="Caption"/>
        <w:rPr>
          <w:lang w:val="en-US"/>
        </w:rPr>
      </w:pPr>
      <w:bookmarkStart w:id="59" w:name="_Ref372641155"/>
      <w:bookmarkStart w:id="60" w:name="_Toc373136657"/>
      <w:r>
        <w:t xml:space="preserve">Figure </w:t>
      </w:r>
      <w:r>
        <w:fldChar w:fldCharType="begin"/>
      </w:r>
      <w:r>
        <w:instrText xml:space="preserve"> SEQ Figure \* ARABIC </w:instrText>
      </w:r>
      <w:r>
        <w:fldChar w:fldCharType="separate"/>
      </w:r>
      <w:r w:rsidR="0013270A">
        <w:rPr>
          <w:noProof/>
        </w:rPr>
        <w:t>8</w:t>
      </w:r>
      <w:r>
        <w:fldChar w:fldCharType="end"/>
      </w:r>
      <w:bookmarkEnd w:id="59"/>
      <w:r>
        <w:t>: Correlation between share of labour compensation in land transport and the job multiplier</w:t>
      </w:r>
      <w:bookmarkEnd w:id="60"/>
    </w:p>
    <w:p w:rsidR="0016701E" w:rsidRDefault="0016701E" w:rsidP="00D230BA">
      <w:r>
        <w:rPr>
          <w:noProof/>
          <w:lang w:eastAsia="en-GB"/>
        </w:rPr>
        <w:drawing>
          <wp:inline distT="0" distB="0" distL="0" distR="0" wp14:anchorId="117C9CC6" wp14:editId="74970928">
            <wp:extent cx="4572000" cy="25527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627D" w:rsidRPr="004D627D" w:rsidRDefault="004D627D" w:rsidP="004D627D">
      <w:pPr>
        <w:pStyle w:val="Caption"/>
        <w:rPr>
          <w:lang w:val="en-US"/>
        </w:rPr>
      </w:pPr>
      <w:bookmarkStart w:id="61" w:name="_Ref372641171"/>
      <w:bookmarkStart w:id="62" w:name="_Toc373136658"/>
      <w:r>
        <w:t xml:space="preserve">Figure </w:t>
      </w:r>
      <w:r>
        <w:fldChar w:fldCharType="begin"/>
      </w:r>
      <w:r>
        <w:instrText xml:space="preserve"> SEQ Figure \* ARABIC </w:instrText>
      </w:r>
      <w:r>
        <w:fldChar w:fldCharType="separate"/>
      </w:r>
      <w:r w:rsidR="0013270A">
        <w:rPr>
          <w:noProof/>
        </w:rPr>
        <w:t>9</w:t>
      </w:r>
      <w:r>
        <w:fldChar w:fldCharType="end"/>
      </w:r>
      <w:bookmarkEnd w:id="61"/>
      <w:r>
        <w:t>: Correlation between share of labour compensation in auxiliary transport services and the job multiplier</w:t>
      </w:r>
      <w:r w:rsidR="00330F2D">
        <w:rPr>
          <w:rStyle w:val="FootnoteReference"/>
        </w:rPr>
        <w:footnoteReference w:id="17"/>
      </w:r>
      <w:bookmarkEnd w:id="62"/>
    </w:p>
    <w:p w:rsidR="0016701E" w:rsidRPr="00D230BA" w:rsidRDefault="0016701E" w:rsidP="00D230BA">
      <w:r>
        <w:rPr>
          <w:noProof/>
          <w:lang w:eastAsia="en-GB"/>
        </w:rPr>
        <w:drawing>
          <wp:inline distT="0" distB="0" distL="0" distR="0" wp14:anchorId="65BEC9A2" wp14:editId="634A40BD">
            <wp:extent cx="4572000" cy="26289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87085" w:rsidRDefault="00C63B97" w:rsidP="00387085">
      <w:pPr>
        <w:pStyle w:val="Heading2"/>
        <w:rPr>
          <w:lang w:val="en-US"/>
        </w:rPr>
      </w:pPr>
      <w:bookmarkStart w:id="63" w:name="_Toc366244949"/>
      <w:r>
        <w:rPr>
          <w:lang w:val="en-US"/>
        </w:rPr>
        <w:lastRenderedPageBreak/>
        <w:t>Overview and conclusion</w:t>
      </w:r>
      <w:bookmarkEnd w:id="63"/>
    </w:p>
    <w:p w:rsidR="00734583" w:rsidRDefault="00734583" w:rsidP="00734583">
      <w:pPr>
        <w:rPr>
          <w:lang w:val="en-US"/>
        </w:rPr>
      </w:pPr>
      <w:r>
        <w:rPr>
          <w:lang w:val="en-US"/>
        </w:rPr>
        <w:t xml:space="preserve">In </w:t>
      </w:r>
      <w:r>
        <w:rPr>
          <w:lang w:val="en-US"/>
        </w:rPr>
        <w:fldChar w:fldCharType="begin"/>
      </w:r>
      <w:r>
        <w:rPr>
          <w:lang w:val="en-US"/>
        </w:rPr>
        <w:instrText xml:space="preserve"> REF _Ref361908694 \h </w:instrText>
      </w:r>
      <w:r>
        <w:rPr>
          <w:lang w:val="en-US"/>
        </w:rPr>
      </w:r>
      <w:r>
        <w:rPr>
          <w:lang w:val="en-US"/>
        </w:rPr>
        <w:fldChar w:fldCharType="separate"/>
      </w:r>
      <w:r w:rsidR="0013270A">
        <w:t xml:space="preserve">Table </w:t>
      </w:r>
      <w:r w:rsidR="0013270A">
        <w:rPr>
          <w:noProof/>
        </w:rPr>
        <w:t>9</w:t>
      </w:r>
      <w:r>
        <w:rPr>
          <w:lang w:val="en-US"/>
        </w:rPr>
        <w:fldChar w:fldCharType="end"/>
      </w:r>
      <w:r w:rsidR="00C63B97">
        <w:rPr>
          <w:lang w:val="en-US"/>
        </w:rPr>
        <w:t xml:space="preserve"> below, we give an overview of the job </w:t>
      </w:r>
      <w:r w:rsidR="00D5673D">
        <w:rPr>
          <w:lang w:val="en-US"/>
        </w:rPr>
        <w:t xml:space="preserve">and GDP </w:t>
      </w:r>
      <w:r w:rsidR="00C63B97">
        <w:rPr>
          <w:lang w:val="en-US"/>
        </w:rPr>
        <w:t xml:space="preserve">multipliers calculated above. We see that the values of EDIP match relatively well with our review </w:t>
      </w:r>
      <w:r w:rsidR="00736194">
        <w:rPr>
          <w:lang w:val="en-US"/>
        </w:rPr>
        <w:t xml:space="preserve">of literature, but diverge in a number of </w:t>
      </w:r>
      <w:r w:rsidR="00D5673D">
        <w:rPr>
          <w:lang w:val="en-US"/>
        </w:rPr>
        <w:t>critical aspects, especially when looking at GDP impacts.</w:t>
      </w:r>
    </w:p>
    <w:p w:rsidR="00736194" w:rsidRDefault="00736194" w:rsidP="00734583">
      <w:pPr>
        <w:rPr>
          <w:lang w:val="en-US"/>
        </w:rPr>
      </w:pPr>
      <w:r>
        <w:rPr>
          <w:lang w:val="en-US"/>
        </w:rPr>
        <w:t xml:space="preserve">The first is methodological. </w:t>
      </w:r>
      <w:r w:rsidR="00DB66EC">
        <w:rPr>
          <w:lang w:val="en-US"/>
        </w:rPr>
        <w:t>We base our results</w:t>
      </w:r>
      <w:r>
        <w:rPr>
          <w:lang w:val="en-US"/>
        </w:rPr>
        <w:t xml:space="preserve"> on a </w:t>
      </w:r>
      <w:r w:rsidR="00DB66EC">
        <w:rPr>
          <w:lang w:val="en-US"/>
        </w:rPr>
        <w:t>full-scale</w:t>
      </w:r>
      <w:r>
        <w:rPr>
          <w:lang w:val="en-US"/>
        </w:rPr>
        <w:t xml:space="preserve"> general equilibrium model, taking into account all price changes on internal and external markets. In </w:t>
      </w:r>
      <w:r w:rsidR="00DB66EC">
        <w:rPr>
          <w:lang w:val="en-US"/>
        </w:rPr>
        <w:t>general,</w:t>
      </w:r>
      <w:r>
        <w:rPr>
          <w:lang w:val="en-US"/>
        </w:rPr>
        <w:t xml:space="preserve"> our results are lower than the ones of the other models. </w:t>
      </w:r>
      <w:r w:rsidR="00DB66EC">
        <w:rPr>
          <w:lang w:val="en-US"/>
        </w:rPr>
        <w:t>Theoretically,</w:t>
      </w:r>
      <w:r>
        <w:rPr>
          <w:lang w:val="en-US"/>
        </w:rPr>
        <w:t xml:space="preserve"> this is perfectly understandable, as </w:t>
      </w:r>
      <w:r w:rsidR="00DB66EC">
        <w:rPr>
          <w:lang w:val="en-US"/>
        </w:rPr>
        <w:t xml:space="preserve">these studies use </w:t>
      </w:r>
      <w:proofErr w:type="spellStart"/>
      <w:r>
        <w:rPr>
          <w:lang w:val="en-US"/>
        </w:rPr>
        <w:t>Input/Output</w:t>
      </w:r>
      <w:proofErr w:type="spellEnd"/>
      <w:r>
        <w:rPr>
          <w:lang w:val="en-US"/>
        </w:rPr>
        <w:t xml:space="preserve"> models </w:t>
      </w:r>
      <w:r w:rsidR="00DB66EC">
        <w:rPr>
          <w:lang w:val="en-US"/>
        </w:rPr>
        <w:t>that do not take</w:t>
      </w:r>
      <w:r>
        <w:rPr>
          <w:lang w:val="en-US"/>
        </w:rPr>
        <w:t xml:space="preserve"> into account changes in prices and calculate the impacts linearly. </w:t>
      </w:r>
      <w:r w:rsidR="00DB66EC">
        <w:rPr>
          <w:lang w:val="en-US"/>
        </w:rPr>
        <w:t>Hence,</w:t>
      </w:r>
      <w:r>
        <w:rPr>
          <w:lang w:val="en-US"/>
        </w:rPr>
        <w:t xml:space="preserve"> </w:t>
      </w:r>
      <w:proofErr w:type="spellStart"/>
      <w:r>
        <w:rPr>
          <w:lang w:val="en-US"/>
        </w:rPr>
        <w:t>Input/Output</w:t>
      </w:r>
      <w:proofErr w:type="spellEnd"/>
      <w:r>
        <w:rPr>
          <w:lang w:val="en-US"/>
        </w:rPr>
        <w:t xml:space="preserve"> models will commonly overestimate job creation effects. </w:t>
      </w:r>
    </w:p>
    <w:p w:rsidR="006B4082" w:rsidRDefault="00C63B97" w:rsidP="00C72CD1">
      <w:pPr>
        <w:rPr>
          <w:lang w:val="en-US"/>
        </w:rPr>
      </w:pPr>
      <w:r>
        <w:rPr>
          <w:lang w:val="en-US"/>
        </w:rPr>
        <w:t xml:space="preserve">The </w:t>
      </w:r>
      <w:r w:rsidR="00736194">
        <w:rPr>
          <w:lang w:val="en-US"/>
        </w:rPr>
        <w:t>second</w:t>
      </w:r>
      <w:r>
        <w:rPr>
          <w:lang w:val="en-US"/>
        </w:rPr>
        <w:t xml:space="preserve"> is that there is a big difference in jobs created within the richer and more developed Western and Northern EU countries (BE, DE, FR, FI, DK,…), Southern EU countries (ES, IT, GR) and Eastern EU countries (PL, BG, CZ, ..). This runs parallel with the relative </w:t>
      </w:r>
      <w:proofErr w:type="spellStart"/>
      <w:r>
        <w:rPr>
          <w:lang w:val="en-US"/>
        </w:rPr>
        <w:t>labour</w:t>
      </w:r>
      <w:proofErr w:type="spellEnd"/>
      <w:r>
        <w:rPr>
          <w:lang w:val="en-US"/>
        </w:rPr>
        <w:t xml:space="preserve"> intensity of the economy, the wage rates and the current unemployment rates. This would imply that job creation is quite different in the developing EU economies. </w:t>
      </w:r>
    </w:p>
    <w:p w:rsidR="00C72CD1" w:rsidRPr="006B4082" w:rsidRDefault="00C63B97" w:rsidP="00C72CD1">
      <w:pPr>
        <w:rPr>
          <w:lang w:val="en-US"/>
        </w:rPr>
      </w:pPr>
      <w:r>
        <w:rPr>
          <w:lang w:val="en-US"/>
        </w:rPr>
        <w:t>Energy efficiency improvements and transport subsidies deliver about 3 times more jobs in the Eastern European (Group 2) than in the other countries.</w:t>
      </w:r>
      <w:r w:rsidR="00C72CD1">
        <w:rPr>
          <w:lang w:val="en-US"/>
        </w:rPr>
        <w:t xml:space="preserve"> We are not the first to remark this difference in the relative impact of improvements in energy efficiency. Both the </w:t>
      </w:r>
      <w:r w:rsidR="00C72CD1">
        <w:t>Green Jobs Initiative</w:t>
      </w:r>
      <w:r w:rsidR="00C72CD1">
        <w:rPr>
          <w:rStyle w:val="FootnoteReference"/>
        </w:rPr>
        <w:footnoteReference w:id="18"/>
      </w:r>
      <w:r w:rsidR="00C72CD1">
        <w:t xml:space="preserve"> (2012) and the Energy Efficiency Industrial Forum (2012) found similar differences when studying the impact of a number of renovation projects across the European Union and the US. </w:t>
      </w:r>
    </w:p>
    <w:p w:rsidR="00736194" w:rsidRPr="006B4082" w:rsidRDefault="00736194" w:rsidP="00734583">
      <w:pPr>
        <w:rPr>
          <w:sz w:val="24"/>
          <w:lang w:val="en-US"/>
        </w:rPr>
      </w:pPr>
      <w:r>
        <w:rPr>
          <w:lang w:val="en-US"/>
        </w:rPr>
        <w:t xml:space="preserve">No such differences </w:t>
      </w:r>
      <w:r w:rsidR="006B4082">
        <w:rPr>
          <w:lang w:val="en-US"/>
        </w:rPr>
        <w:t xml:space="preserve">between countries </w:t>
      </w:r>
      <w:r>
        <w:rPr>
          <w:lang w:val="en-US"/>
        </w:rPr>
        <w:t>become apparent in fuel economy and electrification. If any difference it all, the model implies a lower effectiveness of fuel economy standards and electrification on job creation.</w:t>
      </w:r>
      <w:r w:rsidR="006B4082">
        <w:rPr>
          <w:lang w:val="en-US"/>
        </w:rPr>
        <w:t xml:space="preserve"> </w:t>
      </w:r>
      <w:r w:rsidR="00F325F3">
        <w:rPr>
          <w:lang w:val="en-US"/>
        </w:rPr>
        <w:t xml:space="preserve"> This also reflects in lower and even negative impacts on GDP, when moving towards less polluting vehicles. The reason for these negative values is mainly the interaction with </w:t>
      </w:r>
      <w:r w:rsidR="006B4082">
        <w:rPr>
          <w:lang w:val="en-US"/>
        </w:rPr>
        <w:t xml:space="preserve">government </w:t>
      </w:r>
      <w:r w:rsidR="00DB66EC">
        <w:rPr>
          <w:lang w:val="en-US"/>
        </w:rPr>
        <w:t xml:space="preserve">tax income (see also </w:t>
      </w:r>
      <w:r w:rsidR="006B4082" w:rsidRPr="006B4082">
        <w:rPr>
          <w:szCs w:val="20"/>
          <w:lang w:eastAsia="nl-BE"/>
        </w:rPr>
        <w:t xml:space="preserve">Van </w:t>
      </w:r>
      <w:proofErr w:type="spellStart"/>
      <w:r w:rsidR="006B4082" w:rsidRPr="006B4082">
        <w:rPr>
          <w:szCs w:val="20"/>
          <w:lang w:eastAsia="nl-BE"/>
        </w:rPr>
        <w:t>Dender</w:t>
      </w:r>
      <w:proofErr w:type="spellEnd"/>
      <w:r w:rsidR="006B4082" w:rsidRPr="006B4082">
        <w:rPr>
          <w:szCs w:val="20"/>
          <w:lang w:eastAsia="nl-BE"/>
        </w:rPr>
        <w:t xml:space="preserve"> et al</w:t>
      </w:r>
      <w:r w:rsidR="006B4082">
        <w:rPr>
          <w:szCs w:val="20"/>
          <w:lang w:eastAsia="nl-BE"/>
        </w:rPr>
        <w:t xml:space="preserve"> (2011)</w:t>
      </w:r>
      <w:r w:rsidR="00DB66EC">
        <w:rPr>
          <w:szCs w:val="20"/>
          <w:lang w:eastAsia="nl-BE"/>
        </w:rPr>
        <w:t>)</w:t>
      </w:r>
      <w:r w:rsidR="006B4082">
        <w:rPr>
          <w:szCs w:val="20"/>
          <w:lang w:eastAsia="nl-BE"/>
        </w:rPr>
        <w:t>.</w:t>
      </w:r>
    </w:p>
    <w:p w:rsidR="00736194" w:rsidRDefault="00736194" w:rsidP="00734583">
      <w:pPr>
        <w:rPr>
          <w:lang w:val="en-US"/>
        </w:rPr>
      </w:pPr>
      <w:r>
        <w:rPr>
          <w:lang w:val="en-US"/>
        </w:rPr>
        <w:t>The third</w:t>
      </w:r>
      <w:r w:rsidR="006B4082">
        <w:rPr>
          <w:lang w:val="en-US"/>
        </w:rPr>
        <w:t xml:space="preserve"> aspect,</w:t>
      </w:r>
      <w:r>
        <w:rPr>
          <w:lang w:val="en-US"/>
        </w:rPr>
        <w:t xml:space="preserve"> in which our study diverges considerably, is in its treatment of electrification of vehicles. We show th</w:t>
      </w:r>
      <w:r w:rsidR="006B4082">
        <w:rPr>
          <w:lang w:val="en-US"/>
        </w:rPr>
        <w:t>at the impact of electric vehicles</w:t>
      </w:r>
      <w:r>
        <w:rPr>
          <w:lang w:val="en-US"/>
        </w:rPr>
        <w:t xml:space="preserve"> on job creation is </w:t>
      </w:r>
      <w:r w:rsidR="006B4082">
        <w:rPr>
          <w:lang w:val="en-US"/>
        </w:rPr>
        <w:t>limited</w:t>
      </w:r>
      <w:r>
        <w:rPr>
          <w:lang w:val="en-US"/>
        </w:rPr>
        <w:t xml:space="preserve"> </w:t>
      </w:r>
      <w:r w:rsidR="006B4082">
        <w:rPr>
          <w:lang w:val="en-US"/>
        </w:rPr>
        <w:t>at best and reduces</w:t>
      </w:r>
      <w:r>
        <w:rPr>
          <w:lang w:val="en-US"/>
        </w:rPr>
        <w:t xml:space="preserve"> jobs in maintenance and transport services. This </w:t>
      </w:r>
      <w:proofErr w:type="gramStart"/>
      <w:r>
        <w:rPr>
          <w:lang w:val="en-US"/>
        </w:rPr>
        <w:t>is compensated</w:t>
      </w:r>
      <w:proofErr w:type="gramEnd"/>
      <w:r>
        <w:rPr>
          <w:lang w:val="en-US"/>
        </w:rPr>
        <w:t xml:space="preserve"> by an increase of jobs in the energ</w:t>
      </w:r>
      <w:r w:rsidR="00593B26">
        <w:rPr>
          <w:lang w:val="en-US"/>
        </w:rPr>
        <w:t>y sector and car manufacturing. While some countries gain (DE, UK)</w:t>
      </w:r>
      <w:r>
        <w:rPr>
          <w:lang w:val="en-US"/>
        </w:rPr>
        <w:t xml:space="preserve">, the net effect is </w:t>
      </w:r>
      <w:r w:rsidR="00593B26">
        <w:rPr>
          <w:lang w:val="en-US"/>
        </w:rPr>
        <w:t>slightly negative or in the best case, close to zero</w:t>
      </w:r>
      <w:r>
        <w:rPr>
          <w:lang w:val="en-US"/>
        </w:rPr>
        <w:t xml:space="preserve">. </w:t>
      </w:r>
      <w:r w:rsidR="006B4082">
        <w:rPr>
          <w:lang w:val="en-US"/>
        </w:rPr>
        <w:t xml:space="preserve">This is in sharp contradiction with the findings of </w:t>
      </w:r>
      <w:proofErr w:type="spellStart"/>
      <w:r w:rsidR="006B4082">
        <w:rPr>
          <w:lang w:val="en-US"/>
        </w:rPr>
        <w:t>Mc</w:t>
      </w:r>
      <w:proofErr w:type="spellEnd"/>
      <w:r w:rsidR="006B4082">
        <w:rPr>
          <w:lang w:val="en-US"/>
        </w:rPr>
        <w:t xml:space="preserve"> Kinsey (2010), who predict</w:t>
      </w:r>
      <w:r w:rsidR="00DB66EC">
        <w:rPr>
          <w:lang w:val="en-US"/>
        </w:rPr>
        <w:t>s</w:t>
      </w:r>
      <w:r w:rsidR="006B4082">
        <w:rPr>
          <w:lang w:val="en-US"/>
        </w:rPr>
        <w:t xml:space="preserve"> a large increase in value added due to the size of the battery market. </w:t>
      </w:r>
    </w:p>
    <w:p w:rsidR="0057486A" w:rsidRDefault="0057486A" w:rsidP="00734583">
      <w:pPr>
        <w:rPr>
          <w:lang w:val="en-US"/>
        </w:rPr>
      </w:pPr>
      <w:r>
        <w:rPr>
          <w:lang w:val="en-US"/>
        </w:rPr>
        <w:t xml:space="preserve">The fourth aspect </w:t>
      </w:r>
      <w:r w:rsidR="00DB66EC">
        <w:rPr>
          <w:lang w:val="en-US"/>
        </w:rPr>
        <w:t>relates</w:t>
      </w:r>
      <w:r>
        <w:rPr>
          <w:lang w:val="en-US"/>
        </w:rPr>
        <w:t xml:space="preserve"> to the GDP impact of infrastructure investments. Studies based on econometric results, for example VAR based studies, such as </w:t>
      </w:r>
      <w:proofErr w:type="spellStart"/>
      <w:r>
        <w:rPr>
          <w:lang w:val="en-US"/>
        </w:rPr>
        <w:t>Broyer</w:t>
      </w:r>
      <w:proofErr w:type="spellEnd"/>
      <w:r>
        <w:rPr>
          <w:lang w:val="en-US"/>
        </w:rPr>
        <w:t xml:space="preserve"> S. (2012) or input output models (TCRP, 2009) generally find very large multipliers. Our EDIP results however, take into account the financing of the infrastructure by lump sum taxes, which leads to a lower estimate of around 0.36 euros, per euro spent on infrastructure. </w:t>
      </w:r>
    </w:p>
    <w:p w:rsidR="005A0C93" w:rsidRDefault="00480F8E" w:rsidP="00734583">
      <w:pPr>
        <w:rPr>
          <w:lang w:val="en-US"/>
        </w:rPr>
      </w:pPr>
      <w:r>
        <w:rPr>
          <w:lang w:val="en-US"/>
        </w:rPr>
        <w:lastRenderedPageBreak/>
        <w:t>Our study is also the first one</w:t>
      </w:r>
      <w:r w:rsidR="006B4082">
        <w:rPr>
          <w:lang w:val="en-US"/>
        </w:rPr>
        <w:t xml:space="preserve"> to link the</w:t>
      </w:r>
      <w:r>
        <w:rPr>
          <w:lang w:val="en-US"/>
        </w:rPr>
        <w:t xml:space="preserve"> reduction in administrative costs for transport to a computable general equilibrium model</w:t>
      </w:r>
      <w:r w:rsidR="006B4082">
        <w:rPr>
          <w:lang w:val="en-US"/>
        </w:rPr>
        <w:t>, with the goal to calculate the impact on employment</w:t>
      </w:r>
      <w:r>
        <w:rPr>
          <w:lang w:val="en-US"/>
        </w:rPr>
        <w:t>. The efficiency gain</w:t>
      </w:r>
      <w:r w:rsidR="006B4082">
        <w:rPr>
          <w:lang w:val="en-US"/>
        </w:rPr>
        <w:t>s</w:t>
      </w:r>
      <w:r>
        <w:rPr>
          <w:lang w:val="en-US"/>
        </w:rPr>
        <w:t xml:space="preserve"> realized in this way reduces the demand for </w:t>
      </w:r>
      <w:r w:rsidR="00523D7A">
        <w:rPr>
          <w:lang w:val="en-US"/>
        </w:rPr>
        <w:t xml:space="preserve">auxiliary transport services and leads to job losses in associated sectors, </w:t>
      </w:r>
      <w:r w:rsidR="00394BE3">
        <w:rPr>
          <w:lang w:val="en-US"/>
        </w:rPr>
        <w:t>but</w:t>
      </w:r>
      <w:r w:rsidR="00523D7A">
        <w:rPr>
          <w:lang w:val="en-US"/>
        </w:rPr>
        <w:t xml:space="preserve"> is compensated by </w:t>
      </w:r>
      <w:r w:rsidR="006B4082">
        <w:rPr>
          <w:lang w:val="en-US"/>
        </w:rPr>
        <w:t>increased employment</w:t>
      </w:r>
      <w:r w:rsidR="00523D7A">
        <w:rPr>
          <w:lang w:val="en-US"/>
        </w:rPr>
        <w:t xml:space="preserve"> in the</w:t>
      </w:r>
      <w:r w:rsidR="006B4082">
        <w:rPr>
          <w:lang w:val="en-US"/>
        </w:rPr>
        <w:t xml:space="preserve"> transport services,</w:t>
      </w:r>
      <w:r w:rsidR="00523D7A">
        <w:rPr>
          <w:lang w:val="en-US"/>
        </w:rPr>
        <w:t xml:space="preserve"> retail and distribution sectors. </w:t>
      </w:r>
      <w:r w:rsidR="00394BE3">
        <w:rPr>
          <w:lang w:val="en-US"/>
        </w:rPr>
        <w:t xml:space="preserve">Those countries with the largest transport </w:t>
      </w:r>
      <w:r w:rsidR="009D7966">
        <w:rPr>
          <w:lang w:val="en-US"/>
        </w:rPr>
        <w:t>sector</w:t>
      </w:r>
      <w:r w:rsidR="00394BE3">
        <w:rPr>
          <w:lang w:val="en-US"/>
        </w:rPr>
        <w:t xml:space="preserve"> were also the countries that can potentially gain the most from the reforms.</w:t>
      </w:r>
    </w:p>
    <w:p w:rsidR="00480F8E" w:rsidRDefault="00394BE3" w:rsidP="00734583">
      <w:pPr>
        <w:rPr>
          <w:lang w:val="en-US"/>
        </w:rPr>
      </w:pPr>
      <w:r>
        <w:rPr>
          <w:lang w:val="en-US"/>
        </w:rPr>
        <w:t xml:space="preserve">Auxiliary transport operators are often reluctant to promote </w:t>
      </w:r>
      <w:proofErr w:type="spellStart"/>
      <w:r>
        <w:rPr>
          <w:lang w:val="en-US"/>
        </w:rPr>
        <w:t>labour</w:t>
      </w:r>
      <w:proofErr w:type="spellEnd"/>
      <w:r>
        <w:rPr>
          <w:lang w:val="en-US"/>
        </w:rPr>
        <w:t xml:space="preserve"> efficient technologies, as these technologies can lead to a loss in employment within the sector. We show that this is true, but that the </w:t>
      </w:r>
      <w:r w:rsidR="005A0C93">
        <w:rPr>
          <w:lang w:val="en-US"/>
        </w:rPr>
        <w:t>potential gains are substantial and clearly compensate for the loss in employment. This runs parallel with the conclusion of the draft impact assessment of the new European Single Sky initiative (</w:t>
      </w:r>
      <w:r w:rsidR="008B44DD">
        <w:rPr>
          <w:lang w:val="en-US"/>
        </w:rPr>
        <w:t>EC, 2013)</w:t>
      </w:r>
      <w:r w:rsidR="005A0C93">
        <w:rPr>
          <w:lang w:val="en-US"/>
        </w:rPr>
        <w:t xml:space="preserve">. </w:t>
      </w:r>
      <w:r w:rsidR="0013270A">
        <w:rPr>
          <w:lang w:val="en-US"/>
        </w:rPr>
        <w:t xml:space="preserve">Comparing the implied impact on net-job creation and GDP per million </w:t>
      </w:r>
      <w:r w:rsidR="009D7966">
        <w:rPr>
          <w:lang w:val="en-US"/>
        </w:rPr>
        <w:t>euros</w:t>
      </w:r>
      <w:r w:rsidR="0013270A">
        <w:rPr>
          <w:lang w:val="en-US"/>
        </w:rPr>
        <w:t xml:space="preserve">, we find that our EDIP simulations are much more optimistic. This </w:t>
      </w:r>
      <w:proofErr w:type="gramStart"/>
      <w:r w:rsidR="0013270A">
        <w:rPr>
          <w:lang w:val="en-US"/>
        </w:rPr>
        <w:t>is caused</w:t>
      </w:r>
      <w:proofErr w:type="gramEnd"/>
      <w:r w:rsidR="0013270A">
        <w:rPr>
          <w:lang w:val="en-US"/>
        </w:rPr>
        <w:t xml:space="preserve"> by a difference in the set-up of the study, the limitation to air and the larger and more diverse gains in efficiency in the impact assessment. This makes it near to impossible to compare these two numbers.</w:t>
      </w:r>
    </w:p>
    <w:p w:rsidR="00677B6C" w:rsidRDefault="006632E3" w:rsidP="00734583">
      <w:pPr>
        <w:rPr>
          <w:lang w:val="en-US"/>
        </w:rPr>
      </w:pPr>
      <w:r>
        <w:rPr>
          <w:lang w:val="en-US"/>
        </w:rPr>
        <w:t xml:space="preserve">The final </w:t>
      </w:r>
      <w:r w:rsidR="009D7966">
        <w:rPr>
          <w:lang w:val="en-US"/>
        </w:rPr>
        <w:t>aspect,</w:t>
      </w:r>
      <w:r>
        <w:rPr>
          <w:lang w:val="en-US"/>
        </w:rPr>
        <w:t xml:space="preserve"> in which this study diverges considerably from other studies, is in its calculation of the impact of demand effects on public transport, separate from the investment and subsidy impacts. We model the marginal impact of a change in travel </w:t>
      </w:r>
      <w:proofErr w:type="spellStart"/>
      <w:r>
        <w:rPr>
          <w:lang w:val="en-US"/>
        </w:rPr>
        <w:t>behaviour</w:t>
      </w:r>
      <w:proofErr w:type="spellEnd"/>
      <w:r>
        <w:rPr>
          <w:lang w:val="en-US"/>
        </w:rPr>
        <w:t xml:space="preserve"> on job creation. For each million dollars averted from private transport, we show that (with one exception) the </w:t>
      </w:r>
      <w:r w:rsidR="00677B6C">
        <w:rPr>
          <w:lang w:val="en-US"/>
        </w:rPr>
        <w:t>relative impact of stimulating public transport services is positive, even when we take into account a reduction in the demand for vehicles, maintenance and energy inputs.</w:t>
      </w:r>
    </w:p>
    <w:p w:rsidR="0013270A" w:rsidRDefault="0013270A">
      <w:pPr>
        <w:spacing w:before="70"/>
        <w:ind w:left="850" w:right="965"/>
        <w:rPr>
          <w:lang w:val="en-US"/>
        </w:rPr>
      </w:pPr>
      <w:r>
        <w:rPr>
          <w:lang w:val="en-US"/>
        </w:rPr>
        <w:br w:type="page"/>
      </w:r>
    </w:p>
    <w:p w:rsidR="003324BE" w:rsidRPr="003324BE" w:rsidRDefault="003324BE" w:rsidP="003324BE">
      <w:pPr>
        <w:pStyle w:val="Caption"/>
        <w:rPr>
          <w:lang w:val="en-US"/>
        </w:rPr>
      </w:pPr>
      <w:bookmarkStart w:id="64" w:name="_Ref361908694"/>
      <w:bookmarkStart w:id="65" w:name="_Toc373136646"/>
      <w:r>
        <w:lastRenderedPageBreak/>
        <w:t xml:space="preserve">Table </w:t>
      </w:r>
      <w:r>
        <w:fldChar w:fldCharType="begin"/>
      </w:r>
      <w:r>
        <w:instrText xml:space="preserve"> SEQ Table \* ARABIC </w:instrText>
      </w:r>
      <w:r>
        <w:fldChar w:fldCharType="separate"/>
      </w:r>
      <w:r w:rsidR="0013270A">
        <w:rPr>
          <w:noProof/>
        </w:rPr>
        <w:t>9</w:t>
      </w:r>
      <w:r>
        <w:fldChar w:fldCharType="end"/>
      </w:r>
      <w:bookmarkEnd w:id="64"/>
      <w:r>
        <w:t>: Overview of job multipliers (+source) in FTE's per million euro</w:t>
      </w:r>
      <w:r>
        <w:rPr>
          <w:rStyle w:val="FootnoteReference"/>
        </w:rPr>
        <w:footnoteReference w:id="19"/>
      </w:r>
      <w:bookmarkEnd w:id="65"/>
    </w:p>
    <w:tbl>
      <w:tblPr>
        <w:tblStyle w:val="TableGrid"/>
        <w:tblW w:w="9369" w:type="dxa"/>
        <w:tblLayout w:type="fixed"/>
        <w:tblLook w:val="04A0" w:firstRow="1" w:lastRow="0" w:firstColumn="1" w:lastColumn="0" w:noHBand="0" w:noVBand="1"/>
      </w:tblPr>
      <w:tblGrid>
        <w:gridCol w:w="1762"/>
        <w:gridCol w:w="1323"/>
        <w:gridCol w:w="1559"/>
        <w:gridCol w:w="1560"/>
        <w:gridCol w:w="1559"/>
        <w:gridCol w:w="1606"/>
      </w:tblGrid>
      <w:tr w:rsidR="00480F8E" w:rsidTr="00480F8E">
        <w:trPr>
          <w:trHeight w:val="652"/>
        </w:trPr>
        <w:tc>
          <w:tcPr>
            <w:tcW w:w="1762" w:type="dxa"/>
            <w:shd w:val="clear" w:color="auto" w:fill="C4BC96" w:themeFill="background2" w:themeFillShade="BF"/>
          </w:tcPr>
          <w:p w:rsidR="00480F8E" w:rsidRPr="00B85624" w:rsidRDefault="00480F8E" w:rsidP="009D1CD6">
            <w:pPr>
              <w:rPr>
                <w:b/>
                <w:lang w:val="en-US"/>
              </w:rPr>
            </w:pPr>
            <w:r w:rsidRPr="00B85624">
              <w:rPr>
                <w:b/>
                <w:lang w:val="en-US"/>
              </w:rPr>
              <w:t>Investment / Subsidy</w:t>
            </w:r>
          </w:p>
        </w:tc>
        <w:tc>
          <w:tcPr>
            <w:tcW w:w="1323" w:type="dxa"/>
            <w:shd w:val="clear" w:color="auto" w:fill="C4BC96" w:themeFill="background2" w:themeFillShade="BF"/>
          </w:tcPr>
          <w:p w:rsidR="00480F8E" w:rsidRPr="00B85624" w:rsidRDefault="00480F8E" w:rsidP="009D1CD6">
            <w:pPr>
              <w:rPr>
                <w:b/>
                <w:lang w:val="en-US"/>
              </w:rPr>
            </w:pPr>
            <w:r w:rsidRPr="00B85624">
              <w:rPr>
                <w:b/>
                <w:lang w:val="en-US"/>
              </w:rPr>
              <w:t>Energy Efficiency</w:t>
            </w:r>
          </w:p>
        </w:tc>
        <w:tc>
          <w:tcPr>
            <w:tcW w:w="1559" w:type="dxa"/>
            <w:shd w:val="clear" w:color="auto" w:fill="C4BC96" w:themeFill="background2" w:themeFillShade="BF"/>
          </w:tcPr>
          <w:p w:rsidR="00480F8E" w:rsidRPr="00B85624" w:rsidRDefault="00480F8E" w:rsidP="009D1CD6">
            <w:pPr>
              <w:rPr>
                <w:b/>
                <w:lang w:val="en-US"/>
              </w:rPr>
            </w:pPr>
            <w:r w:rsidRPr="00B85624">
              <w:rPr>
                <w:b/>
                <w:lang w:val="en-US"/>
              </w:rPr>
              <w:t>Fuel economy</w:t>
            </w:r>
          </w:p>
        </w:tc>
        <w:tc>
          <w:tcPr>
            <w:tcW w:w="1560" w:type="dxa"/>
            <w:shd w:val="clear" w:color="auto" w:fill="C4BC96" w:themeFill="background2" w:themeFillShade="BF"/>
          </w:tcPr>
          <w:p w:rsidR="00480F8E" w:rsidRPr="00B85624" w:rsidRDefault="00480F8E" w:rsidP="009D1CD6">
            <w:pPr>
              <w:rPr>
                <w:b/>
                <w:lang w:val="en-US"/>
              </w:rPr>
            </w:pPr>
            <w:r w:rsidRPr="00B85624">
              <w:rPr>
                <w:b/>
                <w:lang w:val="en-US"/>
              </w:rPr>
              <w:t>Electrification</w:t>
            </w:r>
          </w:p>
        </w:tc>
        <w:tc>
          <w:tcPr>
            <w:tcW w:w="1559" w:type="dxa"/>
            <w:shd w:val="clear" w:color="auto" w:fill="C4BC96" w:themeFill="background2" w:themeFillShade="BF"/>
          </w:tcPr>
          <w:p w:rsidR="00480F8E" w:rsidRPr="00B85624" w:rsidRDefault="00480F8E" w:rsidP="009D1CD6">
            <w:pPr>
              <w:rPr>
                <w:b/>
                <w:lang w:val="en-US"/>
              </w:rPr>
            </w:pPr>
            <w:r>
              <w:rPr>
                <w:b/>
                <w:lang w:val="en-US"/>
              </w:rPr>
              <w:t xml:space="preserve">Changing </w:t>
            </w:r>
            <w:proofErr w:type="spellStart"/>
            <w:r>
              <w:rPr>
                <w:b/>
                <w:lang w:val="en-US"/>
              </w:rPr>
              <w:t>behaviour</w:t>
            </w:r>
            <w:proofErr w:type="spellEnd"/>
          </w:p>
        </w:tc>
        <w:tc>
          <w:tcPr>
            <w:tcW w:w="1606" w:type="dxa"/>
            <w:shd w:val="clear" w:color="auto" w:fill="C4BC96" w:themeFill="background2" w:themeFillShade="BF"/>
          </w:tcPr>
          <w:p w:rsidR="00480F8E" w:rsidRDefault="00480F8E" w:rsidP="009D1CD6">
            <w:pPr>
              <w:rPr>
                <w:b/>
                <w:lang w:val="en-US"/>
              </w:rPr>
            </w:pPr>
            <w:r>
              <w:rPr>
                <w:b/>
                <w:lang w:val="en-US"/>
              </w:rPr>
              <w:t>Efficiency</w:t>
            </w:r>
          </w:p>
        </w:tc>
      </w:tr>
      <w:tr w:rsidR="00480F8E" w:rsidTr="00480F8E">
        <w:trPr>
          <w:trHeight w:val="293"/>
        </w:trPr>
        <w:tc>
          <w:tcPr>
            <w:tcW w:w="6204" w:type="dxa"/>
            <w:gridSpan w:val="4"/>
            <w:shd w:val="clear" w:color="auto" w:fill="DDD9C3" w:themeFill="background2" w:themeFillShade="E6"/>
          </w:tcPr>
          <w:p w:rsidR="00480F8E" w:rsidRDefault="00480F8E" w:rsidP="009D1CD6">
            <w:pPr>
              <w:rPr>
                <w:lang w:val="en-US"/>
              </w:rPr>
            </w:pPr>
            <w:r>
              <w:rPr>
                <w:b/>
                <w:lang w:val="en-US"/>
              </w:rPr>
              <w:t>REVIEW</w:t>
            </w:r>
          </w:p>
        </w:tc>
        <w:tc>
          <w:tcPr>
            <w:tcW w:w="1559" w:type="dxa"/>
            <w:shd w:val="clear" w:color="auto" w:fill="DDD9C3" w:themeFill="background2" w:themeFillShade="E6"/>
          </w:tcPr>
          <w:p w:rsidR="00480F8E" w:rsidRDefault="00480F8E" w:rsidP="009D1CD6">
            <w:pPr>
              <w:rPr>
                <w:b/>
                <w:lang w:val="en-US"/>
              </w:rPr>
            </w:pPr>
          </w:p>
        </w:tc>
        <w:tc>
          <w:tcPr>
            <w:tcW w:w="1606" w:type="dxa"/>
            <w:shd w:val="clear" w:color="auto" w:fill="DDD9C3" w:themeFill="background2" w:themeFillShade="E6"/>
          </w:tcPr>
          <w:p w:rsidR="00480F8E" w:rsidRDefault="00480F8E" w:rsidP="009D1CD6">
            <w:pPr>
              <w:rPr>
                <w:b/>
                <w:lang w:val="en-US"/>
              </w:rPr>
            </w:pPr>
          </w:p>
        </w:tc>
      </w:tr>
      <w:tr w:rsidR="00480F8E" w:rsidTr="00480F8E">
        <w:trPr>
          <w:trHeight w:val="293"/>
        </w:trPr>
        <w:tc>
          <w:tcPr>
            <w:tcW w:w="1762" w:type="dxa"/>
          </w:tcPr>
          <w:p w:rsidR="00480F8E" w:rsidRDefault="00480F8E" w:rsidP="009D1CD6">
            <w:pPr>
              <w:rPr>
                <w:lang w:val="en-US"/>
              </w:rPr>
            </w:pPr>
            <w:r>
              <w:rPr>
                <w:lang w:val="en-US"/>
              </w:rPr>
              <w:t>21.5 (GHK,2011)</w:t>
            </w:r>
          </w:p>
        </w:tc>
        <w:tc>
          <w:tcPr>
            <w:tcW w:w="1323" w:type="dxa"/>
          </w:tcPr>
          <w:p w:rsidR="00480F8E" w:rsidRDefault="00480F8E" w:rsidP="009D1CD6">
            <w:pPr>
              <w:rPr>
                <w:lang w:val="en-US"/>
              </w:rPr>
            </w:pPr>
            <w:r>
              <w:rPr>
                <w:lang w:val="en-US"/>
              </w:rPr>
              <w:t>13.09 (PERI, 2009)</w:t>
            </w:r>
          </w:p>
        </w:tc>
        <w:tc>
          <w:tcPr>
            <w:tcW w:w="1559" w:type="dxa"/>
          </w:tcPr>
          <w:p w:rsidR="00480F8E" w:rsidRDefault="00480F8E" w:rsidP="009D1CD6">
            <w:pPr>
              <w:rPr>
                <w:lang w:val="en-US"/>
              </w:rPr>
            </w:pPr>
            <w:r>
              <w:rPr>
                <w:lang w:val="en-US"/>
              </w:rPr>
              <w:t>3.8 (PERI, 2009)</w:t>
            </w:r>
          </w:p>
        </w:tc>
        <w:tc>
          <w:tcPr>
            <w:tcW w:w="1560" w:type="dxa"/>
          </w:tcPr>
          <w:p w:rsidR="00480F8E" w:rsidRDefault="00480F8E" w:rsidP="009D1CD6">
            <w:pPr>
              <w:rPr>
                <w:lang w:val="en-US"/>
              </w:rPr>
            </w:pPr>
            <w:r>
              <w:rPr>
                <w:lang w:val="en-US"/>
              </w:rPr>
              <w:t>3.3</w:t>
            </w:r>
            <w:r>
              <w:rPr>
                <w:rStyle w:val="FootnoteReference"/>
                <w:lang w:val="en-US"/>
              </w:rPr>
              <w:footnoteReference w:id="20"/>
            </w:r>
            <w:r>
              <w:rPr>
                <w:lang w:val="en-US"/>
              </w:rPr>
              <w:t xml:space="preserve"> (</w:t>
            </w:r>
            <w:proofErr w:type="spellStart"/>
            <w:r>
              <w:rPr>
                <w:lang w:val="en-US"/>
              </w:rPr>
              <w:t>Mc</w:t>
            </w:r>
            <w:proofErr w:type="spellEnd"/>
            <w:r>
              <w:rPr>
                <w:lang w:val="en-US"/>
              </w:rPr>
              <w:t xml:space="preserve"> Kinsey, 2010)</w:t>
            </w:r>
          </w:p>
        </w:tc>
        <w:tc>
          <w:tcPr>
            <w:tcW w:w="1559" w:type="dxa"/>
          </w:tcPr>
          <w:p w:rsidR="00480F8E" w:rsidRDefault="00480F8E" w:rsidP="002F58A8">
            <w:pPr>
              <w:rPr>
                <w:lang w:val="en-US"/>
              </w:rPr>
            </w:pPr>
            <w:r>
              <w:rPr>
                <w:lang w:val="en-US"/>
              </w:rPr>
              <w:t>No estimate available in monetary cost</w:t>
            </w:r>
          </w:p>
        </w:tc>
        <w:tc>
          <w:tcPr>
            <w:tcW w:w="1606" w:type="dxa"/>
          </w:tcPr>
          <w:p w:rsidR="00480F8E" w:rsidRDefault="00AB56B1" w:rsidP="008B44DD">
            <w:pPr>
              <w:jc w:val="left"/>
              <w:rPr>
                <w:lang w:val="en-US"/>
              </w:rPr>
            </w:pPr>
            <w:r>
              <w:rPr>
                <w:lang w:val="en-US"/>
              </w:rPr>
              <w:t>1.13 -3.35</w:t>
            </w:r>
            <w:r>
              <w:rPr>
                <w:rStyle w:val="FootnoteReference"/>
                <w:lang w:val="en-US"/>
              </w:rPr>
              <w:footnoteReference w:id="21"/>
            </w:r>
            <w:r>
              <w:rPr>
                <w:lang w:val="en-US"/>
              </w:rPr>
              <w:t xml:space="preserve"> (</w:t>
            </w:r>
            <w:r w:rsidR="008B44DD">
              <w:rPr>
                <w:lang w:val="en-US"/>
              </w:rPr>
              <w:t xml:space="preserve">EC, 2013) </w:t>
            </w:r>
          </w:p>
        </w:tc>
      </w:tr>
      <w:tr w:rsidR="00480F8E" w:rsidTr="00480F8E">
        <w:trPr>
          <w:trHeight w:val="317"/>
        </w:trPr>
        <w:tc>
          <w:tcPr>
            <w:tcW w:w="1762" w:type="dxa"/>
          </w:tcPr>
          <w:p w:rsidR="00480F8E" w:rsidRDefault="00480F8E" w:rsidP="009D1CD6">
            <w:pPr>
              <w:rPr>
                <w:lang w:val="en-US"/>
              </w:rPr>
            </w:pPr>
            <w:r>
              <w:rPr>
                <w:lang w:val="en-US"/>
              </w:rPr>
              <w:t>30 (TransEcon,2003)</w:t>
            </w:r>
          </w:p>
        </w:tc>
        <w:tc>
          <w:tcPr>
            <w:tcW w:w="1323" w:type="dxa"/>
          </w:tcPr>
          <w:p w:rsidR="00480F8E" w:rsidRDefault="00480F8E" w:rsidP="009D1CD6">
            <w:pPr>
              <w:rPr>
                <w:lang w:val="en-US"/>
              </w:rPr>
            </w:pPr>
            <w:r>
              <w:rPr>
                <w:lang w:val="en-US"/>
              </w:rPr>
              <w:t>7.7 (Bell C., 2012)</w:t>
            </w:r>
          </w:p>
        </w:tc>
        <w:tc>
          <w:tcPr>
            <w:tcW w:w="1559" w:type="dxa"/>
          </w:tcPr>
          <w:p w:rsidR="00480F8E" w:rsidRDefault="00480F8E" w:rsidP="009D1CD6">
            <w:pPr>
              <w:rPr>
                <w:lang w:val="en-US"/>
              </w:rPr>
            </w:pPr>
            <w:r>
              <w:rPr>
                <w:lang w:val="en-US"/>
              </w:rPr>
              <w:t>3.5 (CERES, 2011)</w:t>
            </w:r>
          </w:p>
        </w:tc>
        <w:tc>
          <w:tcPr>
            <w:tcW w:w="1560" w:type="dxa"/>
          </w:tcPr>
          <w:p w:rsidR="00480F8E" w:rsidRDefault="00480F8E" w:rsidP="009D1CD6">
            <w:pPr>
              <w:rPr>
                <w:lang w:val="en-US"/>
              </w:rPr>
            </w:pPr>
          </w:p>
        </w:tc>
        <w:tc>
          <w:tcPr>
            <w:tcW w:w="1559" w:type="dxa"/>
          </w:tcPr>
          <w:p w:rsidR="00480F8E" w:rsidRDefault="00480F8E" w:rsidP="009D1CD6">
            <w:pPr>
              <w:rPr>
                <w:lang w:val="en-US"/>
              </w:rPr>
            </w:pPr>
          </w:p>
        </w:tc>
        <w:tc>
          <w:tcPr>
            <w:tcW w:w="1606" w:type="dxa"/>
          </w:tcPr>
          <w:p w:rsidR="00480F8E" w:rsidRDefault="00480F8E" w:rsidP="009D1CD6">
            <w:pPr>
              <w:rPr>
                <w:lang w:val="en-US"/>
              </w:rPr>
            </w:pPr>
          </w:p>
        </w:tc>
      </w:tr>
      <w:tr w:rsidR="00480F8E" w:rsidTr="00480F8E">
        <w:trPr>
          <w:trHeight w:val="317"/>
        </w:trPr>
        <w:tc>
          <w:tcPr>
            <w:tcW w:w="1762" w:type="dxa"/>
          </w:tcPr>
          <w:p w:rsidR="00480F8E" w:rsidRDefault="00480F8E" w:rsidP="009D1CD6">
            <w:pPr>
              <w:rPr>
                <w:lang w:val="en-US"/>
              </w:rPr>
            </w:pPr>
          </w:p>
        </w:tc>
        <w:tc>
          <w:tcPr>
            <w:tcW w:w="1323" w:type="dxa"/>
          </w:tcPr>
          <w:p w:rsidR="00480F8E" w:rsidRDefault="00907EF1" w:rsidP="009D1CD6">
            <w:pPr>
              <w:rPr>
                <w:lang w:val="en-US"/>
              </w:rPr>
            </w:pPr>
            <w:r>
              <w:rPr>
                <w:lang w:val="en-US"/>
              </w:rPr>
              <w:t>11-19</w:t>
            </w:r>
            <w:r>
              <w:rPr>
                <w:rStyle w:val="FootnoteReference"/>
                <w:lang w:val="en-US"/>
              </w:rPr>
              <w:footnoteReference w:id="22"/>
            </w:r>
            <w:r>
              <w:rPr>
                <w:lang w:val="en-US"/>
              </w:rPr>
              <w:t xml:space="preserve"> (D14.2)</w:t>
            </w:r>
          </w:p>
        </w:tc>
        <w:tc>
          <w:tcPr>
            <w:tcW w:w="1559" w:type="dxa"/>
          </w:tcPr>
          <w:p w:rsidR="00480F8E" w:rsidRDefault="00480F8E" w:rsidP="009D1CD6">
            <w:pPr>
              <w:rPr>
                <w:lang w:val="en-US"/>
              </w:rPr>
            </w:pPr>
            <w:r>
              <w:rPr>
                <w:lang w:val="en-US"/>
              </w:rPr>
              <w:t>3 (UCS, 2007)</w:t>
            </w:r>
          </w:p>
        </w:tc>
        <w:tc>
          <w:tcPr>
            <w:tcW w:w="1560" w:type="dxa"/>
          </w:tcPr>
          <w:p w:rsidR="00480F8E" w:rsidRDefault="00480F8E" w:rsidP="009D1CD6">
            <w:pPr>
              <w:rPr>
                <w:lang w:val="en-US"/>
              </w:rPr>
            </w:pPr>
          </w:p>
        </w:tc>
        <w:tc>
          <w:tcPr>
            <w:tcW w:w="1559" w:type="dxa"/>
          </w:tcPr>
          <w:p w:rsidR="00480F8E" w:rsidRDefault="00480F8E" w:rsidP="009D1CD6">
            <w:pPr>
              <w:rPr>
                <w:lang w:val="en-US"/>
              </w:rPr>
            </w:pPr>
          </w:p>
        </w:tc>
        <w:tc>
          <w:tcPr>
            <w:tcW w:w="1606" w:type="dxa"/>
          </w:tcPr>
          <w:p w:rsidR="00480F8E" w:rsidRDefault="00480F8E" w:rsidP="009D1CD6">
            <w:pPr>
              <w:rPr>
                <w:lang w:val="en-US"/>
              </w:rPr>
            </w:pPr>
          </w:p>
        </w:tc>
      </w:tr>
      <w:tr w:rsidR="00480F8E" w:rsidTr="00480F8E">
        <w:trPr>
          <w:trHeight w:val="317"/>
        </w:trPr>
        <w:tc>
          <w:tcPr>
            <w:tcW w:w="1762" w:type="dxa"/>
          </w:tcPr>
          <w:p w:rsidR="00480F8E" w:rsidRDefault="00480F8E" w:rsidP="009D1CD6">
            <w:pPr>
              <w:rPr>
                <w:lang w:val="en-US"/>
              </w:rPr>
            </w:pPr>
          </w:p>
        </w:tc>
        <w:tc>
          <w:tcPr>
            <w:tcW w:w="1323" w:type="dxa"/>
          </w:tcPr>
          <w:p w:rsidR="00480F8E" w:rsidRDefault="00480F8E" w:rsidP="009D1CD6">
            <w:pPr>
              <w:rPr>
                <w:lang w:val="en-US"/>
              </w:rPr>
            </w:pPr>
          </w:p>
        </w:tc>
        <w:tc>
          <w:tcPr>
            <w:tcW w:w="1559" w:type="dxa"/>
            <w:vAlign w:val="center"/>
          </w:tcPr>
          <w:p w:rsidR="00480F8E" w:rsidRDefault="00480F8E" w:rsidP="003324BE">
            <w:pPr>
              <w:jc w:val="left"/>
              <w:rPr>
                <w:lang w:val="en-US"/>
              </w:rPr>
            </w:pPr>
            <w:r>
              <w:rPr>
                <w:lang w:val="en-US"/>
              </w:rPr>
              <w:t>6.2 /5.6 (Riccardo AEA,2013)</w:t>
            </w:r>
          </w:p>
        </w:tc>
        <w:tc>
          <w:tcPr>
            <w:tcW w:w="1560" w:type="dxa"/>
          </w:tcPr>
          <w:p w:rsidR="00480F8E" w:rsidRDefault="00480F8E" w:rsidP="009D1CD6">
            <w:pPr>
              <w:rPr>
                <w:lang w:val="en-US"/>
              </w:rPr>
            </w:pPr>
          </w:p>
        </w:tc>
        <w:tc>
          <w:tcPr>
            <w:tcW w:w="1559" w:type="dxa"/>
          </w:tcPr>
          <w:p w:rsidR="00480F8E" w:rsidRDefault="00480F8E" w:rsidP="009D1CD6">
            <w:pPr>
              <w:rPr>
                <w:lang w:val="en-US"/>
              </w:rPr>
            </w:pPr>
          </w:p>
        </w:tc>
        <w:tc>
          <w:tcPr>
            <w:tcW w:w="1606" w:type="dxa"/>
          </w:tcPr>
          <w:p w:rsidR="00480F8E" w:rsidRDefault="00480F8E" w:rsidP="009D1CD6">
            <w:pPr>
              <w:rPr>
                <w:lang w:val="en-US"/>
              </w:rPr>
            </w:pPr>
          </w:p>
        </w:tc>
      </w:tr>
      <w:tr w:rsidR="00480F8E" w:rsidTr="00480F8E">
        <w:trPr>
          <w:trHeight w:val="317"/>
        </w:trPr>
        <w:tc>
          <w:tcPr>
            <w:tcW w:w="6204" w:type="dxa"/>
            <w:gridSpan w:val="4"/>
            <w:shd w:val="clear" w:color="auto" w:fill="DDD9C3" w:themeFill="background2" w:themeFillShade="E6"/>
            <w:vAlign w:val="center"/>
          </w:tcPr>
          <w:p w:rsidR="00480F8E" w:rsidRPr="00D861A8" w:rsidRDefault="00480F8E" w:rsidP="009D1CD6">
            <w:pPr>
              <w:rPr>
                <w:b/>
                <w:lang w:val="en-US"/>
              </w:rPr>
            </w:pPr>
            <w:r w:rsidRPr="00D861A8">
              <w:rPr>
                <w:b/>
                <w:lang w:val="en-US"/>
              </w:rPr>
              <w:t>EDIP</w:t>
            </w:r>
            <w:r>
              <w:rPr>
                <w:b/>
                <w:lang w:val="en-US"/>
              </w:rPr>
              <w:t xml:space="preserve"> (own calculations)</w:t>
            </w:r>
            <w:r w:rsidR="00523D7A">
              <w:rPr>
                <w:rStyle w:val="FootnoteReference"/>
                <w:b/>
                <w:lang w:val="en-US"/>
              </w:rPr>
              <w:footnoteReference w:id="23"/>
            </w:r>
          </w:p>
        </w:tc>
        <w:tc>
          <w:tcPr>
            <w:tcW w:w="1559" w:type="dxa"/>
            <w:shd w:val="clear" w:color="auto" w:fill="DDD9C3" w:themeFill="background2" w:themeFillShade="E6"/>
          </w:tcPr>
          <w:p w:rsidR="00480F8E" w:rsidRPr="00D861A8" w:rsidRDefault="00480F8E" w:rsidP="009D1CD6">
            <w:pPr>
              <w:rPr>
                <w:b/>
                <w:lang w:val="en-US"/>
              </w:rPr>
            </w:pPr>
          </w:p>
        </w:tc>
        <w:tc>
          <w:tcPr>
            <w:tcW w:w="1606" w:type="dxa"/>
            <w:shd w:val="clear" w:color="auto" w:fill="DDD9C3" w:themeFill="background2" w:themeFillShade="E6"/>
          </w:tcPr>
          <w:p w:rsidR="00480F8E" w:rsidRPr="00D861A8" w:rsidRDefault="00480F8E" w:rsidP="009D1CD6">
            <w:pPr>
              <w:rPr>
                <w:b/>
                <w:lang w:val="en-US"/>
              </w:rPr>
            </w:pPr>
          </w:p>
        </w:tc>
      </w:tr>
      <w:tr w:rsidR="00480F8E" w:rsidTr="00480F8E">
        <w:trPr>
          <w:trHeight w:val="317"/>
        </w:trPr>
        <w:tc>
          <w:tcPr>
            <w:tcW w:w="1762" w:type="dxa"/>
          </w:tcPr>
          <w:p w:rsidR="00480F8E" w:rsidRDefault="00480F8E" w:rsidP="00801031">
            <w:pPr>
              <w:rPr>
                <w:lang w:val="en-US"/>
              </w:rPr>
            </w:pPr>
            <w:r>
              <w:rPr>
                <w:lang w:val="en-US"/>
              </w:rPr>
              <w:t>9.76 (group 1)</w:t>
            </w:r>
          </w:p>
        </w:tc>
        <w:tc>
          <w:tcPr>
            <w:tcW w:w="1323" w:type="dxa"/>
          </w:tcPr>
          <w:p w:rsidR="00480F8E" w:rsidRDefault="00480F8E" w:rsidP="00801031">
            <w:pPr>
              <w:rPr>
                <w:lang w:val="en-US"/>
              </w:rPr>
            </w:pPr>
            <w:r>
              <w:rPr>
                <w:lang w:val="en-US"/>
              </w:rPr>
              <w:t>13.9 (group 1)</w:t>
            </w:r>
          </w:p>
        </w:tc>
        <w:tc>
          <w:tcPr>
            <w:tcW w:w="1559" w:type="dxa"/>
          </w:tcPr>
          <w:p w:rsidR="00480F8E" w:rsidRDefault="00480F8E" w:rsidP="00801031">
            <w:pPr>
              <w:rPr>
                <w:lang w:val="en-US"/>
              </w:rPr>
            </w:pPr>
            <w:r>
              <w:rPr>
                <w:lang w:val="en-US"/>
              </w:rPr>
              <w:t>4.37 (group 1)</w:t>
            </w:r>
          </w:p>
        </w:tc>
        <w:tc>
          <w:tcPr>
            <w:tcW w:w="1560" w:type="dxa"/>
          </w:tcPr>
          <w:p w:rsidR="00480F8E" w:rsidRDefault="00480F8E" w:rsidP="00801031">
            <w:pPr>
              <w:rPr>
                <w:lang w:val="en-US"/>
              </w:rPr>
            </w:pPr>
            <w:r>
              <w:rPr>
                <w:lang w:val="en-US"/>
              </w:rPr>
              <w:t>-0.47 (group1)</w:t>
            </w:r>
          </w:p>
        </w:tc>
        <w:tc>
          <w:tcPr>
            <w:tcW w:w="1559" w:type="dxa"/>
          </w:tcPr>
          <w:p w:rsidR="00480F8E" w:rsidRDefault="00480F8E" w:rsidP="009D1CD6">
            <w:pPr>
              <w:rPr>
                <w:lang w:val="en-US"/>
              </w:rPr>
            </w:pPr>
            <w:r>
              <w:rPr>
                <w:lang w:val="en-US"/>
              </w:rPr>
              <w:t>1.88  group 1)</w:t>
            </w:r>
          </w:p>
        </w:tc>
        <w:tc>
          <w:tcPr>
            <w:tcW w:w="1606" w:type="dxa"/>
          </w:tcPr>
          <w:p w:rsidR="00480F8E" w:rsidRDefault="00480F8E" w:rsidP="009D1CD6">
            <w:pPr>
              <w:rPr>
                <w:lang w:val="en-US"/>
              </w:rPr>
            </w:pPr>
            <w:r>
              <w:rPr>
                <w:lang w:val="en-US"/>
              </w:rPr>
              <w:t>6.53 (group 1)</w:t>
            </w:r>
          </w:p>
        </w:tc>
      </w:tr>
      <w:tr w:rsidR="00480F8E" w:rsidTr="00480F8E">
        <w:trPr>
          <w:trHeight w:val="334"/>
        </w:trPr>
        <w:tc>
          <w:tcPr>
            <w:tcW w:w="1762" w:type="dxa"/>
          </w:tcPr>
          <w:p w:rsidR="00480F8E" w:rsidRDefault="00480F8E" w:rsidP="00801031">
            <w:pPr>
              <w:rPr>
                <w:lang w:val="en-US"/>
              </w:rPr>
            </w:pPr>
            <w:r>
              <w:rPr>
                <w:lang w:val="en-US"/>
              </w:rPr>
              <w:t>36 (group 2)</w:t>
            </w:r>
          </w:p>
        </w:tc>
        <w:tc>
          <w:tcPr>
            <w:tcW w:w="1323" w:type="dxa"/>
          </w:tcPr>
          <w:p w:rsidR="00480F8E" w:rsidRDefault="00480F8E" w:rsidP="00801031">
            <w:pPr>
              <w:rPr>
                <w:lang w:val="en-US"/>
              </w:rPr>
            </w:pPr>
            <w:r>
              <w:rPr>
                <w:lang w:val="en-US"/>
              </w:rPr>
              <w:t>48.69 (group 2)</w:t>
            </w:r>
          </w:p>
        </w:tc>
        <w:tc>
          <w:tcPr>
            <w:tcW w:w="1559" w:type="dxa"/>
          </w:tcPr>
          <w:p w:rsidR="00480F8E" w:rsidRDefault="00480F8E" w:rsidP="00801031">
            <w:pPr>
              <w:rPr>
                <w:lang w:val="en-US"/>
              </w:rPr>
            </w:pPr>
            <w:r>
              <w:rPr>
                <w:lang w:val="en-US"/>
              </w:rPr>
              <w:t>3.23 (group 2)</w:t>
            </w:r>
          </w:p>
        </w:tc>
        <w:tc>
          <w:tcPr>
            <w:tcW w:w="1560" w:type="dxa"/>
          </w:tcPr>
          <w:p w:rsidR="00480F8E" w:rsidRDefault="00480F8E" w:rsidP="00801031">
            <w:pPr>
              <w:rPr>
                <w:lang w:val="en-US"/>
              </w:rPr>
            </w:pPr>
            <w:r>
              <w:rPr>
                <w:lang w:val="en-US"/>
              </w:rPr>
              <w:t>-0.71 (group2)</w:t>
            </w:r>
          </w:p>
        </w:tc>
        <w:tc>
          <w:tcPr>
            <w:tcW w:w="1559" w:type="dxa"/>
          </w:tcPr>
          <w:p w:rsidR="00480F8E" w:rsidRDefault="00480F8E" w:rsidP="00801031">
            <w:pPr>
              <w:rPr>
                <w:lang w:val="en-US"/>
              </w:rPr>
            </w:pPr>
            <w:r>
              <w:rPr>
                <w:lang w:val="en-US"/>
              </w:rPr>
              <w:t>6.21 (group 2)</w:t>
            </w:r>
          </w:p>
        </w:tc>
        <w:tc>
          <w:tcPr>
            <w:tcW w:w="1606" w:type="dxa"/>
          </w:tcPr>
          <w:p w:rsidR="00480F8E" w:rsidRDefault="00480F8E" w:rsidP="00801031">
            <w:pPr>
              <w:rPr>
                <w:lang w:val="en-US"/>
              </w:rPr>
            </w:pPr>
            <w:r>
              <w:rPr>
                <w:lang w:val="en-US"/>
              </w:rPr>
              <w:t>27.56 (group 2)</w:t>
            </w:r>
          </w:p>
        </w:tc>
      </w:tr>
    </w:tbl>
    <w:p w:rsidR="00272F05" w:rsidRDefault="00272F05" w:rsidP="00B14C52">
      <w:pPr>
        <w:rPr>
          <w:lang w:val="en-US"/>
        </w:rPr>
      </w:pPr>
    </w:p>
    <w:p w:rsidR="00B14C52" w:rsidRPr="003324BE" w:rsidRDefault="00B14C52" w:rsidP="00B14C52">
      <w:pPr>
        <w:pStyle w:val="Caption"/>
        <w:rPr>
          <w:lang w:val="en-US"/>
        </w:rPr>
      </w:pPr>
      <w:bookmarkStart w:id="66" w:name="_Toc373136647"/>
      <w:r>
        <w:t xml:space="preserve">Table </w:t>
      </w:r>
      <w:r>
        <w:fldChar w:fldCharType="begin"/>
      </w:r>
      <w:r>
        <w:instrText xml:space="preserve"> SEQ Table \* ARABIC </w:instrText>
      </w:r>
      <w:r>
        <w:fldChar w:fldCharType="separate"/>
      </w:r>
      <w:r w:rsidR="0013270A">
        <w:rPr>
          <w:noProof/>
        </w:rPr>
        <w:t>10</w:t>
      </w:r>
      <w:r>
        <w:fldChar w:fldCharType="end"/>
      </w:r>
      <w:r>
        <w:t xml:space="preserve">: Overview of GDP multipliers (+source) in euros </w:t>
      </w:r>
      <w:r>
        <w:rPr>
          <w:rStyle w:val="FootnoteReference"/>
        </w:rPr>
        <w:footnoteReference w:id="24"/>
      </w:r>
      <w:bookmarkEnd w:id="66"/>
    </w:p>
    <w:tbl>
      <w:tblPr>
        <w:tblStyle w:val="TableGrid"/>
        <w:tblW w:w="9302" w:type="dxa"/>
        <w:tblLayout w:type="fixed"/>
        <w:tblLook w:val="04A0" w:firstRow="1" w:lastRow="0" w:firstColumn="1" w:lastColumn="0" w:noHBand="0" w:noVBand="1"/>
      </w:tblPr>
      <w:tblGrid>
        <w:gridCol w:w="1526"/>
        <w:gridCol w:w="1559"/>
        <w:gridCol w:w="1471"/>
        <w:gridCol w:w="1625"/>
        <w:gridCol w:w="1578"/>
        <w:gridCol w:w="1543"/>
      </w:tblGrid>
      <w:tr w:rsidR="00480F8E" w:rsidTr="00480F8E">
        <w:trPr>
          <w:trHeight w:val="652"/>
        </w:trPr>
        <w:tc>
          <w:tcPr>
            <w:tcW w:w="1526" w:type="dxa"/>
            <w:shd w:val="clear" w:color="auto" w:fill="C4BC96" w:themeFill="background2" w:themeFillShade="BF"/>
          </w:tcPr>
          <w:p w:rsidR="00480F8E" w:rsidRPr="00B85624" w:rsidRDefault="00480F8E" w:rsidP="00B14C52">
            <w:pPr>
              <w:rPr>
                <w:b/>
                <w:lang w:val="en-US"/>
              </w:rPr>
            </w:pPr>
            <w:r w:rsidRPr="00B85624">
              <w:rPr>
                <w:b/>
                <w:lang w:val="en-US"/>
              </w:rPr>
              <w:t>Investment / Subsidy</w:t>
            </w:r>
          </w:p>
        </w:tc>
        <w:tc>
          <w:tcPr>
            <w:tcW w:w="1559" w:type="dxa"/>
            <w:shd w:val="clear" w:color="auto" w:fill="C4BC96" w:themeFill="background2" w:themeFillShade="BF"/>
          </w:tcPr>
          <w:p w:rsidR="00480F8E" w:rsidRPr="00B85624" w:rsidRDefault="00480F8E" w:rsidP="00B14C52">
            <w:pPr>
              <w:rPr>
                <w:b/>
                <w:lang w:val="en-US"/>
              </w:rPr>
            </w:pPr>
            <w:r w:rsidRPr="00B85624">
              <w:rPr>
                <w:b/>
                <w:lang w:val="en-US"/>
              </w:rPr>
              <w:t>Energy Efficiency</w:t>
            </w:r>
          </w:p>
        </w:tc>
        <w:tc>
          <w:tcPr>
            <w:tcW w:w="1471" w:type="dxa"/>
            <w:shd w:val="clear" w:color="auto" w:fill="C4BC96" w:themeFill="background2" w:themeFillShade="BF"/>
          </w:tcPr>
          <w:p w:rsidR="00480F8E" w:rsidRPr="00B85624" w:rsidRDefault="00480F8E" w:rsidP="00B14C52">
            <w:pPr>
              <w:rPr>
                <w:b/>
                <w:lang w:val="en-US"/>
              </w:rPr>
            </w:pPr>
            <w:r w:rsidRPr="00B85624">
              <w:rPr>
                <w:b/>
                <w:lang w:val="en-US"/>
              </w:rPr>
              <w:t>Fuel economy</w:t>
            </w:r>
          </w:p>
        </w:tc>
        <w:tc>
          <w:tcPr>
            <w:tcW w:w="1625" w:type="dxa"/>
            <w:shd w:val="clear" w:color="auto" w:fill="C4BC96" w:themeFill="background2" w:themeFillShade="BF"/>
          </w:tcPr>
          <w:p w:rsidR="00480F8E" w:rsidRPr="00B85624" w:rsidRDefault="00480F8E" w:rsidP="00B14C52">
            <w:pPr>
              <w:rPr>
                <w:b/>
                <w:lang w:val="en-US"/>
              </w:rPr>
            </w:pPr>
            <w:r w:rsidRPr="00B85624">
              <w:rPr>
                <w:b/>
                <w:lang w:val="en-US"/>
              </w:rPr>
              <w:t>Electrification</w:t>
            </w:r>
          </w:p>
        </w:tc>
        <w:tc>
          <w:tcPr>
            <w:tcW w:w="1578" w:type="dxa"/>
            <w:shd w:val="clear" w:color="auto" w:fill="C4BC96" w:themeFill="background2" w:themeFillShade="BF"/>
          </w:tcPr>
          <w:p w:rsidR="00480F8E" w:rsidRPr="00B85624" w:rsidRDefault="00480F8E" w:rsidP="00B14C52">
            <w:pPr>
              <w:rPr>
                <w:b/>
                <w:lang w:val="en-US"/>
              </w:rPr>
            </w:pPr>
            <w:r>
              <w:rPr>
                <w:b/>
                <w:lang w:val="en-US"/>
              </w:rPr>
              <w:t xml:space="preserve">Changing </w:t>
            </w:r>
            <w:proofErr w:type="spellStart"/>
            <w:r>
              <w:rPr>
                <w:b/>
                <w:lang w:val="en-US"/>
              </w:rPr>
              <w:t>behaviour</w:t>
            </w:r>
            <w:proofErr w:type="spellEnd"/>
          </w:p>
        </w:tc>
        <w:tc>
          <w:tcPr>
            <w:tcW w:w="1543" w:type="dxa"/>
            <w:shd w:val="clear" w:color="auto" w:fill="C4BC96" w:themeFill="background2" w:themeFillShade="BF"/>
          </w:tcPr>
          <w:p w:rsidR="00480F8E" w:rsidRDefault="00480F8E" w:rsidP="00B14C52">
            <w:pPr>
              <w:rPr>
                <w:b/>
                <w:lang w:val="en-US"/>
              </w:rPr>
            </w:pPr>
            <w:r>
              <w:rPr>
                <w:b/>
                <w:lang w:val="en-US"/>
              </w:rPr>
              <w:t>Efficiency</w:t>
            </w:r>
          </w:p>
        </w:tc>
      </w:tr>
      <w:tr w:rsidR="00480F8E" w:rsidTr="00480F8E">
        <w:trPr>
          <w:trHeight w:val="293"/>
        </w:trPr>
        <w:tc>
          <w:tcPr>
            <w:tcW w:w="6181" w:type="dxa"/>
            <w:gridSpan w:val="4"/>
            <w:shd w:val="clear" w:color="auto" w:fill="DDD9C3" w:themeFill="background2" w:themeFillShade="E6"/>
          </w:tcPr>
          <w:p w:rsidR="00480F8E" w:rsidRDefault="00480F8E" w:rsidP="00B14C52">
            <w:pPr>
              <w:rPr>
                <w:lang w:val="en-US"/>
              </w:rPr>
            </w:pPr>
            <w:r>
              <w:rPr>
                <w:b/>
                <w:lang w:val="en-US"/>
              </w:rPr>
              <w:t>REVIEW</w:t>
            </w:r>
          </w:p>
        </w:tc>
        <w:tc>
          <w:tcPr>
            <w:tcW w:w="1578" w:type="dxa"/>
            <w:shd w:val="clear" w:color="auto" w:fill="DDD9C3" w:themeFill="background2" w:themeFillShade="E6"/>
          </w:tcPr>
          <w:p w:rsidR="00480F8E" w:rsidRDefault="00480F8E" w:rsidP="00B14C52">
            <w:pPr>
              <w:rPr>
                <w:b/>
                <w:lang w:val="en-US"/>
              </w:rPr>
            </w:pPr>
          </w:p>
        </w:tc>
        <w:tc>
          <w:tcPr>
            <w:tcW w:w="1543" w:type="dxa"/>
            <w:shd w:val="clear" w:color="auto" w:fill="DDD9C3" w:themeFill="background2" w:themeFillShade="E6"/>
          </w:tcPr>
          <w:p w:rsidR="00480F8E" w:rsidRDefault="00480F8E" w:rsidP="00B14C52">
            <w:pPr>
              <w:rPr>
                <w:b/>
                <w:lang w:val="en-US"/>
              </w:rPr>
            </w:pPr>
          </w:p>
        </w:tc>
      </w:tr>
      <w:tr w:rsidR="00480F8E" w:rsidTr="00480F8E">
        <w:trPr>
          <w:trHeight w:val="293"/>
        </w:trPr>
        <w:tc>
          <w:tcPr>
            <w:tcW w:w="1526" w:type="dxa"/>
          </w:tcPr>
          <w:p w:rsidR="00480F8E" w:rsidRDefault="00480F8E" w:rsidP="00B14C52">
            <w:pPr>
              <w:rPr>
                <w:lang w:val="en-US"/>
              </w:rPr>
            </w:pPr>
            <w:r>
              <w:rPr>
                <w:lang w:val="en-US"/>
              </w:rPr>
              <w:t>2 (Leduc et al, 2012)</w:t>
            </w:r>
          </w:p>
        </w:tc>
        <w:tc>
          <w:tcPr>
            <w:tcW w:w="1559" w:type="dxa"/>
          </w:tcPr>
          <w:p w:rsidR="00480F8E" w:rsidRDefault="00480F8E" w:rsidP="00D5673D">
            <w:pPr>
              <w:pStyle w:val="Default"/>
              <w:rPr>
                <w:lang w:val="en-US"/>
              </w:rPr>
            </w:pPr>
            <w:r>
              <w:rPr>
                <w:rFonts w:ascii="Book Antiqua" w:hAnsi="Book Antiqua"/>
                <w:sz w:val="20"/>
                <w:szCs w:val="20"/>
                <w:lang w:val="en-US"/>
              </w:rPr>
              <w:t>No estimate available</w:t>
            </w:r>
          </w:p>
          <w:p w:rsidR="00480F8E" w:rsidRDefault="00480F8E" w:rsidP="00801031">
            <w:pPr>
              <w:rPr>
                <w:lang w:val="en-US"/>
              </w:rPr>
            </w:pPr>
          </w:p>
        </w:tc>
        <w:tc>
          <w:tcPr>
            <w:tcW w:w="1471" w:type="dxa"/>
          </w:tcPr>
          <w:p w:rsidR="00480F8E" w:rsidRDefault="00480F8E" w:rsidP="00B14C52">
            <w:pPr>
              <w:rPr>
                <w:lang w:val="en-US"/>
              </w:rPr>
            </w:pPr>
            <w:r>
              <w:rPr>
                <w:lang w:val="en-US"/>
              </w:rPr>
              <w:t>0.12-0.28 (Riccardo AEA, 2013)</w:t>
            </w:r>
          </w:p>
        </w:tc>
        <w:tc>
          <w:tcPr>
            <w:tcW w:w="1625" w:type="dxa"/>
          </w:tcPr>
          <w:p w:rsidR="00480F8E" w:rsidRDefault="00480F8E" w:rsidP="00B14C52">
            <w:pPr>
              <w:rPr>
                <w:lang w:val="en-US"/>
              </w:rPr>
            </w:pPr>
            <w:r>
              <w:rPr>
                <w:lang w:val="en-US"/>
              </w:rPr>
              <w:t>No estimate available</w:t>
            </w:r>
          </w:p>
        </w:tc>
        <w:tc>
          <w:tcPr>
            <w:tcW w:w="1578" w:type="dxa"/>
          </w:tcPr>
          <w:p w:rsidR="00480F8E" w:rsidRDefault="00480F8E" w:rsidP="00B14C52">
            <w:pPr>
              <w:rPr>
                <w:lang w:val="en-US"/>
              </w:rPr>
            </w:pPr>
            <w:r>
              <w:rPr>
                <w:lang w:val="en-US"/>
              </w:rPr>
              <w:t>No estimate available</w:t>
            </w:r>
          </w:p>
        </w:tc>
        <w:tc>
          <w:tcPr>
            <w:tcW w:w="1543" w:type="dxa"/>
          </w:tcPr>
          <w:p w:rsidR="00480F8E" w:rsidRDefault="00EE18B3" w:rsidP="008B44DD">
            <w:pPr>
              <w:rPr>
                <w:lang w:val="en-US"/>
              </w:rPr>
            </w:pPr>
            <w:r>
              <w:rPr>
                <w:lang w:val="en-US"/>
              </w:rPr>
              <w:t>0.2-0.35 (</w:t>
            </w:r>
            <w:r w:rsidR="008B44DD">
              <w:rPr>
                <w:lang w:val="en-US"/>
              </w:rPr>
              <w:t xml:space="preserve">EC, 2013) </w:t>
            </w:r>
          </w:p>
        </w:tc>
      </w:tr>
      <w:tr w:rsidR="00480F8E" w:rsidTr="00480F8E">
        <w:trPr>
          <w:trHeight w:val="317"/>
        </w:trPr>
        <w:tc>
          <w:tcPr>
            <w:tcW w:w="1526" w:type="dxa"/>
          </w:tcPr>
          <w:p w:rsidR="00480F8E" w:rsidRDefault="00480F8E" w:rsidP="00B14C52">
            <w:pPr>
              <w:rPr>
                <w:lang w:val="en-US"/>
              </w:rPr>
            </w:pPr>
            <w:r>
              <w:rPr>
                <w:lang w:val="en-US"/>
              </w:rPr>
              <w:t>1.8 (TCRP, 2009)</w:t>
            </w:r>
          </w:p>
        </w:tc>
        <w:tc>
          <w:tcPr>
            <w:tcW w:w="1559" w:type="dxa"/>
          </w:tcPr>
          <w:p w:rsidR="00480F8E" w:rsidRDefault="00480F8E" w:rsidP="00B14C52">
            <w:pPr>
              <w:rPr>
                <w:lang w:val="en-US"/>
              </w:rPr>
            </w:pPr>
          </w:p>
        </w:tc>
        <w:tc>
          <w:tcPr>
            <w:tcW w:w="1471" w:type="dxa"/>
          </w:tcPr>
          <w:p w:rsidR="00480F8E" w:rsidRDefault="00480F8E" w:rsidP="00B14C52">
            <w:pPr>
              <w:rPr>
                <w:lang w:val="en-US"/>
              </w:rPr>
            </w:pPr>
          </w:p>
        </w:tc>
        <w:tc>
          <w:tcPr>
            <w:tcW w:w="1625" w:type="dxa"/>
          </w:tcPr>
          <w:p w:rsidR="00480F8E" w:rsidRDefault="00480F8E" w:rsidP="00B14C52">
            <w:pPr>
              <w:rPr>
                <w:lang w:val="en-US"/>
              </w:rPr>
            </w:pPr>
          </w:p>
        </w:tc>
        <w:tc>
          <w:tcPr>
            <w:tcW w:w="1578" w:type="dxa"/>
          </w:tcPr>
          <w:p w:rsidR="00480F8E" w:rsidRDefault="00480F8E" w:rsidP="00B14C52">
            <w:pPr>
              <w:rPr>
                <w:lang w:val="en-US"/>
              </w:rPr>
            </w:pPr>
          </w:p>
        </w:tc>
        <w:tc>
          <w:tcPr>
            <w:tcW w:w="1543" w:type="dxa"/>
          </w:tcPr>
          <w:p w:rsidR="00480F8E" w:rsidRDefault="00480F8E" w:rsidP="00B14C52">
            <w:pPr>
              <w:rPr>
                <w:lang w:val="en-US"/>
              </w:rPr>
            </w:pPr>
          </w:p>
        </w:tc>
      </w:tr>
      <w:tr w:rsidR="00480F8E" w:rsidTr="00480F8E">
        <w:trPr>
          <w:trHeight w:val="317"/>
        </w:trPr>
        <w:tc>
          <w:tcPr>
            <w:tcW w:w="1526" w:type="dxa"/>
          </w:tcPr>
          <w:p w:rsidR="00480F8E" w:rsidRDefault="00480F8E" w:rsidP="00B14C52">
            <w:pPr>
              <w:rPr>
                <w:lang w:val="en-US"/>
              </w:rPr>
            </w:pPr>
            <w:r>
              <w:rPr>
                <w:lang w:val="en-US"/>
              </w:rPr>
              <w:t>2-28 (</w:t>
            </w:r>
            <w:proofErr w:type="spellStart"/>
            <w:r>
              <w:rPr>
                <w:lang w:val="en-US"/>
              </w:rPr>
              <w:t>Broyer</w:t>
            </w:r>
            <w:proofErr w:type="spellEnd"/>
            <w:r>
              <w:rPr>
                <w:lang w:val="en-US"/>
              </w:rPr>
              <w:t xml:space="preserve"> et al, 2012)</w:t>
            </w:r>
          </w:p>
        </w:tc>
        <w:tc>
          <w:tcPr>
            <w:tcW w:w="1559" w:type="dxa"/>
          </w:tcPr>
          <w:p w:rsidR="00480F8E" w:rsidRDefault="00480F8E" w:rsidP="00B14C52">
            <w:pPr>
              <w:rPr>
                <w:lang w:val="en-US"/>
              </w:rPr>
            </w:pPr>
          </w:p>
        </w:tc>
        <w:tc>
          <w:tcPr>
            <w:tcW w:w="1471" w:type="dxa"/>
          </w:tcPr>
          <w:p w:rsidR="00480F8E" w:rsidRDefault="00480F8E" w:rsidP="00B14C52">
            <w:pPr>
              <w:rPr>
                <w:lang w:val="en-US"/>
              </w:rPr>
            </w:pPr>
          </w:p>
        </w:tc>
        <w:tc>
          <w:tcPr>
            <w:tcW w:w="1625" w:type="dxa"/>
          </w:tcPr>
          <w:p w:rsidR="00480F8E" w:rsidRDefault="00480F8E" w:rsidP="00B14C52">
            <w:pPr>
              <w:rPr>
                <w:lang w:val="en-US"/>
              </w:rPr>
            </w:pPr>
          </w:p>
        </w:tc>
        <w:tc>
          <w:tcPr>
            <w:tcW w:w="1578" w:type="dxa"/>
          </w:tcPr>
          <w:p w:rsidR="00480F8E" w:rsidRDefault="00480F8E" w:rsidP="00B14C52">
            <w:pPr>
              <w:rPr>
                <w:lang w:val="en-US"/>
              </w:rPr>
            </w:pPr>
          </w:p>
        </w:tc>
        <w:tc>
          <w:tcPr>
            <w:tcW w:w="1543" w:type="dxa"/>
          </w:tcPr>
          <w:p w:rsidR="00480F8E" w:rsidRDefault="00480F8E" w:rsidP="00B14C52">
            <w:pPr>
              <w:rPr>
                <w:lang w:val="en-US"/>
              </w:rPr>
            </w:pPr>
          </w:p>
        </w:tc>
      </w:tr>
      <w:tr w:rsidR="00480F8E" w:rsidTr="00480F8E">
        <w:trPr>
          <w:trHeight w:val="317"/>
        </w:trPr>
        <w:tc>
          <w:tcPr>
            <w:tcW w:w="6181" w:type="dxa"/>
            <w:gridSpan w:val="4"/>
            <w:shd w:val="clear" w:color="auto" w:fill="DDD9C3" w:themeFill="background2" w:themeFillShade="E6"/>
            <w:vAlign w:val="center"/>
          </w:tcPr>
          <w:p w:rsidR="00480F8E" w:rsidRPr="00D861A8" w:rsidRDefault="00480F8E" w:rsidP="00B14C52">
            <w:pPr>
              <w:rPr>
                <w:b/>
                <w:lang w:val="en-US"/>
              </w:rPr>
            </w:pPr>
            <w:r w:rsidRPr="00D861A8">
              <w:rPr>
                <w:b/>
                <w:lang w:val="en-US"/>
              </w:rPr>
              <w:t>EDIP</w:t>
            </w:r>
            <w:r>
              <w:rPr>
                <w:b/>
                <w:lang w:val="en-US"/>
              </w:rPr>
              <w:t xml:space="preserve"> (own calculations)</w:t>
            </w:r>
            <w:r w:rsidR="00635395">
              <w:rPr>
                <w:rStyle w:val="FootnoteReference"/>
                <w:b/>
                <w:lang w:val="en-US"/>
              </w:rPr>
              <w:t xml:space="preserve"> </w:t>
            </w:r>
            <w:r w:rsidR="00635395">
              <w:rPr>
                <w:rStyle w:val="FootnoteReference"/>
                <w:b/>
                <w:lang w:val="en-US"/>
              </w:rPr>
              <w:footnoteReference w:id="25"/>
            </w:r>
          </w:p>
        </w:tc>
        <w:tc>
          <w:tcPr>
            <w:tcW w:w="1578" w:type="dxa"/>
            <w:shd w:val="clear" w:color="auto" w:fill="DDD9C3" w:themeFill="background2" w:themeFillShade="E6"/>
          </w:tcPr>
          <w:p w:rsidR="00480F8E" w:rsidRPr="00D861A8" w:rsidRDefault="00480F8E" w:rsidP="00B14C52">
            <w:pPr>
              <w:rPr>
                <w:b/>
                <w:lang w:val="en-US"/>
              </w:rPr>
            </w:pPr>
          </w:p>
        </w:tc>
        <w:tc>
          <w:tcPr>
            <w:tcW w:w="1543" w:type="dxa"/>
            <w:shd w:val="clear" w:color="auto" w:fill="DDD9C3" w:themeFill="background2" w:themeFillShade="E6"/>
          </w:tcPr>
          <w:p w:rsidR="00480F8E" w:rsidRPr="00D861A8" w:rsidRDefault="00480F8E" w:rsidP="00B14C52">
            <w:pPr>
              <w:rPr>
                <w:b/>
                <w:lang w:val="en-US"/>
              </w:rPr>
            </w:pPr>
          </w:p>
        </w:tc>
      </w:tr>
      <w:tr w:rsidR="00480F8E" w:rsidTr="00480F8E">
        <w:trPr>
          <w:trHeight w:val="317"/>
        </w:trPr>
        <w:tc>
          <w:tcPr>
            <w:tcW w:w="1526" w:type="dxa"/>
          </w:tcPr>
          <w:p w:rsidR="00480F8E" w:rsidRDefault="00480F8E" w:rsidP="00B14C52">
            <w:pPr>
              <w:rPr>
                <w:lang w:val="en-US"/>
              </w:rPr>
            </w:pPr>
            <w:r>
              <w:rPr>
                <w:lang w:val="en-US"/>
              </w:rPr>
              <w:t>0.34 (group 1)</w:t>
            </w:r>
          </w:p>
        </w:tc>
        <w:tc>
          <w:tcPr>
            <w:tcW w:w="1559" w:type="dxa"/>
          </w:tcPr>
          <w:p w:rsidR="00480F8E" w:rsidRDefault="00480F8E" w:rsidP="00B14C52">
            <w:pPr>
              <w:rPr>
                <w:lang w:val="en-US"/>
              </w:rPr>
            </w:pPr>
            <w:r>
              <w:rPr>
                <w:lang w:val="en-US"/>
              </w:rPr>
              <w:t>2.12 (group 1)</w:t>
            </w:r>
          </w:p>
        </w:tc>
        <w:tc>
          <w:tcPr>
            <w:tcW w:w="1471" w:type="dxa"/>
          </w:tcPr>
          <w:p w:rsidR="00480F8E" w:rsidRDefault="00480F8E" w:rsidP="00B14C52">
            <w:pPr>
              <w:rPr>
                <w:lang w:val="en-US"/>
              </w:rPr>
            </w:pPr>
            <w:r>
              <w:rPr>
                <w:lang w:val="en-US"/>
              </w:rPr>
              <w:t>-0.15 (group 1)</w:t>
            </w:r>
          </w:p>
        </w:tc>
        <w:tc>
          <w:tcPr>
            <w:tcW w:w="1625" w:type="dxa"/>
          </w:tcPr>
          <w:p w:rsidR="00480F8E" w:rsidRDefault="00480F8E" w:rsidP="00B14C52">
            <w:pPr>
              <w:rPr>
                <w:lang w:val="en-US"/>
              </w:rPr>
            </w:pPr>
            <w:r>
              <w:rPr>
                <w:lang w:val="en-US"/>
              </w:rPr>
              <w:t>-0.02 (group 1)</w:t>
            </w:r>
          </w:p>
        </w:tc>
        <w:tc>
          <w:tcPr>
            <w:tcW w:w="1578" w:type="dxa"/>
          </w:tcPr>
          <w:p w:rsidR="00480F8E" w:rsidRDefault="00480F8E" w:rsidP="00B14C52">
            <w:pPr>
              <w:rPr>
                <w:lang w:val="en-US"/>
              </w:rPr>
            </w:pPr>
            <w:r>
              <w:rPr>
                <w:lang w:val="en-US"/>
              </w:rPr>
              <w:t>-0.05 (group 1)</w:t>
            </w:r>
          </w:p>
        </w:tc>
        <w:tc>
          <w:tcPr>
            <w:tcW w:w="1543" w:type="dxa"/>
          </w:tcPr>
          <w:p w:rsidR="00480F8E" w:rsidRDefault="00480F8E" w:rsidP="00B14C52">
            <w:pPr>
              <w:rPr>
                <w:lang w:val="en-US"/>
              </w:rPr>
            </w:pPr>
            <w:r>
              <w:rPr>
                <w:lang w:val="en-US"/>
              </w:rPr>
              <w:t>1.18 (group 1)</w:t>
            </w:r>
          </w:p>
        </w:tc>
      </w:tr>
      <w:tr w:rsidR="00480F8E" w:rsidTr="00480F8E">
        <w:trPr>
          <w:trHeight w:val="334"/>
        </w:trPr>
        <w:tc>
          <w:tcPr>
            <w:tcW w:w="1526" w:type="dxa"/>
          </w:tcPr>
          <w:p w:rsidR="00480F8E" w:rsidRDefault="00480F8E" w:rsidP="00B14C52">
            <w:pPr>
              <w:rPr>
                <w:lang w:val="en-US"/>
              </w:rPr>
            </w:pPr>
            <w:r>
              <w:rPr>
                <w:lang w:val="en-US"/>
              </w:rPr>
              <w:t>0.36 (group 2)</w:t>
            </w:r>
          </w:p>
        </w:tc>
        <w:tc>
          <w:tcPr>
            <w:tcW w:w="1559" w:type="dxa"/>
          </w:tcPr>
          <w:p w:rsidR="00480F8E" w:rsidRDefault="00480F8E" w:rsidP="00B14C52">
            <w:pPr>
              <w:rPr>
                <w:lang w:val="en-US"/>
              </w:rPr>
            </w:pPr>
            <w:r>
              <w:rPr>
                <w:lang w:val="en-US"/>
              </w:rPr>
              <w:t>1.93 (group 2)</w:t>
            </w:r>
          </w:p>
        </w:tc>
        <w:tc>
          <w:tcPr>
            <w:tcW w:w="1471" w:type="dxa"/>
          </w:tcPr>
          <w:p w:rsidR="00480F8E" w:rsidRDefault="00480F8E" w:rsidP="00B14C52">
            <w:pPr>
              <w:rPr>
                <w:lang w:val="en-US"/>
              </w:rPr>
            </w:pPr>
            <w:r>
              <w:rPr>
                <w:lang w:val="en-US"/>
              </w:rPr>
              <w:t>-0.18 (group 2)</w:t>
            </w:r>
          </w:p>
        </w:tc>
        <w:tc>
          <w:tcPr>
            <w:tcW w:w="1625" w:type="dxa"/>
          </w:tcPr>
          <w:p w:rsidR="00480F8E" w:rsidRDefault="00480F8E" w:rsidP="00B14C52">
            <w:pPr>
              <w:rPr>
                <w:lang w:val="en-US"/>
              </w:rPr>
            </w:pPr>
            <w:r>
              <w:rPr>
                <w:lang w:val="en-US"/>
              </w:rPr>
              <w:t>-0.06 (group 2)</w:t>
            </w:r>
          </w:p>
        </w:tc>
        <w:tc>
          <w:tcPr>
            <w:tcW w:w="1578" w:type="dxa"/>
          </w:tcPr>
          <w:p w:rsidR="00480F8E" w:rsidRDefault="00480F8E" w:rsidP="00B14C52">
            <w:pPr>
              <w:rPr>
                <w:lang w:val="en-US"/>
              </w:rPr>
            </w:pPr>
            <w:r>
              <w:rPr>
                <w:lang w:val="en-US"/>
              </w:rPr>
              <w:t>-0.03 (group 2)</w:t>
            </w:r>
          </w:p>
        </w:tc>
        <w:tc>
          <w:tcPr>
            <w:tcW w:w="1543" w:type="dxa"/>
          </w:tcPr>
          <w:p w:rsidR="00480F8E" w:rsidRDefault="00480F8E" w:rsidP="00B14C52">
            <w:pPr>
              <w:rPr>
                <w:lang w:val="en-US"/>
              </w:rPr>
            </w:pPr>
            <w:r>
              <w:rPr>
                <w:lang w:val="en-US"/>
              </w:rPr>
              <w:t>1.22 (group 2)</w:t>
            </w:r>
          </w:p>
        </w:tc>
      </w:tr>
    </w:tbl>
    <w:p w:rsidR="00416820" w:rsidRDefault="00416820" w:rsidP="00416820">
      <w:pPr>
        <w:pStyle w:val="Heading1"/>
        <w:rPr>
          <w:lang w:val="en-US"/>
        </w:rPr>
      </w:pPr>
      <w:bookmarkStart w:id="67" w:name="_Toc366244950"/>
      <w:r>
        <w:rPr>
          <w:lang w:val="en-US"/>
        </w:rPr>
        <w:lastRenderedPageBreak/>
        <w:t>Impacts of urban policy: summary of effects</w:t>
      </w:r>
      <w:bookmarkEnd w:id="67"/>
    </w:p>
    <w:p w:rsidR="00BD22D1" w:rsidRDefault="00416820" w:rsidP="00416820">
      <w:pPr>
        <w:rPr>
          <w:lang w:val="en-US"/>
        </w:rPr>
      </w:pPr>
      <w:r>
        <w:rPr>
          <w:lang w:val="en-US"/>
        </w:rPr>
        <w:t>T</w:t>
      </w:r>
      <w:r w:rsidR="000B5C50">
        <w:rPr>
          <w:lang w:val="en-US"/>
        </w:rPr>
        <w:t xml:space="preserve">his last section provides a summary of </w:t>
      </w:r>
      <w:r>
        <w:rPr>
          <w:lang w:val="en-US"/>
        </w:rPr>
        <w:t>this deliverable and discusses some of the main impacts of urban transport policy on the level of the city.</w:t>
      </w:r>
      <w:r w:rsidR="00D777FA">
        <w:rPr>
          <w:lang w:val="en-US"/>
        </w:rPr>
        <w:t xml:space="preserve"> We use</w:t>
      </w:r>
      <w:r w:rsidR="002D3991">
        <w:rPr>
          <w:lang w:val="en-US"/>
        </w:rPr>
        <w:t xml:space="preserve"> a</w:t>
      </w:r>
      <w:r w:rsidR="00D777FA">
        <w:rPr>
          <w:lang w:val="en-US"/>
        </w:rPr>
        <w:t xml:space="preserve"> summarizing table (</w:t>
      </w:r>
      <w:r w:rsidR="00D777FA">
        <w:rPr>
          <w:lang w:val="en-US"/>
        </w:rPr>
        <w:fldChar w:fldCharType="begin"/>
      </w:r>
      <w:r w:rsidR="00D777FA">
        <w:rPr>
          <w:lang w:val="en-US"/>
        </w:rPr>
        <w:instrText xml:space="preserve"> REF _Ref366075341 \h </w:instrText>
      </w:r>
      <w:r w:rsidR="00D777FA">
        <w:rPr>
          <w:lang w:val="en-US"/>
        </w:rPr>
      </w:r>
      <w:r w:rsidR="00D777FA">
        <w:rPr>
          <w:lang w:val="en-US"/>
        </w:rPr>
        <w:fldChar w:fldCharType="separate"/>
      </w:r>
      <w:r w:rsidR="0013270A">
        <w:t xml:space="preserve">Table </w:t>
      </w:r>
      <w:r w:rsidR="0013270A">
        <w:rPr>
          <w:noProof/>
        </w:rPr>
        <w:t>11</w:t>
      </w:r>
      <w:r w:rsidR="00D777FA">
        <w:rPr>
          <w:lang w:val="en-US"/>
        </w:rPr>
        <w:fldChar w:fldCharType="end"/>
      </w:r>
      <w:r w:rsidR="00D777FA">
        <w:rPr>
          <w:lang w:val="en-US"/>
        </w:rPr>
        <w:t xml:space="preserve">), indicating </w:t>
      </w:r>
      <w:r w:rsidR="002D3991">
        <w:rPr>
          <w:lang w:val="en-US"/>
        </w:rPr>
        <w:t xml:space="preserve">the impact of policies we discussed in this deliverable on </w:t>
      </w:r>
      <w:proofErr w:type="gramStart"/>
      <w:r w:rsidR="002D3991">
        <w:rPr>
          <w:lang w:val="en-US"/>
        </w:rPr>
        <w:t>7</w:t>
      </w:r>
      <w:proofErr w:type="gramEnd"/>
      <w:r w:rsidR="00D777FA">
        <w:rPr>
          <w:lang w:val="en-US"/>
        </w:rPr>
        <w:t xml:space="preserve"> important indicators on the level of the city</w:t>
      </w:r>
      <w:r w:rsidR="001E6ACA">
        <w:rPr>
          <w:lang w:val="en-US"/>
        </w:rPr>
        <w:t>, referring to literature, case-studies and model results</w:t>
      </w:r>
      <w:r w:rsidR="00D777FA">
        <w:rPr>
          <w:lang w:val="en-US"/>
        </w:rPr>
        <w:t xml:space="preserve">. </w:t>
      </w:r>
      <w:r w:rsidR="005736E3">
        <w:rPr>
          <w:lang w:val="en-US"/>
        </w:rPr>
        <w:t>For NEUJOBS the indicator ‘</w:t>
      </w:r>
      <w:r w:rsidR="003D028E">
        <w:rPr>
          <w:lang w:val="en-US"/>
        </w:rPr>
        <w:t>employment’ is of central importance</w:t>
      </w:r>
      <w:r w:rsidR="005736E3">
        <w:rPr>
          <w:lang w:val="en-US"/>
        </w:rPr>
        <w:t>. The other indicators refer to the size of the city (sprawl), prices (transport &amp; housing), pollution, traffic congestion and public finance.</w:t>
      </w:r>
      <w:r w:rsidR="000B5C50">
        <w:rPr>
          <w:lang w:val="en-US"/>
        </w:rPr>
        <w:t xml:space="preserve"> </w:t>
      </w:r>
      <w:r w:rsidR="00695062">
        <w:rPr>
          <w:lang w:val="en-US"/>
        </w:rPr>
        <w:t>We indicate</w:t>
      </w:r>
      <w:r w:rsidR="000B5C50">
        <w:rPr>
          <w:lang w:val="en-US"/>
        </w:rPr>
        <w:t>d</w:t>
      </w:r>
      <w:r w:rsidR="00695062">
        <w:rPr>
          <w:lang w:val="en-US"/>
        </w:rPr>
        <w:t xml:space="preserve"> the potential impacts of each policy with reduction (- or --), increase (+ or ++), </w:t>
      </w:r>
      <w:r w:rsidR="00E579F8">
        <w:rPr>
          <w:lang w:val="en-US"/>
        </w:rPr>
        <w:t>no discernible</w:t>
      </w:r>
      <w:r w:rsidR="00695062">
        <w:rPr>
          <w:lang w:val="en-US"/>
        </w:rPr>
        <w:t xml:space="preserve"> effect (0) or ambivalence</w:t>
      </w:r>
      <w:r w:rsidR="00642EB8">
        <w:rPr>
          <w:rStyle w:val="FootnoteReference"/>
          <w:lang w:val="en-US"/>
        </w:rPr>
        <w:footnoteReference w:id="26"/>
      </w:r>
      <w:r w:rsidR="00695062">
        <w:rPr>
          <w:lang w:val="en-US"/>
        </w:rPr>
        <w:t xml:space="preserve"> (≈). </w:t>
      </w:r>
    </w:p>
    <w:p w:rsidR="00BD22D1" w:rsidRDefault="00C95758" w:rsidP="00416820">
      <w:pPr>
        <w:rPr>
          <w:lang w:val="en-US"/>
        </w:rPr>
      </w:pPr>
      <w:r>
        <w:rPr>
          <w:lang w:val="en-US"/>
        </w:rPr>
        <w:t>The first three</w:t>
      </w:r>
      <w:r w:rsidR="00BD22D1">
        <w:rPr>
          <w:lang w:val="en-US"/>
        </w:rPr>
        <w:t xml:space="preserve"> measures (general efficiency standard, fuel efficiency and electrification) </w:t>
      </w:r>
      <w:proofErr w:type="gramStart"/>
      <w:r w:rsidR="00BD22D1">
        <w:rPr>
          <w:lang w:val="en-US"/>
        </w:rPr>
        <w:t>were discussed</w:t>
      </w:r>
      <w:proofErr w:type="gramEnd"/>
      <w:r w:rsidR="00BD22D1">
        <w:rPr>
          <w:lang w:val="en-US"/>
        </w:rPr>
        <w:t xml:space="preserve"> in detail in section 5.3. Positive job creation effects were strong for general efficiency standards and positive for fuel efficiency, but the results for electric vehicles were ambivalent and in many countries negative. </w:t>
      </w:r>
      <w:r w:rsidR="009D7966">
        <w:rPr>
          <w:lang w:val="en-US"/>
        </w:rPr>
        <w:t>For both electric vehicles and fuel</w:t>
      </w:r>
      <w:r w:rsidR="00E579F8">
        <w:rPr>
          <w:lang w:val="en-US"/>
        </w:rPr>
        <w:t xml:space="preserve"> efficiency standards</w:t>
      </w:r>
      <w:r w:rsidR="009D7966">
        <w:rPr>
          <w:lang w:val="en-US"/>
        </w:rPr>
        <w:t>,</w:t>
      </w:r>
      <w:r>
        <w:rPr>
          <w:lang w:val="en-US"/>
        </w:rPr>
        <w:t xml:space="preserve"> we expect ambivalent changes in the price of transport</w:t>
      </w:r>
      <w:r w:rsidR="000B5C50">
        <w:rPr>
          <w:lang w:val="en-US"/>
        </w:rPr>
        <w:t xml:space="preserve">. This </w:t>
      </w:r>
      <w:r w:rsidR="00E579F8">
        <w:rPr>
          <w:lang w:val="en-US"/>
        </w:rPr>
        <w:t>indicate</w:t>
      </w:r>
      <w:r w:rsidR="009D7966">
        <w:rPr>
          <w:lang w:val="en-US"/>
        </w:rPr>
        <w:t>s two</w:t>
      </w:r>
      <w:r w:rsidR="000B5C50">
        <w:rPr>
          <w:lang w:val="en-US"/>
        </w:rPr>
        <w:t xml:space="preserve"> things: 1) fuel efficient vehicles are subsidized</w:t>
      </w:r>
      <w:r w:rsidR="00E579F8">
        <w:rPr>
          <w:lang w:val="en-US"/>
        </w:rPr>
        <w:t xml:space="preserve"> 2) fuel efficient vehicles have a </w:t>
      </w:r>
      <w:r>
        <w:rPr>
          <w:lang w:val="en-US"/>
        </w:rPr>
        <w:t xml:space="preserve">higher </w:t>
      </w:r>
      <w:r w:rsidR="00E579F8">
        <w:rPr>
          <w:lang w:val="en-US"/>
        </w:rPr>
        <w:t xml:space="preserve">purchase price, but have a lower variable cost of driving. </w:t>
      </w:r>
      <w:r w:rsidR="00653B42">
        <w:rPr>
          <w:lang w:val="en-US"/>
        </w:rPr>
        <w:t>The result</w:t>
      </w:r>
      <w:r w:rsidR="00E579F8">
        <w:rPr>
          <w:lang w:val="en-US"/>
        </w:rPr>
        <w:t xml:space="preserve"> is that increased fuel efficiency can result in increased congestion</w:t>
      </w:r>
      <w:r w:rsidR="000B5C50">
        <w:rPr>
          <w:lang w:val="en-US"/>
        </w:rPr>
        <w:t>, as stated</w:t>
      </w:r>
      <w:r>
        <w:rPr>
          <w:lang w:val="en-US"/>
        </w:rPr>
        <w:t xml:space="preserve"> in Van </w:t>
      </w:r>
      <w:proofErr w:type="spellStart"/>
      <w:r>
        <w:rPr>
          <w:lang w:val="en-US"/>
        </w:rPr>
        <w:t>Dender</w:t>
      </w:r>
      <w:proofErr w:type="spellEnd"/>
      <w:r>
        <w:rPr>
          <w:lang w:val="en-US"/>
        </w:rPr>
        <w:t xml:space="preserve"> et al (2011)</w:t>
      </w:r>
      <w:r w:rsidR="00E579F8">
        <w:rPr>
          <w:lang w:val="en-US"/>
        </w:rPr>
        <w:t xml:space="preserve">. Moreover, the impact on public finance is negative, due to losses in tax income on fuels and </w:t>
      </w:r>
      <w:r w:rsidR="0094479D">
        <w:rPr>
          <w:lang w:val="en-US"/>
        </w:rPr>
        <w:t>the payment of subsidies to car owners.</w:t>
      </w:r>
      <w:r w:rsidR="00D137BB">
        <w:rPr>
          <w:lang w:val="en-US"/>
        </w:rPr>
        <w:t xml:space="preserve"> </w:t>
      </w:r>
    </w:p>
    <w:p w:rsidR="0094479D" w:rsidRDefault="00C95758" w:rsidP="00416820">
      <w:pPr>
        <w:rPr>
          <w:lang w:val="en-US"/>
        </w:rPr>
      </w:pPr>
      <w:r>
        <w:rPr>
          <w:lang w:val="en-US"/>
        </w:rPr>
        <w:t xml:space="preserve">The next two measures </w:t>
      </w:r>
      <w:r w:rsidR="009D7966">
        <w:rPr>
          <w:lang w:val="en-US"/>
        </w:rPr>
        <w:t>(</w:t>
      </w:r>
      <w:r>
        <w:rPr>
          <w:lang w:val="en-US"/>
        </w:rPr>
        <w:t>discussed</w:t>
      </w:r>
      <w:r w:rsidR="003D028E">
        <w:rPr>
          <w:lang w:val="en-US"/>
        </w:rPr>
        <w:t xml:space="preserve"> in section</w:t>
      </w:r>
      <w:r w:rsidR="000F3A48">
        <w:rPr>
          <w:lang w:val="en-US"/>
        </w:rPr>
        <w:t>s</w:t>
      </w:r>
      <w:r w:rsidR="003D028E">
        <w:rPr>
          <w:lang w:val="en-US"/>
        </w:rPr>
        <w:t xml:space="preserve"> 4.3</w:t>
      </w:r>
      <w:r w:rsidR="000F3A48">
        <w:rPr>
          <w:lang w:val="en-US"/>
        </w:rPr>
        <w:t xml:space="preserve"> and 4.4</w:t>
      </w:r>
      <w:r w:rsidR="009D7966">
        <w:rPr>
          <w:lang w:val="en-US"/>
        </w:rPr>
        <w:t>), present</w:t>
      </w:r>
      <w:r>
        <w:rPr>
          <w:lang w:val="en-US"/>
        </w:rPr>
        <w:t xml:space="preserve"> the case of Milan and London. Low Emission Zones (LEZ) and road charging schemes are to some degree comparable, though their objectives are different. They impose costs to road users entering designated areas of the city. </w:t>
      </w:r>
      <w:r w:rsidR="00877CDA">
        <w:rPr>
          <w:lang w:val="en-US"/>
        </w:rPr>
        <w:t xml:space="preserve">The main difference </w:t>
      </w:r>
      <w:r w:rsidR="003D028E">
        <w:rPr>
          <w:lang w:val="en-US"/>
        </w:rPr>
        <w:t xml:space="preserve">is that </w:t>
      </w:r>
      <w:r w:rsidR="00877CDA">
        <w:rPr>
          <w:lang w:val="en-US"/>
        </w:rPr>
        <w:t xml:space="preserve">in LEZ, decreasing congestion is generally a secondary </w:t>
      </w:r>
      <w:r w:rsidR="003D028E">
        <w:rPr>
          <w:lang w:val="en-US"/>
        </w:rPr>
        <w:t xml:space="preserve">goal, while </w:t>
      </w:r>
      <w:r w:rsidR="00877CDA">
        <w:rPr>
          <w:lang w:val="en-US"/>
        </w:rPr>
        <w:t xml:space="preserve">it is the primary objective in the case of road charging. While theoretically, LEZ and road charging </w:t>
      </w:r>
      <w:r w:rsidR="000B5C50">
        <w:rPr>
          <w:lang w:val="en-US"/>
        </w:rPr>
        <w:t>would raise the price</w:t>
      </w:r>
      <w:r w:rsidR="00877CDA">
        <w:rPr>
          <w:lang w:val="en-US"/>
        </w:rPr>
        <w:t xml:space="preserve"> of housing,</w:t>
      </w:r>
      <w:r w:rsidR="003D028E">
        <w:rPr>
          <w:lang w:val="en-US"/>
        </w:rPr>
        <w:t xml:space="preserve"> especially in the center,</w:t>
      </w:r>
      <w:r w:rsidR="00877CDA">
        <w:rPr>
          <w:lang w:val="en-US"/>
        </w:rPr>
        <w:t xml:space="preserve"> the scarce empirical evidence (Zhang, 2006; </w:t>
      </w:r>
      <w:proofErr w:type="spellStart"/>
      <w:r w:rsidR="00877CDA">
        <w:rPr>
          <w:lang w:val="en-US"/>
        </w:rPr>
        <w:t>Perccoco</w:t>
      </w:r>
      <w:proofErr w:type="spellEnd"/>
      <w:r w:rsidR="00877CDA">
        <w:rPr>
          <w:lang w:val="en-US"/>
        </w:rPr>
        <w:t xml:space="preserve"> M., 2012) points more towards a decrease in the attractiveness of the center</w:t>
      </w:r>
      <w:r w:rsidR="00D137BB">
        <w:rPr>
          <w:lang w:val="en-US"/>
        </w:rPr>
        <w:t>, conversion of commercial buildings to housing</w:t>
      </w:r>
      <w:r w:rsidR="00877CDA">
        <w:rPr>
          <w:lang w:val="en-US"/>
        </w:rPr>
        <w:t xml:space="preserve"> and a </w:t>
      </w:r>
      <w:r w:rsidR="00D137BB">
        <w:rPr>
          <w:lang w:val="en-US"/>
        </w:rPr>
        <w:t xml:space="preserve">resulting </w:t>
      </w:r>
      <w:r w:rsidR="00877CDA">
        <w:rPr>
          <w:lang w:val="en-US"/>
        </w:rPr>
        <w:t>decrease in housing prices.</w:t>
      </w:r>
      <w:r w:rsidR="002F4B5E">
        <w:rPr>
          <w:lang w:val="en-US"/>
        </w:rPr>
        <w:t xml:space="preserve"> It may however be, that the adjustments of the housing sector are going </w:t>
      </w:r>
      <w:proofErr w:type="gramStart"/>
      <w:r w:rsidR="002F4B5E">
        <w:rPr>
          <w:lang w:val="en-US"/>
        </w:rPr>
        <w:t>to</w:t>
      </w:r>
      <w:proofErr w:type="gramEnd"/>
      <w:r w:rsidR="002F4B5E">
        <w:rPr>
          <w:lang w:val="en-US"/>
        </w:rPr>
        <w:t xml:space="preserve"> slowly to make these results reliable</w:t>
      </w:r>
      <w:r w:rsidR="00642EB8">
        <w:rPr>
          <w:lang w:val="en-US"/>
        </w:rPr>
        <w:t>.</w:t>
      </w:r>
      <w:r w:rsidR="00877CDA">
        <w:rPr>
          <w:lang w:val="en-US"/>
        </w:rPr>
        <w:t xml:space="preserve"> </w:t>
      </w:r>
      <w:r w:rsidR="00D137BB">
        <w:rPr>
          <w:lang w:val="en-US"/>
        </w:rPr>
        <w:t xml:space="preserve">The impact of road charging on employment is controversial, though a CGE analysis in </w:t>
      </w:r>
      <w:proofErr w:type="spellStart"/>
      <w:r w:rsidR="00D137BB">
        <w:rPr>
          <w:lang w:val="en-US"/>
        </w:rPr>
        <w:t>Steiniger</w:t>
      </w:r>
      <w:proofErr w:type="spellEnd"/>
      <w:r w:rsidR="00D137BB">
        <w:rPr>
          <w:lang w:val="en-US"/>
        </w:rPr>
        <w:t xml:space="preserve"> (2006) and Heyndrickx et al (2009) showed that </w:t>
      </w:r>
      <w:r w:rsidR="002F4B5E">
        <w:rPr>
          <w:lang w:val="en-US"/>
        </w:rPr>
        <w:t>employment</w:t>
      </w:r>
      <w:r w:rsidR="00D137BB">
        <w:rPr>
          <w:lang w:val="en-US"/>
        </w:rPr>
        <w:t xml:space="preserve"> can be</w:t>
      </w:r>
      <w:r w:rsidR="002F4B5E">
        <w:rPr>
          <w:lang w:val="en-US"/>
        </w:rPr>
        <w:t xml:space="preserve"> impacted</w:t>
      </w:r>
      <w:r w:rsidR="00D137BB">
        <w:rPr>
          <w:lang w:val="en-US"/>
        </w:rPr>
        <w:t xml:space="preserve"> positive</w:t>
      </w:r>
      <w:r w:rsidR="002F4B5E">
        <w:rPr>
          <w:lang w:val="en-US"/>
        </w:rPr>
        <w:t>ly</w:t>
      </w:r>
      <w:r w:rsidR="00D137BB">
        <w:rPr>
          <w:lang w:val="en-US"/>
        </w:rPr>
        <w:t xml:space="preserve"> when th</w:t>
      </w:r>
      <w:r w:rsidR="002F4B5E">
        <w:rPr>
          <w:lang w:val="en-US"/>
        </w:rPr>
        <w:t>e revenue is recycled (</w:t>
      </w:r>
      <w:r w:rsidR="00D137BB">
        <w:rPr>
          <w:lang w:val="en-US"/>
        </w:rPr>
        <w:t xml:space="preserve">partially) towards reduction of </w:t>
      </w:r>
      <w:proofErr w:type="spellStart"/>
      <w:r w:rsidR="00D137BB">
        <w:rPr>
          <w:lang w:val="en-US"/>
        </w:rPr>
        <w:t>labour</w:t>
      </w:r>
      <w:proofErr w:type="spellEnd"/>
      <w:r w:rsidR="00D137BB">
        <w:rPr>
          <w:lang w:val="en-US"/>
        </w:rPr>
        <w:t xml:space="preserve"> taxes. </w:t>
      </w:r>
      <w:r w:rsidR="00642EB8">
        <w:rPr>
          <w:lang w:val="en-US"/>
        </w:rPr>
        <w:t>Without this type of revenue recycling, the impact is most likely negative.</w:t>
      </w:r>
    </w:p>
    <w:p w:rsidR="000B5C50" w:rsidRDefault="000B5C50" w:rsidP="00416820">
      <w:pPr>
        <w:rPr>
          <w:lang w:val="en-US"/>
        </w:rPr>
      </w:pPr>
      <w:r>
        <w:rPr>
          <w:lang w:val="en-US"/>
        </w:rPr>
        <w:t>Access restrictions for freight transport reduce the efficiency of deliveries within the city and will generally have an economic cost</w:t>
      </w:r>
      <w:r w:rsidR="00CA6969">
        <w:rPr>
          <w:lang w:val="en-US"/>
        </w:rPr>
        <w:t xml:space="preserve"> and reduce employment in the distribution sector (</w:t>
      </w:r>
      <w:proofErr w:type="spellStart"/>
      <w:r w:rsidR="00CA6969">
        <w:rPr>
          <w:lang w:val="en-US"/>
        </w:rPr>
        <w:t>Schoemaker</w:t>
      </w:r>
      <w:proofErr w:type="spellEnd"/>
      <w:r w:rsidR="00CA6969">
        <w:rPr>
          <w:lang w:val="en-US"/>
        </w:rPr>
        <w:t xml:space="preserve"> et al, 2006)</w:t>
      </w:r>
      <w:r>
        <w:rPr>
          <w:lang w:val="en-US"/>
        </w:rPr>
        <w:t xml:space="preserve">. Imposed delivery windows in cities restrict freight to either daytime (London) or nighttime (Paris) deliveries. These </w:t>
      </w:r>
      <w:r w:rsidR="004F571C">
        <w:rPr>
          <w:lang w:val="en-US"/>
        </w:rPr>
        <w:t xml:space="preserve">reflect city </w:t>
      </w:r>
      <w:r w:rsidR="004F571C">
        <w:rPr>
          <w:lang w:val="en-US"/>
        </w:rPr>
        <w:lastRenderedPageBreak/>
        <w:t xml:space="preserve">level preference for noise avoidance (daytime) or congestion avoidance for urban freight (nighttime). </w:t>
      </w:r>
      <w:r w:rsidR="009D7966">
        <w:rPr>
          <w:lang w:val="en-US"/>
        </w:rPr>
        <w:t>Therefore,</w:t>
      </w:r>
      <w:r w:rsidR="003D028E">
        <w:rPr>
          <w:lang w:val="en-US"/>
        </w:rPr>
        <w:t xml:space="preserve"> the impact on either congestion or noise avoidance is somewhat ambivalent and depends upon the type of scheme imposed. </w:t>
      </w:r>
    </w:p>
    <w:p w:rsidR="00387903" w:rsidRDefault="00387903" w:rsidP="00416820">
      <w:pPr>
        <w:rPr>
          <w:lang w:val="en-US"/>
        </w:rPr>
      </w:pPr>
      <w:r>
        <w:rPr>
          <w:lang w:val="en-US"/>
        </w:rPr>
        <w:t xml:space="preserve">Urban growth boundaries encompass a number of measures to restrict development of the city to certain areas. This type of measures impose costs on the city population in terms of higher housing prices, but can lead to benefits through higher city density and lower congestion ( </w:t>
      </w:r>
      <w:proofErr w:type="spellStart"/>
      <w:r>
        <w:rPr>
          <w:lang w:val="en-US"/>
        </w:rPr>
        <w:t>Anas</w:t>
      </w:r>
      <w:proofErr w:type="spellEnd"/>
      <w:r>
        <w:rPr>
          <w:lang w:val="en-US"/>
        </w:rPr>
        <w:t xml:space="preserve"> A. (2006) and </w:t>
      </w:r>
      <w:proofErr w:type="spellStart"/>
      <w:r>
        <w:rPr>
          <w:lang w:val="en-US"/>
        </w:rPr>
        <w:t>Brueckner</w:t>
      </w:r>
      <w:proofErr w:type="spellEnd"/>
      <w:r>
        <w:rPr>
          <w:lang w:val="en-US"/>
        </w:rPr>
        <w:t xml:space="preserve"> J.K (2007)).</w:t>
      </w:r>
      <w:r w:rsidR="00B5384F">
        <w:rPr>
          <w:lang w:val="en-US"/>
        </w:rPr>
        <w:t xml:space="preserve"> </w:t>
      </w:r>
      <w:r w:rsidR="009D7966">
        <w:rPr>
          <w:lang w:val="en-US"/>
        </w:rPr>
        <w:t>In addition,</w:t>
      </w:r>
      <w:r w:rsidR="00B5384F">
        <w:rPr>
          <w:lang w:val="en-US"/>
        </w:rPr>
        <w:t xml:space="preserve"> it can be part of a strategy to preserve certain ‘Green Areas’ around the city.</w:t>
      </w:r>
      <w:r>
        <w:rPr>
          <w:lang w:val="en-US"/>
        </w:rPr>
        <w:t xml:space="preserve"> </w:t>
      </w:r>
      <w:r w:rsidR="00B5384F">
        <w:rPr>
          <w:lang w:val="en-US"/>
        </w:rPr>
        <w:t>The impact of urban growth boundaries on employment and on economic development is somewhat ambivalent, though the economic rationale is to say that they are negative</w:t>
      </w:r>
      <w:r w:rsidR="00D137BB">
        <w:rPr>
          <w:lang w:val="en-US"/>
        </w:rPr>
        <w:t>, due to the costs urban growth boundaries impose on consumers and firms</w:t>
      </w:r>
      <w:r w:rsidR="00B5384F">
        <w:rPr>
          <w:lang w:val="en-US"/>
        </w:rPr>
        <w:t xml:space="preserve">. </w:t>
      </w:r>
      <w:r w:rsidR="004C626B">
        <w:rPr>
          <w:lang w:val="en-US"/>
        </w:rPr>
        <w:t>Cost-benefit evaluation</w:t>
      </w:r>
      <w:r w:rsidR="00B5384F">
        <w:rPr>
          <w:lang w:val="en-US"/>
        </w:rPr>
        <w:t xml:space="preserve"> of urban growth boundaries </w:t>
      </w:r>
      <w:r w:rsidR="004C626B">
        <w:rPr>
          <w:lang w:val="en-US"/>
        </w:rPr>
        <w:t>in empirical situations is often negative</w:t>
      </w:r>
      <w:r w:rsidR="00A14F76">
        <w:rPr>
          <w:lang w:val="en-US"/>
        </w:rPr>
        <w:t xml:space="preserve">, especially when development </w:t>
      </w:r>
      <w:proofErr w:type="gramStart"/>
      <w:r w:rsidR="009D7966">
        <w:rPr>
          <w:lang w:val="en-US"/>
        </w:rPr>
        <w:t>is easily</w:t>
      </w:r>
      <w:r w:rsidR="00A14F76">
        <w:rPr>
          <w:lang w:val="en-US"/>
        </w:rPr>
        <w:t xml:space="preserve"> relocated</w:t>
      </w:r>
      <w:proofErr w:type="gramEnd"/>
      <w:r w:rsidR="00A14F76">
        <w:rPr>
          <w:lang w:val="en-US"/>
        </w:rPr>
        <w:t xml:space="preserve"> to uncontrolled regions and cause</w:t>
      </w:r>
      <w:r w:rsidR="009D7966">
        <w:rPr>
          <w:lang w:val="en-US"/>
        </w:rPr>
        <w:t>s</w:t>
      </w:r>
      <w:r w:rsidR="00A14F76">
        <w:rPr>
          <w:lang w:val="en-US"/>
        </w:rPr>
        <w:t xml:space="preserve"> suburbanization beyond the city borders</w:t>
      </w:r>
      <w:r w:rsidR="004C626B">
        <w:rPr>
          <w:lang w:val="en-US"/>
        </w:rPr>
        <w:t xml:space="preserve"> (</w:t>
      </w:r>
      <w:proofErr w:type="spellStart"/>
      <w:r w:rsidR="00A14F76">
        <w:rPr>
          <w:lang w:val="en-US"/>
        </w:rPr>
        <w:t>Myung</w:t>
      </w:r>
      <w:proofErr w:type="spellEnd"/>
      <w:r w:rsidR="00A14F76">
        <w:rPr>
          <w:lang w:val="en-US"/>
        </w:rPr>
        <w:t xml:space="preserve"> Jin, 2004)</w:t>
      </w:r>
      <w:r w:rsidR="00D137BB">
        <w:rPr>
          <w:lang w:val="en-US"/>
        </w:rPr>
        <w:t>.</w:t>
      </w:r>
    </w:p>
    <w:p w:rsidR="00D137BB" w:rsidRDefault="00D137BB" w:rsidP="00416820">
      <w:pPr>
        <w:rPr>
          <w:lang w:val="en-US"/>
        </w:rPr>
      </w:pPr>
      <w:r>
        <w:rPr>
          <w:lang w:val="en-US"/>
        </w:rPr>
        <w:t xml:space="preserve">One type of policy much used by cities </w:t>
      </w:r>
      <w:proofErr w:type="gramStart"/>
      <w:r>
        <w:rPr>
          <w:lang w:val="en-US"/>
        </w:rPr>
        <w:t>are</w:t>
      </w:r>
      <w:proofErr w:type="gramEnd"/>
      <w:r>
        <w:rPr>
          <w:lang w:val="en-US"/>
        </w:rPr>
        <w:t xml:space="preserve"> parking policies. As discussed in section 4, advancement in parking technology currently allow to charge different rates to vehicles according to </w:t>
      </w:r>
      <w:r w:rsidR="001E6ACA">
        <w:rPr>
          <w:lang w:val="en-US"/>
        </w:rPr>
        <w:t>arrival time and</w:t>
      </w:r>
      <w:r>
        <w:rPr>
          <w:lang w:val="en-US"/>
        </w:rPr>
        <w:t xml:space="preserve"> </w:t>
      </w:r>
      <w:r w:rsidR="001E6ACA">
        <w:rPr>
          <w:lang w:val="en-US"/>
        </w:rPr>
        <w:t xml:space="preserve">emission </w:t>
      </w:r>
      <w:r w:rsidR="002F4B5E">
        <w:rPr>
          <w:lang w:val="en-US"/>
        </w:rPr>
        <w:t xml:space="preserve">intensity of the vehicle. While more </w:t>
      </w:r>
      <w:r w:rsidR="001E6ACA">
        <w:rPr>
          <w:lang w:val="en-US"/>
        </w:rPr>
        <w:t>stringent parking policies can be a second-best strategy for road charging (</w:t>
      </w:r>
      <w:proofErr w:type="spellStart"/>
      <w:r w:rsidR="00564835">
        <w:rPr>
          <w:lang w:val="en-US"/>
        </w:rPr>
        <w:t>Calthrop</w:t>
      </w:r>
      <w:proofErr w:type="spellEnd"/>
      <w:r w:rsidR="00564835">
        <w:rPr>
          <w:lang w:val="en-US"/>
        </w:rPr>
        <w:t xml:space="preserve"> et al</w:t>
      </w:r>
      <w:r w:rsidR="002F4B5E">
        <w:rPr>
          <w:lang w:val="en-US"/>
        </w:rPr>
        <w:t>,</w:t>
      </w:r>
      <w:r w:rsidR="00564835">
        <w:rPr>
          <w:lang w:val="en-US"/>
        </w:rPr>
        <w:t xml:space="preserve"> 2000)</w:t>
      </w:r>
      <w:r w:rsidR="002F4B5E">
        <w:rPr>
          <w:lang w:val="en-US"/>
        </w:rPr>
        <w:t>, there is a huge discussion whether</w:t>
      </w:r>
      <w:r w:rsidR="00CA6969">
        <w:rPr>
          <w:lang w:val="en-US"/>
        </w:rPr>
        <w:t xml:space="preserve"> too</w:t>
      </w:r>
      <w:r w:rsidR="002F4B5E">
        <w:rPr>
          <w:lang w:val="en-US"/>
        </w:rPr>
        <w:t xml:space="preserve"> stringent parking policies may lead to extra cruising and cause additional traffic congestion in the city (</w:t>
      </w:r>
      <w:proofErr w:type="spellStart"/>
      <w:r w:rsidR="002F4B5E">
        <w:rPr>
          <w:lang w:val="en-US"/>
        </w:rPr>
        <w:t>Arnott</w:t>
      </w:r>
      <w:proofErr w:type="spellEnd"/>
      <w:r w:rsidR="002F4B5E">
        <w:rPr>
          <w:lang w:val="en-US"/>
        </w:rPr>
        <w:t xml:space="preserve">, 2010 &amp; </w:t>
      </w:r>
      <w:proofErr w:type="spellStart"/>
      <w:r w:rsidR="002F4B5E">
        <w:rPr>
          <w:lang w:val="en-US"/>
        </w:rPr>
        <w:t>Fosgereau</w:t>
      </w:r>
      <w:proofErr w:type="spellEnd"/>
      <w:r w:rsidR="002F4B5E">
        <w:rPr>
          <w:lang w:val="en-US"/>
        </w:rPr>
        <w:t xml:space="preserve"> M. et al, 2013). The presence of private parking spots or parking at the workplace as extra-legal benefit reduces the effectiveness of this type of policies.</w:t>
      </w:r>
    </w:p>
    <w:p w:rsidR="002F4B5E" w:rsidRDefault="002F4B5E" w:rsidP="00416820">
      <w:pPr>
        <w:rPr>
          <w:lang w:val="en-US"/>
        </w:rPr>
      </w:pPr>
      <w:r>
        <w:rPr>
          <w:lang w:val="en-US"/>
        </w:rPr>
        <w:t>Policy towards promoting of the use of cycling takes many forms. Many cities are subsidizing bike programs and improving the traffic infrastructure for cycling. Copenhagen is a forerunner in this aspect, strongly promoting cycling as the main option for intra-urb</w:t>
      </w:r>
      <w:r w:rsidR="00CA6969">
        <w:rPr>
          <w:lang w:val="en-US"/>
        </w:rPr>
        <w:t>an travel. Cycling is the fastest intra-urban transport mode and has strong health benefits. Commuting by bike is associated with higher work productivity and lower sick days (</w:t>
      </w:r>
      <w:proofErr w:type="spellStart"/>
      <w:r w:rsidR="00CA6969">
        <w:rPr>
          <w:lang w:val="en-US"/>
        </w:rPr>
        <w:t>Rabl</w:t>
      </w:r>
      <w:proofErr w:type="spellEnd"/>
      <w:r w:rsidR="00CA6969">
        <w:rPr>
          <w:lang w:val="en-US"/>
        </w:rPr>
        <w:t xml:space="preserve"> A. et al, 2012). </w:t>
      </w:r>
      <w:proofErr w:type="spellStart"/>
      <w:r w:rsidR="009D7966">
        <w:rPr>
          <w:lang w:val="en-US"/>
        </w:rPr>
        <w:t>Grous</w:t>
      </w:r>
      <w:proofErr w:type="spellEnd"/>
      <w:r w:rsidR="009D7966">
        <w:rPr>
          <w:lang w:val="en-US"/>
        </w:rPr>
        <w:t xml:space="preserve"> A. (2011) analyses t</w:t>
      </w:r>
      <w:r w:rsidR="00CA6969">
        <w:rPr>
          <w:lang w:val="en-US"/>
        </w:rPr>
        <w:t xml:space="preserve">he success of the ‘cycling economy’ and possible positive economic effects of cycling </w:t>
      </w:r>
      <w:r w:rsidR="009D7966">
        <w:rPr>
          <w:lang w:val="en-US"/>
        </w:rPr>
        <w:t>for the first time</w:t>
      </w:r>
      <w:r w:rsidR="00CA6969">
        <w:rPr>
          <w:lang w:val="en-US"/>
        </w:rPr>
        <w:t>.</w:t>
      </w:r>
      <w:r w:rsidR="00E65256">
        <w:rPr>
          <w:lang w:val="en-US"/>
        </w:rPr>
        <w:t xml:space="preserve"> He found that each cyclist </w:t>
      </w:r>
      <w:r w:rsidR="009D7966">
        <w:rPr>
          <w:lang w:val="en-US"/>
        </w:rPr>
        <w:t>contributes</w:t>
      </w:r>
      <w:r w:rsidR="00E65256">
        <w:rPr>
          <w:lang w:val="en-US"/>
        </w:rPr>
        <w:t xml:space="preserve"> </w:t>
      </w:r>
      <w:r w:rsidR="009D7966">
        <w:rPr>
          <w:lang w:val="en-US"/>
        </w:rPr>
        <w:t xml:space="preserve">₤230 </w:t>
      </w:r>
      <w:r w:rsidR="00E65256">
        <w:rPr>
          <w:lang w:val="en-US"/>
        </w:rPr>
        <w:t xml:space="preserve">to the UK economy, </w:t>
      </w:r>
      <w:r w:rsidR="002E4DFF">
        <w:rPr>
          <w:lang w:val="en-US"/>
        </w:rPr>
        <w:t xml:space="preserve">with a total of ₤2.92 billion for the whole economy. This is composed of ₤2.47 in retail sales, ₤0.5 in wages, ₤0.1 in taxes and ₤0.128 in health benefits. Promotion of cycling may actually be one of the best policies available to increase sustainability of urban traffic. </w:t>
      </w:r>
      <w:r w:rsidR="00CA6969">
        <w:rPr>
          <w:lang w:val="en-US"/>
        </w:rPr>
        <w:t>It is clear however, that promotion of cycling will only be effective, if the infrastructure is present</w:t>
      </w:r>
      <w:r w:rsidR="002E4DFF">
        <w:rPr>
          <w:lang w:val="en-US"/>
        </w:rPr>
        <w:t>, accessible</w:t>
      </w:r>
      <w:r w:rsidR="00CA6969">
        <w:rPr>
          <w:lang w:val="en-US"/>
        </w:rPr>
        <w:t xml:space="preserve"> and safe.</w:t>
      </w:r>
    </w:p>
    <w:p w:rsidR="00CA6969" w:rsidRDefault="00CA6969" w:rsidP="00416820">
      <w:pPr>
        <w:rPr>
          <w:lang w:val="en-US"/>
        </w:rPr>
      </w:pPr>
      <w:r>
        <w:rPr>
          <w:lang w:val="en-US"/>
        </w:rPr>
        <w:t xml:space="preserve">Investments in public transport </w:t>
      </w:r>
      <w:proofErr w:type="gramStart"/>
      <w:r>
        <w:rPr>
          <w:lang w:val="en-US"/>
        </w:rPr>
        <w:t>were discussed</w:t>
      </w:r>
      <w:proofErr w:type="gramEnd"/>
      <w:r>
        <w:rPr>
          <w:lang w:val="en-US"/>
        </w:rPr>
        <w:t xml:space="preserve"> in section 5.2. </w:t>
      </w:r>
      <w:r w:rsidR="0023570E">
        <w:rPr>
          <w:lang w:val="en-US"/>
        </w:rPr>
        <w:t>While potentially</w:t>
      </w:r>
      <w:r>
        <w:rPr>
          <w:lang w:val="en-US"/>
        </w:rPr>
        <w:t xml:space="preserve"> generating employment</w:t>
      </w:r>
      <w:r w:rsidR="00C04230">
        <w:rPr>
          <w:lang w:val="en-US"/>
        </w:rPr>
        <w:t xml:space="preserve"> and allowing a shift towards public transit</w:t>
      </w:r>
      <w:r>
        <w:rPr>
          <w:lang w:val="en-US"/>
        </w:rPr>
        <w:t xml:space="preserve">, the impact of costly infrastructure projects on city finance should not be underestimated. </w:t>
      </w:r>
      <w:r w:rsidR="00C04230">
        <w:rPr>
          <w:lang w:val="en-US"/>
        </w:rPr>
        <w:t>Additionally</w:t>
      </w:r>
      <w:r w:rsidR="002E4DFF">
        <w:rPr>
          <w:lang w:val="en-US"/>
        </w:rPr>
        <w:t xml:space="preserve">, </w:t>
      </w:r>
      <w:r w:rsidR="0023570E">
        <w:rPr>
          <w:lang w:val="en-US"/>
        </w:rPr>
        <w:t>transport infrastructure, be it fo</w:t>
      </w:r>
      <w:r w:rsidR="002E4DFF">
        <w:rPr>
          <w:lang w:val="en-US"/>
        </w:rPr>
        <w:t xml:space="preserve">r public or private transit, potentially </w:t>
      </w:r>
      <w:r w:rsidR="0023570E">
        <w:rPr>
          <w:lang w:val="en-US"/>
        </w:rPr>
        <w:t>leads to expansion of the city</w:t>
      </w:r>
      <w:r w:rsidR="002E4DFF">
        <w:rPr>
          <w:lang w:val="en-US"/>
        </w:rPr>
        <w:t xml:space="preserve"> and thus to urban sprawl</w:t>
      </w:r>
      <w:r w:rsidR="00C04230">
        <w:rPr>
          <w:lang w:val="en-US"/>
        </w:rPr>
        <w:t xml:space="preserve"> and suburbanization</w:t>
      </w:r>
      <w:r w:rsidR="0023570E">
        <w:rPr>
          <w:lang w:val="en-US"/>
        </w:rPr>
        <w:t xml:space="preserve">. In this </w:t>
      </w:r>
      <w:proofErr w:type="gramStart"/>
      <w:r w:rsidR="0023570E">
        <w:rPr>
          <w:lang w:val="en-US"/>
        </w:rPr>
        <w:t>sense</w:t>
      </w:r>
      <w:proofErr w:type="gramEnd"/>
      <w:r w:rsidR="0023570E">
        <w:rPr>
          <w:lang w:val="en-US"/>
        </w:rPr>
        <w:t xml:space="preserve"> the </w:t>
      </w:r>
      <w:r w:rsidR="00B513DC">
        <w:rPr>
          <w:lang w:val="en-US"/>
        </w:rPr>
        <w:t>C</w:t>
      </w:r>
      <w:r w:rsidR="0023570E">
        <w:rPr>
          <w:lang w:val="en-US"/>
        </w:rPr>
        <w:t xml:space="preserve">openhagen administration was especially visionary to designate areas for city expansion in a controlled way when applying the Finger plan. </w:t>
      </w:r>
    </w:p>
    <w:p w:rsidR="0023570E" w:rsidRDefault="0023570E" w:rsidP="00416820">
      <w:pPr>
        <w:rPr>
          <w:lang w:val="en-US"/>
        </w:rPr>
      </w:pPr>
      <w:r>
        <w:rPr>
          <w:lang w:val="en-US"/>
        </w:rPr>
        <w:t xml:space="preserve">Promotion of public transit is a soft measure that </w:t>
      </w:r>
      <w:proofErr w:type="gramStart"/>
      <w:r>
        <w:rPr>
          <w:lang w:val="en-US"/>
        </w:rPr>
        <w:t>has been shown</w:t>
      </w:r>
      <w:proofErr w:type="gramEnd"/>
      <w:r>
        <w:rPr>
          <w:lang w:val="en-US"/>
        </w:rPr>
        <w:t xml:space="preserve"> to stimulate the use of public transit to some degree. </w:t>
      </w:r>
      <w:r w:rsidR="000F3A48">
        <w:rPr>
          <w:lang w:val="en-US"/>
        </w:rPr>
        <w:t xml:space="preserve">Publicly funded training programs may help to familiarize new users with public transit, but may not lead to any structural change </w:t>
      </w:r>
      <w:r w:rsidR="000F3A48">
        <w:rPr>
          <w:lang w:val="en-US"/>
        </w:rPr>
        <w:lastRenderedPageBreak/>
        <w:t xml:space="preserve">towards public transit use. Other measures to promote public transport, such as establishing a unified ticketing system for public transit or improving and visualizing transport schedules are more likely to lead to long term results.  </w:t>
      </w:r>
      <w:r>
        <w:rPr>
          <w:lang w:val="en-US"/>
        </w:rPr>
        <w:t xml:space="preserve">Santos G. (2008) </w:t>
      </w:r>
      <w:proofErr w:type="gramStart"/>
      <w:r>
        <w:rPr>
          <w:lang w:val="en-US"/>
        </w:rPr>
        <w:t>argues,</w:t>
      </w:r>
      <w:proofErr w:type="gramEnd"/>
      <w:r>
        <w:rPr>
          <w:lang w:val="en-US"/>
        </w:rPr>
        <w:t xml:space="preserve"> that in the case of London, the simplification of the ticketing system, through the Oyster pass, was a very effective way to reduce waiting lines and reduce the cost of taking public transit. </w:t>
      </w:r>
    </w:p>
    <w:p w:rsidR="002F4B5E" w:rsidRDefault="0023570E" w:rsidP="00416820">
      <w:pPr>
        <w:rPr>
          <w:lang w:val="en-US"/>
        </w:rPr>
      </w:pPr>
      <w:r>
        <w:rPr>
          <w:lang w:val="en-US"/>
        </w:rPr>
        <w:t xml:space="preserve">Urban Delivery Centers </w:t>
      </w:r>
      <w:proofErr w:type="gramStart"/>
      <w:r>
        <w:rPr>
          <w:lang w:val="en-US"/>
        </w:rPr>
        <w:t>have been discussed</w:t>
      </w:r>
      <w:proofErr w:type="gramEnd"/>
      <w:r>
        <w:rPr>
          <w:lang w:val="en-US"/>
        </w:rPr>
        <w:t xml:space="preserve"> in Section 4.3 &amp; 4.4. </w:t>
      </w:r>
      <w:r w:rsidR="008023D1">
        <w:rPr>
          <w:lang w:val="en-US"/>
        </w:rPr>
        <w:t xml:space="preserve">Especially in Italy, many cities experimented with UDC’s. </w:t>
      </w:r>
      <w:r w:rsidR="00C04230">
        <w:rPr>
          <w:lang w:val="en-US"/>
        </w:rPr>
        <w:t xml:space="preserve">These are publicly supported freight consolidation centers, with the aim of bundling urban freight transport on low emission vehicles. </w:t>
      </w:r>
      <w:r w:rsidR="00B513DC">
        <w:rPr>
          <w:lang w:val="en-US"/>
        </w:rPr>
        <w:t xml:space="preserve">The Italian experience </w:t>
      </w:r>
      <w:proofErr w:type="gramStart"/>
      <w:r w:rsidR="00B513DC">
        <w:rPr>
          <w:lang w:val="en-US"/>
        </w:rPr>
        <w:t>was rather mixed</w:t>
      </w:r>
      <w:proofErr w:type="gramEnd"/>
      <w:r w:rsidR="00B513DC">
        <w:rPr>
          <w:lang w:val="en-US"/>
        </w:rPr>
        <w:t xml:space="preserve">, as most of the centers were costly on public finance and had too little impact on city traffic to be effective (Danielis et al, 2010). </w:t>
      </w:r>
      <w:r w:rsidR="008023D1">
        <w:rPr>
          <w:lang w:val="en-US"/>
        </w:rPr>
        <w:t>The</w:t>
      </w:r>
      <w:r w:rsidR="00B513DC">
        <w:rPr>
          <w:lang w:val="en-US"/>
        </w:rPr>
        <w:t xml:space="preserve"> experience of </w:t>
      </w:r>
      <w:proofErr w:type="spellStart"/>
      <w:r w:rsidR="00B513DC">
        <w:rPr>
          <w:lang w:val="en-US"/>
        </w:rPr>
        <w:t>Genua</w:t>
      </w:r>
      <w:proofErr w:type="spellEnd"/>
      <w:r w:rsidR="00B513DC">
        <w:rPr>
          <w:lang w:val="en-US"/>
        </w:rPr>
        <w:t xml:space="preserve"> was particularly positive and shows that </w:t>
      </w:r>
      <w:r w:rsidR="008023D1">
        <w:rPr>
          <w:lang w:val="en-US"/>
        </w:rPr>
        <w:t>UDC’s may have potential</w:t>
      </w:r>
      <w:r w:rsidR="00B513DC">
        <w:rPr>
          <w:lang w:val="en-US"/>
        </w:rPr>
        <w:t xml:space="preserve">, when the center </w:t>
      </w:r>
      <w:proofErr w:type="gramStart"/>
      <w:r w:rsidR="00B513DC">
        <w:rPr>
          <w:lang w:val="en-US"/>
        </w:rPr>
        <w:t>is supported</w:t>
      </w:r>
      <w:proofErr w:type="gramEnd"/>
      <w:r w:rsidR="00B513DC">
        <w:rPr>
          <w:lang w:val="en-US"/>
        </w:rPr>
        <w:t xml:space="preserve"> by the local distribution sector. </w:t>
      </w:r>
    </w:p>
    <w:p w:rsidR="00B513DC" w:rsidRDefault="0025394C" w:rsidP="00416820">
      <w:pPr>
        <w:rPr>
          <w:lang w:val="en-US"/>
        </w:rPr>
      </w:pPr>
      <w:r>
        <w:rPr>
          <w:lang w:val="en-US"/>
        </w:rPr>
        <w:t>Dynamic transport management (</w:t>
      </w:r>
      <w:proofErr w:type="spellStart"/>
      <w:r>
        <w:rPr>
          <w:lang w:val="en-US"/>
        </w:rPr>
        <w:t>Schoemaker</w:t>
      </w:r>
      <w:proofErr w:type="spellEnd"/>
      <w:r>
        <w:rPr>
          <w:lang w:val="en-US"/>
        </w:rPr>
        <w:t xml:space="preserve"> et al, 2006) is an efficient way to improve the efficiency of traffic flows, without creating new and costly infrastructure. It is unable however, to create any structural change to the urban environment. </w:t>
      </w:r>
    </w:p>
    <w:p w:rsidR="0025394C" w:rsidRDefault="009D7966" w:rsidP="00416820">
      <w:pPr>
        <w:rPr>
          <w:lang w:val="en-US"/>
        </w:rPr>
      </w:pPr>
      <w:r>
        <w:rPr>
          <w:lang w:val="en-US"/>
        </w:rPr>
        <w:t>Cities consider investments in new road infrastructure</w:t>
      </w:r>
      <w:r w:rsidR="0025394C">
        <w:rPr>
          <w:lang w:val="en-US"/>
        </w:rPr>
        <w:t xml:space="preserve">, when the network is congested. While in some cases, new capacity may be necessary, increase in road capacity </w:t>
      </w:r>
      <w:proofErr w:type="gramStart"/>
      <w:r w:rsidR="0025394C">
        <w:rPr>
          <w:lang w:val="en-US"/>
        </w:rPr>
        <w:t>should be weighed</w:t>
      </w:r>
      <w:proofErr w:type="gramEnd"/>
      <w:r w:rsidR="0025394C">
        <w:rPr>
          <w:lang w:val="en-US"/>
        </w:rPr>
        <w:t xml:space="preserve"> against its negative impact on</w:t>
      </w:r>
      <w:r w:rsidR="00FB33C3">
        <w:rPr>
          <w:lang w:val="en-US"/>
        </w:rPr>
        <w:t xml:space="preserve"> sustainability</w:t>
      </w:r>
      <w:r w:rsidR="0025394C">
        <w:rPr>
          <w:lang w:val="en-US"/>
        </w:rPr>
        <w:t>. Investments in road infrastructure are costly on the public budget, increase urban sprawl (Baum-Snow N.</w:t>
      </w:r>
      <w:r w:rsidR="00FB33C3">
        <w:rPr>
          <w:lang w:val="en-US"/>
        </w:rPr>
        <w:t>, 2007</w:t>
      </w:r>
      <w:r w:rsidR="0025394C">
        <w:rPr>
          <w:lang w:val="en-US"/>
        </w:rPr>
        <w:t>)</w:t>
      </w:r>
      <w:r w:rsidR="00FB33C3">
        <w:rPr>
          <w:lang w:val="en-US"/>
        </w:rPr>
        <w:t xml:space="preserve">, increase private use of cars, traffic pollution </w:t>
      </w:r>
      <w:r w:rsidR="0025394C">
        <w:rPr>
          <w:lang w:val="en-US"/>
        </w:rPr>
        <w:t xml:space="preserve">and </w:t>
      </w:r>
      <w:r w:rsidR="00FB33C3">
        <w:rPr>
          <w:lang w:val="en-US"/>
        </w:rPr>
        <w:t xml:space="preserve">only have a transient effect on congestion, due to induced travel </w:t>
      </w:r>
      <w:r>
        <w:rPr>
          <w:lang w:val="en-US"/>
        </w:rPr>
        <w:t xml:space="preserve">demand effects (see for example: </w:t>
      </w:r>
      <w:proofErr w:type="spellStart"/>
      <w:r>
        <w:rPr>
          <w:lang w:val="en-US"/>
        </w:rPr>
        <w:t>Litman</w:t>
      </w:r>
      <w:proofErr w:type="spellEnd"/>
      <w:r>
        <w:rPr>
          <w:lang w:val="en-US"/>
        </w:rPr>
        <w:t xml:space="preserve">, </w:t>
      </w:r>
      <w:r w:rsidR="00FB33C3">
        <w:rPr>
          <w:lang w:val="en-US"/>
        </w:rPr>
        <w:t>2013).</w:t>
      </w:r>
    </w:p>
    <w:p w:rsidR="00CC5B23" w:rsidRDefault="00CC5B23" w:rsidP="00416820">
      <w:pPr>
        <w:rPr>
          <w:lang w:val="en-US"/>
        </w:rPr>
      </w:pPr>
      <w:r>
        <w:rPr>
          <w:lang w:val="en-US"/>
        </w:rPr>
        <w:t xml:space="preserve">In the </w:t>
      </w:r>
      <w:proofErr w:type="gramStart"/>
      <w:r>
        <w:rPr>
          <w:lang w:val="en-US"/>
        </w:rPr>
        <w:t>home-work</w:t>
      </w:r>
      <w:proofErr w:type="gramEnd"/>
      <w:r>
        <w:rPr>
          <w:lang w:val="en-US"/>
        </w:rPr>
        <w:t xml:space="preserve"> balance, commuting is of primary importance. </w:t>
      </w:r>
      <w:r w:rsidR="00433845">
        <w:rPr>
          <w:lang w:val="en-US"/>
        </w:rPr>
        <w:t xml:space="preserve">The theory of urban economics provides plenty of evidence, that when the private cost of transport does not reflect the total social (external) cost of transport, the city density will be lower than optimal, congestion higher and the total commuting distance longer. The link between environmental costs and excess private transport </w:t>
      </w:r>
      <w:r w:rsidR="007D1DB8">
        <w:rPr>
          <w:lang w:val="en-US"/>
        </w:rPr>
        <w:t>is</w:t>
      </w:r>
      <w:r w:rsidR="00433845">
        <w:rPr>
          <w:lang w:val="en-US"/>
        </w:rPr>
        <w:t xml:space="preserve"> self-evident. The social cost of commuting may be</w:t>
      </w:r>
      <w:r w:rsidR="007D1DB8">
        <w:rPr>
          <w:lang w:val="en-US"/>
        </w:rPr>
        <w:t xml:space="preserve"> equally important however</w:t>
      </w:r>
      <w:r w:rsidR="00433845">
        <w:rPr>
          <w:lang w:val="en-US"/>
        </w:rPr>
        <w:t xml:space="preserve">. </w:t>
      </w:r>
      <w:proofErr w:type="spellStart"/>
      <w:r w:rsidR="00EC19C9">
        <w:rPr>
          <w:lang w:val="en-US"/>
        </w:rPr>
        <w:t>Sandow</w:t>
      </w:r>
      <w:proofErr w:type="spellEnd"/>
      <w:r w:rsidR="00EC19C9">
        <w:rPr>
          <w:lang w:val="en-US"/>
        </w:rPr>
        <w:t xml:space="preserve"> E. </w:t>
      </w:r>
      <w:r w:rsidR="007D1DB8">
        <w:rPr>
          <w:lang w:val="en-US"/>
        </w:rPr>
        <w:t xml:space="preserve">(2013), shows using longitudinal data from 1995-2005 for Sweden, that couples under stress of long-distance commutes have higher separation rates. </w:t>
      </w:r>
      <w:proofErr w:type="spellStart"/>
      <w:r w:rsidR="00433845">
        <w:rPr>
          <w:lang w:val="en-US"/>
        </w:rPr>
        <w:t>Novaco</w:t>
      </w:r>
      <w:proofErr w:type="spellEnd"/>
      <w:r w:rsidR="00433845">
        <w:rPr>
          <w:lang w:val="en-US"/>
        </w:rPr>
        <w:t xml:space="preserve"> et al (2009) link many elements of psychological and healt</w:t>
      </w:r>
      <w:r w:rsidR="007D1DB8">
        <w:rPr>
          <w:lang w:val="en-US"/>
        </w:rPr>
        <w:t xml:space="preserve">h related illness to commuting and point to telecommuting as a possible solution to improve </w:t>
      </w:r>
      <w:proofErr w:type="gramStart"/>
      <w:r w:rsidR="007D1DB8">
        <w:rPr>
          <w:lang w:val="en-US"/>
        </w:rPr>
        <w:t>home-work</w:t>
      </w:r>
      <w:proofErr w:type="gramEnd"/>
      <w:r w:rsidR="007D1DB8">
        <w:rPr>
          <w:lang w:val="en-US"/>
        </w:rPr>
        <w:t xml:space="preserve"> balance.</w:t>
      </w:r>
    </w:p>
    <w:p w:rsidR="002051A8" w:rsidRDefault="00FB33C3" w:rsidP="00416820">
      <w:pPr>
        <w:rPr>
          <w:lang w:val="en-US"/>
        </w:rPr>
      </w:pPr>
      <w:proofErr w:type="spellStart"/>
      <w:r>
        <w:rPr>
          <w:lang w:val="en-US"/>
        </w:rPr>
        <w:t>Fuhr</w:t>
      </w:r>
      <w:proofErr w:type="spellEnd"/>
      <w:r>
        <w:rPr>
          <w:lang w:val="en-US"/>
        </w:rPr>
        <w:t xml:space="preserve"> &amp; </w:t>
      </w:r>
      <w:proofErr w:type="spellStart"/>
      <w:r>
        <w:rPr>
          <w:lang w:val="en-US"/>
        </w:rPr>
        <w:t>Pochiask</w:t>
      </w:r>
      <w:proofErr w:type="spellEnd"/>
      <w:r>
        <w:rPr>
          <w:lang w:val="en-US"/>
        </w:rPr>
        <w:t xml:space="preserve"> (2010) are especially positive about this sort of incentives, pointing out that the reduced</w:t>
      </w:r>
      <w:r w:rsidR="00BD6486">
        <w:rPr>
          <w:lang w:val="en-US"/>
        </w:rPr>
        <w:t xml:space="preserve"> demand for office space</w:t>
      </w:r>
      <w:r>
        <w:rPr>
          <w:lang w:val="en-US"/>
        </w:rPr>
        <w:t xml:space="preserve"> would </w:t>
      </w:r>
      <w:r w:rsidR="00BD6486">
        <w:rPr>
          <w:lang w:val="en-US"/>
        </w:rPr>
        <w:t xml:space="preserve">lead to lower energy consumption and lower land use in the city. </w:t>
      </w:r>
      <w:proofErr w:type="spellStart"/>
      <w:r w:rsidR="00BD6486">
        <w:rPr>
          <w:lang w:val="en-US"/>
        </w:rPr>
        <w:t>Rietveld</w:t>
      </w:r>
      <w:proofErr w:type="spellEnd"/>
      <w:r w:rsidR="00BD6486">
        <w:rPr>
          <w:lang w:val="en-US"/>
        </w:rPr>
        <w:t xml:space="preserve"> (2011) finds that the specific ‘Dutch’ practice of working at home during the morning and leaving later to work, can balance traffic flows more evenly during the morning, but may affect the home-work balance and congestion during evening hours negatively. Rhee (2009) finds that work at home incentives can lead to more urban sprawl. </w:t>
      </w:r>
      <w:proofErr w:type="spellStart"/>
      <w:r w:rsidR="00BD6486">
        <w:rPr>
          <w:lang w:val="en-US"/>
        </w:rPr>
        <w:t>Macharis</w:t>
      </w:r>
      <w:proofErr w:type="spellEnd"/>
      <w:r w:rsidR="00BD6486">
        <w:rPr>
          <w:lang w:val="en-US"/>
        </w:rPr>
        <w:t xml:space="preserve"> et al (2011) analyses a series of interviews and shows that the impact of the scheme is reduced when a large share of the commuters are already taking public transit. Furthermore, energy consumption</w:t>
      </w:r>
      <w:r w:rsidR="009413F3">
        <w:rPr>
          <w:lang w:val="en-US"/>
        </w:rPr>
        <w:t xml:space="preserve"> at home</w:t>
      </w:r>
      <w:r w:rsidR="00BD6486">
        <w:rPr>
          <w:lang w:val="en-US"/>
        </w:rPr>
        <w:t xml:space="preserve"> during </w:t>
      </w:r>
      <w:proofErr w:type="gramStart"/>
      <w:r w:rsidR="00BD6486">
        <w:rPr>
          <w:lang w:val="en-US"/>
        </w:rPr>
        <w:t>home-wor</w:t>
      </w:r>
      <w:r w:rsidR="009413F3">
        <w:rPr>
          <w:lang w:val="en-US"/>
        </w:rPr>
        <w:t>k</w:t>
      </w:r>
      <w:proofErr w:type="gramEnd"/>
      <w:r w:rsidR="009413F3">
        <w:rPr>
          <w:lang w:val="en-US"/>
        </w:rPr>
        <w:t xml:space="preserve"> days is substantially larger than under normal working days. </w:t>
      </w:r>
      <w:r w:rsidR="002051A8">
        <w:rPr>
          <w:lang w:val="en-US"/>
        </w:rPr>
        <w:t>The presence of rebound effects in the energy use at home and latent demand of non-teleworkers, make it questionable if teleworking can really have any significant results on pollution.</w:t>
      </w:r>
    </w:p>
    <w:p w:rsidR="00416820" w:rsidRDefault="00416820" w:rsidP="00416820">
      <w:pPr>
        <w:pStyle w:val="Caption"/>
        <w:rPr>
          <w:lang w:val="en-US"/>
        </w:rPr>
      </w:pPr>
      <w:bookmarkStart w:id="68" w:name="_Ref366075341"/>
      <w:bookmarkStart w:id="69" w:name="_Toc373136648"/>
      <w:r>
        <w:lastRenderedPageBreak/>
        <w:t xml:space="preserve">Table </w:t>
      </w:r>
      <w:r>
        <w:fldChar w:fldCharType="begin"/>
      </w:r>
      <w:r>
        <w:instrText xml:space="preserve"> SEQ Table \* ARABIC </w:instrText>
      </w:r>
      <w:r>
        <w:fldChar w:fldCharType="separate"/>
      </w:r>
      <w:r w:rsidR="0013270A">
        <w:rPr>
          <w:noProof/>
        </w:rPr>
        <w:t>11</w:t>
      </w:r>
      <w:r>
        <w:fldChar w:fldCharType="end"/>
      </w:r>
      <w:bookmarkEnd w:id="68"/>
      <w:r>
        <w:t>: City level policy and estimated impact</w:t>
      </w:r>
      <w:r w:rsidR="00BD6486">
        <w:t>s on sprawl, price of housing and transport, pollution, congestion an</w:t>
      </w:r>
      <w:r w:rsidR="009413F3">
        <w:t>d employment (own assessment)</w:t>
      </w:r>
      <w:bookmarkEnd w:id="69"/>
      <w:r w:rsidR="00BD6486">
        <w:t xml:space="preserve"> </w:t>
      </w:r>
    </w:p>
    <w:tbl>
      <w:tblPr>
        <w:tblStyle w:val="TableGrid"/>
        <w:tblW w:w="9211" w:type="dxa"/>
        <w:tblLook w:val="04A0" w:firstRow="1" w:lastRow="0" w:firstColumn="1" w:lastColumn="0" w:noHBand="0" w:noVBand="1"/>
      </w:tblPr>
      <w:tblGrid>
        <w:gridCol w:w="485"/>
        <w:gridCol w:w="1891"/>
        <w:gridCol w:w="709"/>
        <w:gridCol w:w="709"/>
        <w:gridCol w:w="671"/>
        <w:gridCol w:w="507"/>
        <w:gridCol w:w="514"/>
        <w:gridCol w:w="642"/>
        <w:gridCol w:w="514"/>
        <w:gridCol w:w="2569"/>
      </w:tblGrid>
      <w:tr w:rsidR="002D3991" w:rsidTr="002D3991">
        <w:trPr>
          <w:cantSplit/>
          <w:trHeight w:val="1536"/>
        </w:trPr>
        <w:tc>
          <w:tcPr>
            <w:tcW w:w="485" w:type="dxa"/>
            <w:shd w:val="clear" w:color="auto" w:fill="C4BC96" w:themeFill="background2" w:themeFillShade="BF"/>
          </w:tcPr>
          <w:p w:rsidR="00D777FA" w:rsidRPr="00BA1C0C" w:rsidRDefault="00D777FA" w:rsidP="00416820">
            <w:pPr>
              <w:rPr>
                <w:b/>
                <w:sz w:val="22"/>
                <w:lang w:val="en-US"/>
              </w:rPr>
            </w:pPr>
          </w:p>
        </w:tc>
        <w:tc>
          <w:tcPr>
            <w:tcW w:w="1891" w:type="dxa"/>
            <w:shd w:val="clear" w:color="auto" w:fill="C4BC96" w:themeFill="background2" w:themeFillShade="BF"/>
          </w:tcPr>
          <w:p w:rsidR="00D777FA" w:rsidRPr="00BA1C0C" w:rsidRDefault="00D777FA" w:rsidP="00416820">
            <w:pPr>
              <w:rPr>
                <w:b/>
                <w:sz w:val="22"/>
                <w:lang w:val="en-US"/>
              </w:rPr>
            </w:pPr>
            <w:r w:rsidRPr="00BA1C0C">
              <w:rPr>
                <w:b/>
                <w:sz w:val="22"/>
                <w:lang w:val="en-US"/>
              </w:rPr>
              <w:t>Policy</w:t>
            </w:r>
          </w:p>
        </w:tc>
        <w:tc>
          <w:tcPr>
            <w:tcW w:w="709" w:type="dxa"/>
            <w:shd w:val="clear" w:color="auto" w:fill="C4BC96" w:themeFill="background2" w:themeFillShade="BF"/>
            <w:textDirection w:val="tbRl"/>
          </w:tcPr>
          <w:p w:rsidR="00D777FA" w:rsidRPr="00BA1C0C" w:rsidRDefault="00D777FA" w:rsidP="00416820">
            <w:pPr>
              <w:ind w:left="113" w:right="113"/>
              <w:jc w:val="left"/>
              <w:rPr>
                <w:b/>
                <w:sz w:val="22"/>
                <w:lang w:val="en-US"/>
              </w:rPr>
            </w:pPr>
            <w:r w:rsidRPr="00BA1C0C">
              <w:rPr>
                <w:b/>
                <w:sz w:val="22"/>
                <w:lang w:val="en-US"/>
              </w:rPr>
              <w:t>Urban Sprawl</w:t>
            </w:r>
          </w:p>
        </w:tc>
        <w:tc>
          <w:tcPr>
            <w:tcW w:w="709" w:type="dxa"/>
            <w:shd w:val="clear" w:color="auto" w:fill="C4BC96" w:themeFill="background2" w:themeFillShade="BF"/>
            <w:textDirection w:val="tbRl"/>
          </w:tcPr>
          <w:p w:rsidR="00D777FA" w:rsidRPr="00BA1C0C" w:rsidRDefault="00D777FA" w:rsidP="00416820">
            <w:pPr>
              <w:ind w:left="113" w:right="113"/>
              <w:jc w:val="left"/>
              <w:rPr>
                <w:b/>
                <w:sz w:val="22"/>
                <w:lang w:val="en-US"/>
              </w:rPr>
            </w:pPr>
            <w:r w:rsidRPr="00BA1C0C">
              <w:rPr>
                <w:b/>
                <w:sz w:val="22"/>
                <w:lang w:val="en-US"/>
              </w:rPr>
              <w:t>Price of housing</w:t>
            </w:r>
          </w:p>
        </w:tc>
        <w:tc>
          <w:tcPr>
            <w:tcW w:w="671" w:type="dxa"/>
            <w:shd w:val="clear" w:color="auto" w:fill="C4BC96" w:themeFill="background2" w:themeFillShade="BF"/>
            <w:textDirection w:val="tbRl"/>
          </w:tcPr>
          <w:p w:rsidR="00D777FA" w:rsidRPr="00BA1C0C" w:rsidRDefault="00D777FA" w:rsidP="00416820">
            <w:pPr>
              <w:ind w:left="113" w:right="113"/>
              <w:jc w:val="left"/>
              <w:rPr>
                <w:b/>
                <w:lang w:val="en-US"/>
              </w:rPr>
            </w:pPr>
            <w:r>
              <w:rPr>
                <w:b/>
                <w:lang w:val="en-US"/>
              </w:rPr>
              <w:t>Price of transport</w:t>
            </w:r>
          </w:p>
        </w:tc>
        <w:tc>
          <w:tcPr>
            <w:tcW w:w="507" w:type="dxa"/>
            <w:shd w:val="clear" w:color="auto" w:fill="C4BC96" w:themeFill="background2" w:themeFillShade="BF"/>
            <w:textDirection w:val="tbRl"/>
          </w:tcPr>
          <w:p w:rsidR="00D777FA" w:rsidRPr="00BA1C0C" w:rsidRDefault="00D777FA" w:rsidP="00416820">
            <w:pPr>
              <w:ind w:left="113" w:right="113"/>
              <w:jc w:val="left"/>
              <w:rPr>
                <w:b/>
                <w:sz w:val="22"/>
                <w:lang w:val="en-US"/>
              </w:rPr>
            </w:pPr>
            <w:r w:rsidRPr="00BA1C0C">
              <w:rPr>
                <w:b/>
                <w:sz w:val="22"/>
                <w:lang w:val="en-US"/>
              </w:rPr>
              <w:t>Pollution</w:t>
            </w:r>
          </w:p>
        </w:tc>
        <w:tc>
          <w:tcPr>
            <w:tcW w:w="514" w:type="dxa"/>
            <w:shd w:val="clear" w:color="auto" w:fill="C4BC96" w:themeFill="background2" w:themeFillShade="BF"/>
            <w:textDirection w:val="tbRl"/>
          </w:tcPr>
          <w:p w:rsidR="00D777FA" w:rsidRPr="00BA1C0C" w:rsidRDefault="00D777FA" w:rsidP="00416820">
            <w:pPr>
              <w:ind w:left="113" w:right="113"/>
              <w:jc w:val="left"/>
              <w:rPr>
                <w:b/>
                <w:sz w:val="22"/>
                <w:lang w:val="en-US"/>
              </w:rPr>
            </w:pPr>
            <w:r w:rsidRPr="00BA1C0C">
              <w:rPr>
                <w:b/>
                <w:sz w:val="22"/>
                <w:lang w:val="en-US"/>
              </w:rPr>
              <w:t>Congestion</w:t>
            </w:r>
          </w:p>
        </w:tc>
        <w:tc>
          <w:tcPr>
            <w:tcW w:w="642" w:type="dxa"/>
            <w:shd w:val="clear" w:color="auto" w:fill="C4BC96" w:themeFill="background2" w:themeFillShade="BF"/>
            <w:textDirection w:val="tbRl"/>
          </w:tcPr>
          <w:p w:rsidR="00D777FA" w:rsidRPr="00BA1C0C" w:rsidRDefault="00D777FA" w:rsidP="00416820">
            <w:pPr>
              <w:ind w:left="113" w:right="113"/>
              <w:jc w:val="left"/>
              <w:rPr>
                <w:b/>
                <w:sz w:val="22"/>
                <w:lang w:val="en-US"/>
              </w:rPr>
            </w:pPr>
            <w:r w:rsidRPr="00BA1C0C">
              <w:rPr>
                <w:b/>
                <w:sz w:val="22"/>
                <w:lang w:val="en-US"/>
              </w:rPr>
              <w:t>Public finance</w:t>
            </w:r>
          </w:p>
        </w:tc>
        <w:tc>
          <w:tcPr>
            <w:tcW w:w="514" w:type="dxa"/>
            <w:shd w:val="clear" w:color="auto" w:fill="C4BC96" w:themeFill="background2" w:themeFillShade="BF"/>
            <w:textDirection w:val="tbRl"/>
          </w:tcPr>
          <w:p w:rsidR="00D777FA" w:rsidRPr="00BA1C0C" w:rsidRDefault="00D777FA" w:rsidP="00416820">
            <w:pPr>
              <w:ind w:left="113" w:right="113"/>
              <w:jc w:val="left"/>
              <w:rPr>
                <w:b/>
                <w:sz w:val="22"/>
                <w:lang w:val="en-US"/>
              </w:rPr>
            </w:pPr>
            <w:r>
              <w:rPr>
                <w:b/>
                <w:sz w:val="22"/>
                <w:lang w:val="en-US"/>
              </w:rPr>
              <w:t>Employment</w:t>
            </w:r>
          </w:p>
        </w:tc>
        <w:tc>
          <w:tcPr>
            <w:tcW w:w="2569" w:type="dxa"/>
            <w:shd w:val="clear" w:color="auto" w:fill="C4BC96" w:themeFill="background2" w:themeFillShade="BF"/>
          </w:tcPr>
          <w:p w:rsidR="00D777FA" w:rsidRPr="00BA1C0C" w:rsidRDefault="00D777FA" w:rsidP="00416820">
            <w:pPr>
              <w:rPr>
                <w:b/>
                <w:sz w:val="22"/>
                <w:lang w:val="en-US"/>
              </w:rPr>
            </w:pPr>
            <w:r>
              <w:rPr>
                <w:b/>
                <w:sz w:val="22"/>
                <w:lang w:val="en-US"/>
              </w:rPr>
              <w:t>References</w:t>
            </w:r>
          </w:p>
        </w:tc>
      </w:tr>
      <w:tr w:rsidR="002D3991" w:rsidTr="002D3991">
        <w:trPr>
          <w:trHeight w:val="542"/>
        </w:trPr>
        <w:tc>
          <w:tcPr>
            <w:tcW w:w="485" w:type="dxa"/>
          </w:tcPr>
          <w:p w:rsidR="00D777FA" w:rsidRDefault="00D777FA" w:rsidP="00416820">
            <w:pPr>
              <w:rPr>
                <w:lang w:val="en-US"/>
              </w:rPr>
            </w:pPr>
            <w:r>
              <w:rPr>
                <w:lang w:val="en-US"/>
              </w:rPr>
              <w:t>1</w:t>
            </w:r>
          </w:p>
        </w:tc>
        <w:tc>
          <w:tcPr>
            <w:tcW w:w="1891" w:type="dxa"/>
          </w:tcPr>
          <w:p w:rsidR="00D777FA" w:rsidRDefault="00D777FA" w:rsidP="002D3991">
            <w:pPr>
              <w:jc w:val="left"/>
              <w:rPr>
                <w:lang w:val="en-US"/>
              </w:rPr>
            </w:pPr>
            <w:r>
              <w:rPr>
                <w:lang w:val="en-US"/>
              </w:rPr>
              <w:t>General energy efficiency standards</w:t>
            </w:r>
          </w:p>
        </w:tc>
        <w:tc>
          <w:tcPr>
            <w:tcW w:w="709" w:type="dxa"/>
          </w:tcPr>
          <w:p w:rsidR="00D777FA" w:rsidRDefault="00D777FA" w:rsidP="00416820">
            <w:pPr>
              <w:rPr>
                <w:lang w:val="en-US"/>
              </w:rPr>
            </w:pPr>
            <w:r>
              <w:rPr>
                <w:lang w:val="en-US"/>
              </w:rPr>
              <w:t>0</w:t>
            </w:r>
          </w:p>
        </w:tc>
        <w:tc>
          <w:tcPr>
            <w:tcW w:w="709" w:type="dxa"/>
          </w:tcPr>
          <w:p w:rsidR="00D777FA" w:rsidRDefault="00D777FA" w:rsidP="00416820">
            <w:pPr>
              <w:rPr>
                <w:lang w:val="en-US"/>
              </w:rPr>
            </w:pPr>
            <w:r>
              <w:rPr>
                <w:lang w:val="en-US"/>
              </w:rPr>
              <w:t>+</w:t>
            </w:r>
          </w:p>
        </w:tc>
        <w:tc>
          <w:tcPr>
            <w:tcW w:w="671" w:type="dxa"/>
          </w:tcPr>
          <w:p w:rsidR="00D777FA" w:rsidRDefault="00D777FA" w:rsidP="00416820">
            <w:pPr>
              <w:rPr>
                <w:lang w:val="en-US"/>
              </w:rPr>
            </w:pPr>
            <w:r>
              <w:rPr>
                <w:lang w:val="en-US"/>
              </w:rPr>
              <w:t>0</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0</w:t>
            </w:r>
          </w:p>
        </w:tc>
        <w:tc>
          <w:tcPr>
            <w:tcW w:w="642" w:type="dxa"/>
          </w:tcPr>
          <w:p w:rsidR="00D777FA" w:rsidRDefault="00BD22D1"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Default="00D777FA" w:rsidP="00416820">
            <w:pPr>
              <w:rPr>
                <w:lang w:val="en-US"/>
              </w:rPr>
            </w:pPr>
            <w:r>
              <w:rPr>
                <w:lang w:val="en-US"/>
              </w:rPr>
              <w:t xml:space="preserve">Section 5.3 </w:t>
            </w:r>
            <w:r w:rsidR="00BD22D1">
              <w:rPr>
                <w:lang w:val="en-US"/>
              </w:rPr>
              <w:t>&amp; D15.2</w:t>
            </w:r>
          </w:p>
        </w:tc>
      </w:tr>
      <w:tr w:rsidR="002D3991" w:rsidTr="002D3991">
        <w:trPr>
          <w:trHeight w:val="523"/>
        </w:trPr>
        <w:tc>
          <w:tcPr>
            <w:tcW w:w="485" w:type="dxa"/>
          </w:tcPr>
          <w:p w:rsidR="00D777FA" w:rsidRDefault="00D777FA" w:rsidP="00416820">
            <w:pPr>
              <w:rPr>
                <w:lang w:val="en-US"/>
              </w:rPr>
            </w:pPr>
            <w:r>
              <w:rPr>
                <w:lang w:val="en-US"/>
              </w:rPr>
              <w:t>2</w:t>
            </w:r>
          </w:p>
        </w:tc>
        <w:tc>
          <w:tcPr>
            <w:tcW w:w="1891" w:type="dxa"/>
          </w:tcPr>
          <w:p w:rsidR="00D777FA" w:rsidRDefault="00D777FA" w:rsidP="002D3991">
            <w:pPr>
              <w:jc w:val="left"/>
              <w:rPr>
                <w:lang w:val="en-US"/>
              </w:rPr>
            </w:pPr>
            <w:r>
              <w:rPr>
                <w:lang w:val="en-US"/>
              </w:rPr>
              <w:t>Fuel efficiency standards</w:t>
            </w:r>
          </w:p>
        </w:tc>
        <w:tc>
          <w:tcPr>
            <w:tcW w:w="709" w:type="dxa"/>
          </w:tcPr>
          <w:p w:rsidR="00D777FA" w:rsidRDefault="008023D1" w:rsidP="00416820">
            <w:pPr>
              <w:rPr>
                <w:lang w:val="en-US"/>
              </w:rPr>
            </w:pPr>
            <w:r>
              <w:rPr>
                <w:lang w:val="en-US"/>
              </w:rPr>
              <w:t>≈</w:t>
            </w:r>
          </w:p>
        </w:tc>
        <w:tc>
          <w:tcPr>
            <w:tcW w:w="709" w:type="dxa"/>
          </w:tcPr>
          <w:p w:rsidR="00D777FA" w:rsidRDefault="00D777FA" w:rsidP="00416820">
            <w:pPr>
              <w:rPr>
                <w:lang w:val="en-US"/>
              </w:rPr>
            </w:pPr>
            <w:r>
              <w:rPr>
                <w:lang w:val="en-US"/>
              </w:rPr>
              <w:t>0</w:t>
            </w:r>
          </w:p>
        </w:tc>
        <w:tc>
          <w:tcPr>
            <w:tcW w:w="671" w:type="dxa"/>
          </w:tcPr>
          <w:p w:rsidR="00D777FA" w:rsidRDefault="00D777FA" w:rsidP="00416820">
            <w:pPr>
              <w:rPr>
                <w:lang w:val="en-US"/>
              </w:rPr>
            </w:pPr>
            <w:r>
              <w:rPr>
                <w:lang w:val="en-US"/>
              </w:rPr>
              <w:t>≈</w:t>
            </w:r>
          </w:p>
        </w:tc>
        <w:tc>
          <w:tcPr>
            <w:tcW w:w="507" w:type="dxa"/>
          </w:tcPr>
          <w:p w:rsidR="00D777FA" w:rsidRDefault="00D777FA" w:rsidP="00416820">
            <w:pPr>
              <w:rPr>
                <w:lang w:val="en-US"/>
              </w:rPr>
            </w:pPr>
            <w:r>
              <w:rPr>
                <w:lang w:val="en-US"/>
              </w:rPr>
              <w:t>-</w:t>
            </w:r>
          </w:p>
        </w:tc>
        <w:tc>
          <w:tcPr>
            <w:tcW w:w="514" w:type="dxa"/>
          </w:tcPr>
          <w:p w:rsidR="00D777FA" w:rsidRDefault="00E579F8" w:rsidP="00416820">
            <w:pPr>
              <w:rPr>
                <w:lang w:val="en-US"/>
              </w:rPr>
            </w:pPr>
            <w:r>
              <w:rPr>
                <w:lang w:val="en-US"/>
              </w:rPr>
              <w:t>+</w:t>
            </w:r>
            <w:r w:rsidR="00D777FA">
              <w:rPr>
                <w:lang w:val="en-US"/>
              </w:rPr>
              <w:t xml:space="preserve"> </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Default="00D777FA" w:rsidP="00416820">
            <w:pPr>
              <w:rPr>
                <w:lang w:val="en-US"/>
              </w:rPr>
            </w:pPr>
            <w:r>
              <w:rPr>
                <w:lang w:val="en-US"/>
              </w:rPr>
              <w:t xml:space="preserve">Section 5.3 </w:t>
            </w:r>
            <w:r w:rsidR="00BD22D1">
              <w:rPr>
                <w:lang w:val="en-US"/>
              </w:rPr>
              <w:t>&amp; D15.2</w:t>
            </w:r>
          </w:p>
        </w:tc>
      </w:tr>
      <w:tr w:rsidR="002D3991" w:rsidTr="002D3991">
        <w:trPr>
          <w:trHeight w:val="383"/>
        </w:trPr>
        <w:tc>
          <w:tcPr>
            <w:tcW w:w="485" w:type="dxa"/>
          </w:tcPr>
          <w:p w:rsidR="00D777FA" w:rsidRDefault="00D777FA" w:rsidP="00416820">
            <w:pPr>
              <w:rPr>
                <w:lang w:val="en-US"/>
              </w:rPr>
            </w:pPr>
            <w:r>
              <w:rPr>
                <w:lang w:val="en-US"/>
              </w:rPr>
              <w:t>3</w:t>
            </w:r>
          </w:p>
        </w:tc>
        <w:tc>
          <w:tcPr>
            <w:tcW w:w="1891" w:type="dxa"/>
          </w:tcPr>
          <w:p w:rsidR="00D777FA" w:rsidRDefault="00D777FA" w:rsidP="002D3991">
            <w:pPr>
              <w:jc w:val="left"/>
              <w:rPr>
                <w:lang w:val="en-US"/>
              </w:rPr>
            </w:pPr>
            <w:r>
              <w:rPr>
                <w:lang w:val="en-US"/>
              </w:rPr>
              <w:t xml:space="preserve">Electrification of transport </w:t>
            </w:r>
          </w:p>
        </w:tc>
        <w:tc>
          <w:tcPr>
            <w:tcW w:w="709" w:type="dxa"/>
          </w:tcPr>
          <w:p w:rsidR="00D777FA" w:rsidRDefault="008023D1" w:rsidP="00416820">
            <w:pPr>
              <w:rPr>
                <w:lang w:val="en-US"/>
              </w:rPr>
            </w:pPr>
            <w:r>
              <w:rPr>
                <w:lang w:val="en-US"/>
              </w:rPr>
              <w:t>≈</w:t>
            </w:r>
          </w:p>
        </w:tc>
        <w:tc>
          <w:tcPr>
            <w:tcW w:w="709" w:type="dxa"/>
          </w:tcPr>
          <w:p w:rsidR="00D777FA" w:rsidRDefault="00D777FA" w:rsidP="00416820">
            <w:pPr>
              <w:rPr>
                <w:lang w:val="en-US"/>
              </w:rPr>
            </w:pPr>
            <w:r>
              <w:rPr>
                <w:lang w:val="en-US"/>
              </w:rPr>
              <w:t>0</w:t>
            </w:r>
          </w:p>
        </w:tc>
        <w:tc>
          <w:tcPr>
            <w:tcW w:w="671" w:type="dxa"/>
          </w:tcPr>
          <w:p w:rsidR="00D777FA" w:rsidRDefault="00D777FA" w:rsidP="00416820">
            <w:pPr>
              <w:rPr>
                <w:lang w:val="en-US"/>
              </w:rPr>
            </w:pPr>
            <w:r>
              <w:rPr>
                <w:lang w:val="en-US"/>
              </w:rPr>
              <w:t>≈</w:t>
            </w:r>
          </w:p>
        </w:tc>
        <w:tc>
          <w:tcPr>
            <w:tcW w:w="507" w:type="dxa"/>
          </w:tcPr>
          <w:p w:rsidR="00D777FA" w:rsidRDefault="00D777FA" w:rsidP="00416820">
            <w:pPr>
              <w:rPr>
                <w:lang w:val="en-US"/>
              </w:rPr>
            </w:pPr>
            <w:r>
              <w:rPr>
                <w:lang w:val="en-US"/>
              </w:rPr>
              <w:t>-</w:t>
            </w:r>
          </w:p>
        </w:tc>
        <w:tc>
          <w:tcPr>
            <w:tcW w:w="514" w:type="dxa"/>
          </w:tcPr>
          <w:p w:rsidR="00D777FA" w:rsidRDefault="00E579F8"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Default="00D777FA" w:rsidP="00416820">
            <w:pPr>
              <w:rPr>
                <w:lang w:val="en-US"/>
              </w:rPr>
            </w:pPr>
            <w:r>
              <w:rPr>
                <w:lang w:val="en-US"/>
              </w:rPr>
              <w:t xml:space="preserve">Section 5.3 </w:t>
            </w:r>
            <w:r w:rsidR="00BD22D1">
              <w:rPr>
                <w:lang w:val="en-US"/>
              </w:rPr>
              <w:t>&amp; D15.2</w:t>
            </w:r>
          </w:p>
        </w:tc>
      </w:tr>
      <w:tr w:rsidR="002D3991" w:rsidRPr="00273211" w:rsidTr="002D3991">
        <w:trPr>
          <w:trHeight w:val="388"/>
        </w:trPr>
        <w:tc>
          <w:tcPr>
            <w:tcW w:w="485" w:type="dxa"/>
          </w:tcPr>
          <w:p w:rsidR="00D777FA" w:rsidRDefault="00D777FA" w:rsidP="00416820">
            <w:pPr>
              <w:rPr>
                <w:lang w:val="en-US"/>
              </w:rPr>
            </w:pPr>
            <w:r>
              <w:rPr>
                <w:lang w:val="en-US"/>
              </w:rPr>
              <w:t>4</w:t>
            </w:r>
          </w:p>
        </w:tc>
        <w:tc>
          <w:tcPr>
            <w:tcW w:w="1891" w:type="dxa"/>
          </w:tcPr>
          <w:p w:rsidR="00D777FA" w:rsidRDefault="00D777FA" w:rsidP="002D3991">
            <w:pPr>
              <w:jc w:val="left"/>
              <w:rPr>
                <w:lang w:val="en-US"/>
              </w:rPr>
            </w:pPr>
            <w:r>
              <w:rPr>
                <w:lang w:val="en-US"/>
              </w:rPr>
              <w:t>Low Emission Zones</w:t>
            </w:r>
          </w:p>
        </w:tc>
        <w:tc>
          <w:tcPr>
            <w:tcW w:w="709" w:type="dxa"/>
          </w:tcPr>
          <w:p w:rsidR="00D777FA" w:rsidRDefault="00D777FA" w:rsidP="00416820">
            <w:pPr>
              <w:rPr>
                <w:lang w:val="en-US"/>
              </w:rPr>
            </w:pPr>
            <w:r>
              <w:rPr>
                <w:lang w:val="en-US"/>
              </w:rPr>
              <w:t>≈</w:t>
            </w:r>
          </w:p>
        </w:tc>
        <w:tc>
          <w:tcPr>
            <w:tcW w:w="709" w:type="dxa"/>
          </w:tcPr>
          <w:p w:rsidR="00D777FA" w:rsidRDefault="00D777FA" w:rsidP="00416820">
            <w:pPr>
              <w:rPr>
                <w:lang w:val="en-US"/>
              </w:rPr>
            </w:pPr>
            <w:r>
              <w:rPr>
                <w:lang w:val="en-US"/>
              </w:rPr>
              <w:t>≈</w:t>
            </w:r>
          </w:p>
        </w:tc>
        <w:tc>
          <w:tcPr>
            <w:tcW w:w="671" w:type="dxa"/>
          </w:tcPr>
          <w:p w:rsidR="00D777FA" w:rsidRDefault="00D777FA" w:rsidP="00416820">
            <w:pPr>
              <w:rPr>
                <w:lang w:val="en-US"/>
              </w:rPr>
            </w:pPr>
            <w:r>
              <w:rPr>
                <w:lang w:val="en-US"/>
              </w:rPr>
              <w:t>+</w:t>
            </w:r>
          </w:p>
        </w:tc>
        <w:tc>
          <w:tcPr>
            <w:tcW w:w="507" w:type="dxa"/>
          </w:tcPr>
          <w:p w:rsidR="00D777FA" w:rsidRDefault="00695062"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BD22D1" w:rsidP="00416820">
            <w:pPr>
              <w:rPr>
                <w:lang w:val="en-US"/>
              </w:rPr>
            </w:pPr>
            <w:r>
              <w:rPr>
                <w:lang w:val="en-US"/>
              </w:rPr>
              <w:t>≈</w:t>
            </w:r>
          </w:p>
        </w:tc>
        <w:tc>
          <w:tcPr>
            <w:tcW w:w="2569" w:type="dxa"/>
          </w:tcPr>
          <w:p w:rsidR="00D777FA" w:rsidRPr="00152402" w:rsidRDefault="00D777FA" w:rsidP="00416820">
            <w:pPr>
              <w:rPr>
                <w:lang w:val="fr-FR"/>
              </w:rPr>
            </w:pPr>
            <w:r w:rsidRPr="00152402">
              <w:rPr>
                <w:lang w:val="fr-FR"/>
              </w:rPr>
              <w:t>Section 4.3</w:t>
            </w:r>
          </w:p>
          <w:p w:rsidR="00D777FA" w:rsidRPr="00152402" w:rsidRDefault="00D777FA" w:rsidP="00416820">
            <w:pPr>
              <w:rPr>
                <w:lang w:val="fr-FR"/>
              </w:rPr>
            </w:pPr>
            <w:proofErr w:type="spellStart"/>
            <w:r w:rsidRPr="00152402">
              <w:rPr>
                <w:lang w:val="fr-FR"/>
              </w:rPr>
              <w:t>Danielis</w:t>
            </w:r>
            <w:proofErr w:type="spellEnd"/>
            <w:r w:rsidRPr="00152402">
              <w:rPr>
                <w:lang w:val="fr-FR"/>
              </w:rPr>
              <w:t xml:space="preserve"> et al (2010) [1]</w:t>
            </w:r>
          </w:p>
          <w:p w:rsidR="00D777FA" w:rsidRPr="00152402" w:rsidRDefault="00D777FA" w:rsidP="00416820">
            <w:pPr>
              <w:rPr>
                <w:lang w:val="fr-FR"/>
              </w:rPr>
            </w:pPr>
            <w:proofErr w:type="spellStart"/>
            <w:r w:rsidRPr="00152402">
              <w:rPr>
                <w:lang w:val="fr-FR"/>
              </w:rPr>
              <w:t>Percocco</w:t>
            </w:r>
            <w:proofErr w:type="spellEnd"/>
            <w:r w:rsidRPr="00152402">
              <w:rPr>
                <w:lang w:val="fr-FR"/>
              </w:rPr>
              <w:t xml:space="preserve"> M. (2012)</w:t>
            </w:r>
          </w:p>
        </w:tc>
      </w:tr>
      <w:tr w:rsidR="002D3991" w:rsidRPr="004A6A57" w:rsidTr="002D3991">
        <w:trPr>
          <w:trHeight w:val="606"/>
        </w:trPr>
        <w:tc>
          <w:tcPr>
            <w:tcW w:w="485" w:type="dxa"/>
          </w:tcPr>
          <w:p w:rsidR="00D777FA" w:rsidRDefault="00D777FA" w:rsidP="00416820">
            <w:pPr>
              <w:rPr>
                <w:lang w:val="en-US"/>
              </w:rPr>
            </w:pPr>
            <w:r>
              <w:rPr>
                <w:lang w:val="en-US"/>
              </w:rPr>
              <w:t>4</w:t>
            </w:r>
          </w:p>
        </w:tc>
        <w:tc>
          <w:tcPr>
            <w:tcW w:w="1891" w:type="dxa"/>
          </w:tcPr>
          <w:p w:rsidR="00D777FA" w:rsidRDefault="00D777FA" w:rsidP="002D3991">
            <w:pPr>
              <w:jc w:val="left"/>
              <w:rPr>
                <w:lang w:val="en-US"/>
              </w:rPr>
            </w:pPr>
            <w:r>
              <w:rPr>
                <w:lang w:val="en-US"/>
              </w:rPr>
              <w:t>Road charging</w:t>
            </w:r>
          </w:p>
        </w:tc>
        <w:tc>
          <w:tcPr>
            <w:tcW w:w="709" w:type="dxa"/>
          </w:tcPr>
          <w:p w:rsidR="00D777FA" w:rsidRDefault="00D777FA" w:rsidP="00416820">
            <w:pPr>
              <w:rPr>
                <w:lang w:val="en-US"/>
              </w:rPr>
            </w:pPr>
            <w:r>
              <w:rPr>
                <w:lang w:val="en-US"/>
              </w:rPr>
              <w:t>-</w:t>
            </w:r>
          </w:p>
        </w:tc>
        <w:tc>
          <w:tcPr>
            <w:tcW w:w="709" w:type="dxa"/>
          </w:tcPr>
          <w:p w:rsidR="00D777FA" w:rsidRDefault="00D777FA" w:rsidP="00416820">
            <w:pPr>
              <w:rPr>
                <w:lang w:val="en-US"/>
              </w:rPr>
            </w:pPr>
            <w:r>
              <w:rPr>
                <w:lang w:val="en-US"/>
              </w:rPr>
              <w:t>≈</w:t>
            </w:r>
          </w:p>
        </w:tc>
        <w:tc>
          <w:tcPr>
            <w:tcW w:w="671" w:type="dxa"/>
          </w:tcPr>
          <w:p w:rsidR="00D777FA" w:rsidRDefault="00D777FA" w:rsidP="00416820">
            <w:pPr>
              <w:rPr>
                <w:lang w:val="en-US"/>
              </w:rPr>
            </w:pPr>
            <w:r>
              <w:rPr>
                <w:lang w:val="en-US"/>
              </w:rPr>
              <w:t>+</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Pr="004A6A57" w:rsidRDefault="00D777FA" w:rsidP="00416820">
            <w:pPr>
              <w:rPr>
                <w:lang w:val="fr-FR"/>
              </w:rPr>
            </w:pPr>
            <w:r w:rsidRPr="004A6A57">
              <w:rPr>
                <w:lang w:val="fr-FR"/>
              </w:rPr>
              <w:t>Sections 3.2 &amp; 4.3</w:t>
            </w:r>
          </w:p>
          <w:p w:rsidR="00D777FA" w:rsidRPr="004A6A57" w:rsidRDefault="00D777FA" w:rsidP="00416820">
            <w:pPr>
              <w:rPr>
                <w:lang w:val="fr-FR"/>
              </w:rPr>
            </w:pPr>
            <w:proofErr w:type="spellStart"/>
            <w:r w:rsidRPr="004A6A57">
              <w:rPr>
                <w:lang w:val="fr-FR"/>
              </w:rPr>
              <w:t>Leape</w:t>
            </w:r>
            <w:proofErr w:type="spellEnd"/>
            <w:r w:rsidRPr="004A6A57">
              <w:rPr>
                <w:lang w:val="fr-FR"/>
              </w:rPr>
              <w:t xml:space="preserve"> (2006), </w:t>
            </w:r>
            <w:proofErr w:type="spellStart"/>
            <w:r w:rsidRPr="004A6A57">
              <w:rPr>
                <w:lang w:val="fr-FR"/>
              </w:rPr>
              <w:t>Tfl</w:t>
            </w:r>
            <w:proofErr w:type="spellEnd"/>
            <w:r w:rsidRPr="004A6A57">
              <w:rPr>
                <w:lang w:val="fr-FR"/>
              </w:rPr>
              <w:t xml:space="preserve"> (2007)</w:t>
            </w:r>
          </w:p>
          <w:p w:rsidR="00D777FA" w:rsidRDefault="00D777FA" w:rsidP="00416820">
            <w:pPr>
              <w:rPr>
                <w:lang w:val="fr-FR"/>
              </w:rPr>
            </w:pPr>
            <w:proofErr w:type="spellStart"/>
            <w:r w:rsidRPr="004A6A57">
              <w:rPr>
                <w:lang w:val="fr-FR"/>
              </w:rPr>
              <w:t>Danielis</w:t>
            </w:r>
            <w:proofErr w:type="spellEnd"/>
            <w:r w:rsidRPr="004A6A57">
              <w:rPr>
                <w:lang w:val="fr-FR"/>
              </w:rPr>
              <w:t xml:space="preserve"> et al (2010) [1]</w:t>
            </w:r>
          </w:p>
          <w:p w:rsidR="00D777FA" w:rsidRPr="004A6A57" w:rsidRDefault="00D777FA" w:rsidP="00416820">
            <w:pPr>
              <w:rPr>
                <w:lang w:val="fr-FR"/>
              </w:rPr>
            </w:pPr>
            <w:proofErr w:type="spellStart"/>
            <w:r>
              <w:rPr>
                <w:lang w:val="fr-FR"/>
              </w:rPr>
              <w:t>Steiniger</w:t>
            </w:r>
            <w:proofErr w:type="spellEnd"/>
            <w:r>
              <w:rPr>
                <w:lang w:val="fr-FR"/>
              </w:rPr>
              <w:t xml:space="preserve"> et al (2007)</w:t>
            </w:r>
          </w:p>
        </w:tc>
      </w:tr>
      <w:tr w:rsidR="002D3991" w:rsidTr="002D3991">
        <w:trPr>
          <w:trHeight w:val="606"/>
        </w:trPr>
        <w:tc>
          <w:tcPr>
            <w:tcW w:w="485" w:type="dxa"/>
          </w:tcPr>
          <w:p w:rsidR="00D777FA" w:rsidRDefault="00D777FA" w:rsidP="00416820">
            <w:pPr>
              <w:rPr>
                <w:lang w:val="en-US"/>
              </w:rPr>
            </w:pPr>
            <w:r>
              <w:rPr>
                <w:lang w:val="en-US"/>
              </w:rPr>
              <w:t>4</w:t>
            </w:r>
          </w:p>
        </w:tc>
        <w:tc>
          <w:tcPr>
            <w:tcW w:w="1891" w:type="dxa"/>
          </w:tcPr>
          <w:p w:rsidR="00D777FA" w:rsidRDefault="00D777FA" w:rsidP="002D3991">
            <w:pPr>
              <w:jc w:val="left"/>
              <w:rPr>
                <w:lang w:val="en-US"/>
              </w:rPr>
            </w:pPr>
            <w:r>
              <w:rPr>
                <w:lang w:val="en-US"/>
              </w:rPr>
              <w:t>Access restrictions for freight</w:t>
            </w:r>
          </w:p>
        </w:tc>
        <w:tc>
          <w:tcPr>
            <w:tcW w:w="709" w:type="dxa"/>
          </w:tcPr>
          <w:p w:rsidR="00D777FA" w:rsidRDefault="00D777FA" w:rsidP="00416820">
            <w:pPr>
              <w:rPr>
                <w:lang w:val="en-US"/>
              </w:rPr>
            </w:pPr>
            <w:r>
              <w:rPr>
                <w:lang w:val="en-US"/>
              </w:rPr>
              <w:t>0</w:t>
            </w:r>
          </w:p>
        </w:tc>
        <w:tc>
          <w:tcPr>
            <w:tcW w:w="709" w:type="dxa"/>
          </w:tcPr>
          <w:p w:rsidR="00D777FA" w:rsidRDefault="003D028E" w:rsidP="00416820">
            <w:pPr>
              <w:rPr>
                <w:lang w:val="en-US"/>
              </w:rPr>
            </w:pPr>
            <w:r>
              <w:rPr>
                <w:lang w:val="en-US"/>
              </w:rPr>
              <w:t>≈</w:t>
            </w:r>
          </w:p>
        </w:tc>
        <w:tc>
          <w:tcPr>
            <w:tcW w:w="671" w:type="dxa"/>
          </w:tcPr>
          <w:p w:rsidR="00D777FA" w:rsidRDefault="00D777FA" w:rsidP="00416820">
            <w:pPr>
              <w:rPr>
                <w:lang w:val="en-US"/>
              </w:rPr>
            </w:pPr>
            <w:r>
              <w:rPr>
                <w:lang w:val="en-US"/>
              </w:rPr>
              <w:t>+</w:t>
            </w:r>
          </w:p>
        </w:tc>
        <w:tc>
          <w:tcPr>
            <w:tcW w:w="507" w:type="dxa"/>
          </w:tcPr>
          <w:p w:rsidR="00D777FA" w:rsidRDefault="003D028E" w:rsidP="00416820">
            <w:pPr>
              <w:rPr>
                <w:lang w:val="en-US"/>
              </w:rPr>
            </w:pPr>
            <w:r>
              <w:rPr>
                <w:lang w:val="en-US"/>
              </w:rPr>
              <w:t>≈</w:t>
            </w:r>
          </w:p>
        </w:tc>
        <w:tc>
          <w:tcPr>
            <w:tcW w:w="514" w:type="dxa"/>
          </w:tcPr>
          <w:p w:rsidR="00D777FA" w:rsidRDefault="003D028E" w:rsidP="00416820">
            <w:pPr>
              <w:rPr>
                <w:lang w:val="en-US"/>
              </w:rPr>
            </w:pPr>
            <w:r>
              <w:rPr>
                <w:lang w:val="en-US"/>
              </w:rPr>
              <w:t>≈</w:t>
            </w:r>
          </w:p>
        </w:tc>
        <w:tc>
          <w:tcPr>
            <w:tcW w:w="642" w:type="dxa"/>
          </w:tcPr>
          <w:p w:rsidR="00D777FA" w:rsidRDefault="00D777FA" w:rsidP="00416820">
            <w:pPr>
              <w:rPr>
                <w:lang w:val="en-US"/>
              </w:rPr>
            </w:pPr>
            <w:r>
              <w:rPr>
                <w:lang w:val="en-US"/>
              </w:rPr>
              <w:t>0</w:t>
            </w:r>
          </w:p>
        </w:tc>
        <w:tc>
          <w:tcPr>
            <w:tcW w:w="514" w:type="dxa"/>
          </w:tcPr>
          <w:p w:rsidR="00D777FA" w:rsidRDefault="00D777FA" w:rsidP="00416820">
            <w:pPr>
              <w:rPr>
                <w:lang w:val="en-US"/>
              </w:rPr>
            </w:pPr>
            <w:r>
              <w:rPr>
                <w:lang w:val="en-US"/>
              </w:rPr>
              <w:t>-</w:t>
            </w:r>
          </w:p>
        </w:tc>
        <w:tc>
          <w:tcPr>
            <w:tcW w:w="2569" w:type="dxa"/>
          </w:tcPr>
          <w:p w:rsidR="00D777FA" w:rsidRDefault="00D777FA" w:rsidP="00416820">
            <w:pPr>
              <w:rPr>
                <w:lang w:val="en-US"/>
              </w:rPr>
            </w:pPr>
            <w:r>
              <w:rPr>
                <w:lang w:val="en-US"/>
              </w:rPr>
              <w:t>Section 4.3</w:t>
            </w:r>
          </w:p>
          <w:p w:rsidR="00D777FA" w:rsidRDefault="00D777FA" w:rsidP="00416820">
            <w:pPr>
              <w:rPr>
                <w:lang w:val="en-US"/>
              </w:rPr>
            </w:pPr>
            <w:proofErr w:type="spellStart"/>
            <w:r>
              <w:rPr>
                <w:lang w:val="en-US"/>
              </w:rPr>
              <w:t>Schoemaker</w:t>
            </w:r>
            <w:proofErr w:type="spellEnd"/>
            <w:r>
              <w:rPr>
                <w:lang w:val="en-US"/>
              </w:rPr>
              <w:t xml:space="preserve"> et al (2006)</w:t>
            </w:r>
          </w:p>
        </w:tc>
      </w:tr>
      <w:tr w:rsidR="002D3991" w:rsidTr="002D3991">
        <w:trPr>
          <w:trHeight w:val="606"/>
        </w:trPr>
        <w:tc>
          <w:tcPr>
            <w:tcW w:w="485" w:type="dxa"/>
          </w:tcPr>
          <w:p w:rsidR="00D777FA" w:rsidRDefault="00D777FA" w:rsidP="00416820">
            <w:pPr>
              <w:rPr>
                <w:lang w:val="en-US"/>
              </w:rPr>
            </w:pPr>
            <w:r>
              <w:rPr>
                <w:lang w:val="en-US"/>
              </w:rPr>
              <w:t>4</w:t>
            </w:r>
          </w:p>
        </w:tc>
        <w:tc>
          <w:tcPr>
            <w:tcW w:w="1891" w:type="dxa"/>
          </w:tcPr>
          <w:p w:rsidR="00D777FA" w:rsidRDefault="00D777FA" w:rsidP="002D3991">
            <w:pPr>
              <w:jc w:val="left"/>
              <w:rPr>
                <w:lang w:val="en-US"/>
              </w:rPr>
            </w:pPr>
            <w:r>
              <w:rPr>
                <w:lang w:val="en-US"/>
              </w:rPr>
              <w:t>Urban growth boundaries</w:t>
            </w:r>
          </w:p>
        </w:tc>
        <w:tc>
          <w:tcPr>
            <w:tcW w:w="709" w:type="dxa"/>
          </w:tcPr>
          <w:p w:rsidR="00D777FA" w:rsidRDefault="00D777FA" w:rsidP="00416820">
            <w:pPr>
              <w:rPr>
                <w:lang w:val="en-US"/>
              </w:rPr>
            </w:pPr>
            <w:r>
              <w:rPr>
                <w:lang w:val="en-US"/>
              </w:rPr>
              <w:t>--</w:t>
            </w:r>
          </w:p>
        </w:tc>
        <w:tc>
          <w:tcPr>
            <w:tcW w:w="709" w:type="dxa"/>
          </w:tcPr>
          <w:p w:rsidR="00D777FA" w:rsidRDefault="00D777FA" w:rsidP="00416820">
            <w:pPr>
              <w:rPr>
                <w:lang w:val="en-US"/>
              </w:rPr>
            </w:pPr>
            <w:r>
              <w:rPr>
                <w:lang w:val="en-US"/>
              </w:rPr>
              <w:t>++</w:t>
            </w:r>
          </w:p>
        </w:tc>
        <w:tc>
          <w:tcPr>
            <w:tcW w:w="671" w:type="dxa"/>
          </w:tcPr>
          <w:p w:rsidR="00D777FA" w:rsidRDefault="00D777FA" w:rsidP="00416820">
            <w:pPr>
              <w:rPr>
                <w:lang w:val="en-US"/>
              </w:rPr>
            </w:pPr>
            <w:r>
              <w:rPr>
                <w:lang w:val="en-US"/>
              </w:rPr>
              <w:t>0</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B5384F" w:rsidP="00416820">
            <w:pPr>
              <w:rPr>
                <w:lang w:val="en-US"/>
              </w:rPr>
            </w:pPr>
            <w:r>
              <w:rPr>
                <w:lang w:val="en-US"/>
              </w:rPr>
              <w:t>-</w:t>
            </w:r>
          </w:p>
        </w:tc>
        <w:tc>
          <w:tcPr>
            <w:tcW w:w="2569" w:type="dxa"/>
          </w:tcPr>
          <w:p w:rsidR="00D777FA" w:rsidRDefault="00D777FA" w:rsidP="00416820">
            <w:pPr>
              <w:rPr>
                <w:lang w:val="en-US"/>
              </w:rPr>
            </w:pPr>
            <w:r>
              <w:rPr>
                <w:lang w:val="en-US"/>
              </w:rPr>
              <w:t>Section 3.2</w:t>
            </w:r>
          </w:p>
          <w:p w:rsidR="00D777FA" w:rsidRDefault="00D777FA" w:rsidP="00416820">
            <w:pPr>
              <w:rPr>
                <w:lang w:val="en-US"/>
              </w:rPr>
            </w:pPr>
            <w:proofErr w:type="spellStart"/>
            <w:r>
              <w:rPr>
                <w:lang w:val="en-US"/>
              </w:rPr>
              <w:t>Anas</w:t>
            </w:r>
            <w:proofErr w:type="spellEnd"/>
            <w:r>
              <w:rPr>
                <w:lang w:val="en-US"/>
              </w:rPr>
              <w:t xml:space="preserve"> A. (2006)</w:t>
            </w:r>
          </w:p>
          <w:p w:rsidR="00D777FA" w:rsidRDefault="00D777FA" w:rsidP="00416820">
            <w:pPr>
              <w:rPr>
                <w:lang w:val="en-US"/>
              </w:rPr>
            </w:pPr>
            <w:proofErr w:type="spellStart"/>
            <w:r w:rsidRPr="00D47164">
              <w:rPr>
                <w:lang w:val="en-US"/>
              </w:rPr>
              <w:t>Brueckner</w:t>
            </w:r>
            <w:proofErr w:type="spellEnd"/>
            <w:r w:rsidRPr="00D47164">
              <w:rPr>
                <w:lang w:val="en-US"/>
              </w:rPr>
              <w:t xml:space="preserve"> J.K., </w:t>
            </w:r>
            <w:r>
              <w:rPr>
                <w:lang w:val="en-US"/>
              </w:rPr>
              <w:t>(</w:t>
            </w:r>
            <w:r w:rsidRPr="00D47164">
              <w:rPr>
                <w:lang w:val="en-US"/>
              </w:rPr>
              <w:t>2007</w:t>
            </w:r>
            <w:r>
              <w:rPr>
                <w:lang w:val="en-US"/>
              </w:rPr>
              <w:t>)</w:t>
            </w:r>
          </w:p>
        </w:tc>
      </w:tr>
      <w:tr w:rsidR="002D3991" w:rsidTr="002D3991">
        <w:trPr>
          <w:trHeight w:val="606"/>
        </w:trPr>
        <w:tc>
          <w:tcPr>
            <w:tcW w:w="485" w:type="dxa"/>
          </w:tcPr>
          <w:p w:rsidR="00D777FA" w:rsidRDefault="00D777FA" w:rsidP="00416820">
            <w:pPr>
              <w:rPr>
                <w:lang w:val="en-US"/>
              </w:rPr>
            </w:pPr>
            <w:r>
              <w:rPr>
                <w:lang w:val="en-US"/>
              </w:rPr>
              <w:t>4</w:t>
            </w:r>
          </w:p>
        </w:tc>
        <w:tc>
          <w:tcPr>
            <w:tcW w:w="1891" w:type="dxa"/>
          </w:tcPr>
          <w:p w:rsidR="00D777FA" w:rsidRDefault="00D777FA" w:rsidP="002D3991">
            <w:pPr>
              <w:jc w:val="left"/>
              <w:rPr>
                <w:lang w:val="en-US"/>
              </w:rPr>
            </w:pPr>
            <w:r>
              <w:rPr>
                <w:lang w:val="en-US"/>
              </w:rPr>
              <w:t>Parking policy</w:t>
            </w:r>
          </w:p>
        </w:tc>
        <w:tc>
          <w:tcPr>
            <w:tcW w:w="709" w:type="dxa"/>
          </w:tcPr>
          <w:p w:rsidR="00D777FA" w:rsidRDefault="00D777FA" w:rsidP="00416820">
            <w:pPr>
              <w:rPr>
                <w:lang w:val="en-US"/>
              </w:rPr>
            </w:pPr>
            <w:r>
              <w:rPr>
                <w:lang w:val="en-US"/>
              </w:rPr>
              <w:t>0</w:t>
            </w:r>
          </w:p>
        </w:tc>
        <w:tc>
          <w:tcPr>
            <w:tcW w:w="709" w:type="dxa"/>
          </w:tcPr>
          <w:p w:rsidR="00D777FA" w:rsidRDefault="00D777FA" w:rsidP="00416820">
            <w:pPr>
              <w:rPr>
                <w:lang w:val="en-US"/>
              </w:rPr>
            </w:pPr>
            <w:r>
              <w:rPr>
                <w:lang w:val="en-US"/>
              </w:rPr>
              <w:t>≈</w:t>
            </w:r>
          </w:p>
        </w:tc>
        <w:tc>
          <w:tcPr>
            <w:tcW w:w="671" w:type="dxa"/>
          </w:tcPr>
          <w:p w:rsidR="00D777FA" w:rsidRDefault="00D777FA" w:rsidP="00416820">
            <w:pPr>
              <w:rPr>
                <w:lang w:val="en-US"/>
              </w:rPr>
            </w:pPr>
            <w:r>
              <w:rPr>
                <w:lang w:val="en-US"/>
              </w:rPr>
              <w:t>+</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Default="00D777FA" w:rsidP="00416820">
            <w:pPr>
              <w:rPr>
                <w:lang w:val="en-US"/>
              </w:rPr>
            </w:pPr>
            <w:proofErr w:type="spellStart"/>
            <w:r>
              <w:rPr>
                <w:lang w:val="en-US"/>
              </w:rPr>
              <w:t>Arnott</w:t>
            </w:r>
            <w:proofErr w:type="spellEnd"/>
            <w:r>
              <w:rPr>
                <w:lang w:val="en-US"/>
              </w:rPr>
              <w:t xml:space="preserve"> R.J (2010)</w:t>
            </w:r>
          </w:p>
          <w:p w:rsidR="00D777FA" w:rsidRPr="00D47164" w:rsidRDefault="00D777FA" w:rsidP="00416820">
            <w:pPr>
              <w:rPr>
                <w:lang w:val="en-US"/>
              </w:rPr>
            </w:pPr>
            <w:proofErr w:type="spellStart"/>
            <w:r>
              <w:rPr>
                <w:lang w:val="en-US"/>
              </w:rPr>
              <w:t>Fosgereau</w:t>
            </w:r>
            <w:proofErr w:type="spellEnd"/>
            <w:r>
              <w:rPr>
                <w:lang w:val="en-US"/>
              </w:rPr>
              <w:t xml:space="preserve"> et al (2013)</w:t>
            </w:r>
          </w:p>
        </w:tc>
      </w:tr>
      <w:tr w:rsidR="002D3991" w:rsidRPr="00273211" w:rsidTr="002D3991">
        <w:trPr>
          <w:trHeight w:val="352"/>
        </w:trPr>
        <w:tc>
          <w:tcPr>
            <w:tcW w:w="485" w:type="dxa"/>
          </w:tcPr>
          <w:p w:rsidR="00D777FA" w:rsidRDefault="00D777FA" w:rsidP="00416820">
            <w:pPr>
              <w:rPr>
                <w:lang w:val="en-US"/>
              </w:rPr>
            </w:pPr>
            <w:r>
              <w:rPr>
                <w:lang w:val="en-US"/>
              </w:rPr>
              <w:t>5</w:t>
            </w:r>
          </w:p>
        </w:tc>
        <w:tc>
          <w:tcPr>
            <w:tcW w:w="1891" w:type="dxa"/>
          </w:tcPr>
          <w:p w:rsidR="00D777FA" w:rsidRDefault="00D777FA" w:rsidP="002D3991">
            <w:pPr>
              <w:jc w:val="left"/>
              <w:rPr>
                <w:lang w:val="en-US"/>
              </w:rPr>
            </w:pPr>
            <w:r>
              <w:rPr>
                <w:lang w:val="en-US"/>
              </w:rPr>
              <w:t>Cycling policy</w:t>
            </w:r>
          </w:p>
        </w:tc>
        <w:tc>
          <w:tcPr>
            <w:tcW w:w="709" w:type="dxa"/>
          </w:tcPr>
          <w:p w:rsidR="00D777FA" w:rsidRDefault="00D777FA" w:rsidP="00416820">
            <w:pPr>
              <w:rPr>
                <w:lang w:val="en-US"/>
              </w:rPr>
            </w:pPr>
            <w:r>
              <w:rPr>
                <w:lang w:val="en-US"/>
              </w:rPr>
              <w:t>0</w:t>
            </w:r>
          </w:p>
        </w:tc>
        <w:tc>
          <w:tcPr>
            <w:tcW w:w="709" w:type="dxa"/>
          </w:tcPr>
          <w:p w:rsidR="00D777FA" w:rsidRDefault="00D777FA" w:rsidP="00416820">
            <w:pPr>
              <w:rPr>
                <w:lang w:val="en-US"/>
              </w:rPr>
            </w:pPr>
            <w:r>
              <w:rPr>
                <w:lang w:val="en-US"/>
              </w:rPr>
              <w:t>0</w:t>
            </w:r>
          </w:p>
        </w:tc>
        <w:tc>
          <w:tcPr>
            <w:tcW w:w="671" w:type="dxa"/>
          </w:tcPr>
          <w:p w:rsidR="00D777FA" w:rsidRDefault="00D777FA" w:rsidP="00416820">
            <w:pPr>
              <w:rPr>
                <w:lang w:val="en-US"/>
              </w:rPr>
            </w:pPr>
            <w:r>
              <w:rPr>
                <w:lang w:val="en-US"/>
              </w:rPr>
              <w:t>0</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2E4DFF" w:rsidP="00416820">
            <w:pPr>
              <w:rPr>
                <w:lang w:val="en-US"/>
              </w:rPr>
            </w:pPr>
            <w:r>
              <w:rPr>
                <w:lang w:val="en-US"/>
              </w:rPr>
              <w:t>+</w:t>
            </w:r>
          </w:p>
        </w:tc>
        <w:tc>
          <w:tcPr>
            <w:tcW w:w="514" w:type="dxa"/>
          </w:tcPr>
          <w:p w:rsidR="00D777FA" w:rsidRDefault="00FB55ED" w:rsidP="00416820">
            <w:pPr>
              <w:rPr>
                <w:lang w:val="en-US"/>
              </w:rPr>
            </w:pPr>
            <w:r>
              <w:rPr>
                <w:lang w:val="en-US"/>
              </w:rPr>
              <w:t>+</w:t>
            </w:r>
          </w:p>
        </w:tc>
        <w:tc>
          <w:tcPr>
            <w:tcW w:w="2569" w:type="dxa"/>
          </w:tcPr>
          <w:p w:rsidR="00D777FA" w:rsidRPr="00CA6969" w:rsidRDefault="00D777FA" w:rsidP="00416820">
            <w:pPr>
              <w:rPr>
                <w:lang w:val="fr-FR"/>
              </w:rPr>
            </w:pPr>
            <w:proofErr w:type="spellStart"/>
            <w:r w:rsidRPr="00CA6969">
              <w:rPr>
                <w:lang w:val="fr-FR"/>
              </w:rPr>
              <w:t>Rabl</w:t>
            </w:r>
            <w:proofErr w:type="spellEnd"/>
            <w:r w:rsidRPr="00CA6969">
              <w:rPr>
                <w:lang w:val="fr-FR"/>
              </w:rPr>
              <w:t xml:space="preserve"> A. et al (2012)</w:t>
            </w:r>
          </w:p>
          <w:p w:rsidR="00D777FA" w:rsidRPr="00CA6969" w:rsidRDefault="002F4B5E" w:rsidP="00416820">
            <w:pPr>
              <w:rPr>
                <w:lang w:val="fr-FR"/>
              </w:rPr>
            </w:pPr>
            <w:proofErr w:type="spellStart"/>
            <w:r w:rsidRPr="00CA6969">
              <w:rPr>
                <w:lang w:val="fr-FR"/>
              </w:rPr>
              <w:t>Grous</w:t>
            </w:r>
            <w:proofErr w:type="spellEnd"/>
            <w:r w:rsidRPr="00CA6969">
              <w:rPr>
                <w:lang w:val="fr-FR"/>
              </w:rPr>
              <w:t xml:space="preserve"> A. </w:t>
            </w:r>
            <w:r w:rsidR="00CA6969" w:rsidRPr="00CA6969">
              <w:rPr>
                <w:lang w:val="fr-FR"/>
              </w:rPr>
              <w:t>(2011)</w:t>
            </w:r>
          </w:p>
        </w:tc>
      </w:tr>
      <w:tr w:rsidR="002D3991" w:rsidTr="002D3991">
        <w:trPr>
          <w:trHeight w:val="303"/>
        </w:trPr>
        <w:tc>
          <w:tcPr>
            <w:tcW w:w="485" w:type="dxa"/>
          </w:tcPr>
          <w:p w:rsidR="00D777FA" w:rsidRDefault="00D777FA" w:rsidP="00416820">
            <w:pPr>
              <w:rPr>
                <w:lang w:val="en-US"/>
              </w:rPr>
            </w:pPr>
            <w:r>
              <w:rPr>
                <w:lang w:val="en-US"/>
              </w:rPr>
              <w:t>5</w:t>
            </w:r>
          </w:p>
        </w:tc>
        <w:tc>
          <w:tcPr>
            <w:tcW w:w="1891" w:type="dxa"/>
          </w:tcPr>
          <w:p w:rsidR="00D777FA" w:rsidRDefault="00D777FA" w:rsidP="002D3991">
            <w:pPr>
              <w:jc w:val="left"/>
              <w:rPr>
                <w:lang w:val="en-US"/>
              </w:rPr>
            </w:pPr>
            <w:r>
              <w:rPr>
                <w:lang w:val="en-US"/>
              </w:rPr>
              <w:t>Investments in public transport</w:t>
            </w:r>
          </w:p>
        </w:tc>
        <w:tc>
          <w:tcPr>
            <w:tcW w:w="709" w:type="dxa"/>
          </w:tcPr>
          <w:p w:rsidR="00D777FA" w:rsidRDefault="00D777FA" w:rsidP="00416820">
            <w:pPr>
              <w:rPr>
                <w:lang w:val="en-US"/>
              </w:rPr>
            </w:pPr>
            <w:r>
              <w:rPr>
                <w:lang w:val="en-US"/>
              </w:rPr>
              <w:t>+</w:t>
            </w:r>
          </w:p>
        </w:tc>
        <w:tc>
          <w:tcPr>
            <w:tcW w:w="709" w:type="dxa"/>
          </w:tcPr>
          <w:p w:rsidR="00D777FA" w:rsidRDefault="00D777FA" w:rsidP="00416820">
            <w:pPr>
              <w:rPr>
                <w:lang w:val="en-US"/>
              </w:rPr>
            </w:pPr>
            <w:r>
              <w:rPr>
                <w:lang w:val="en-US"/>
              </w:rPr>
              <w:t>≈</w:t>
            </w:r>
          </w:p>
        </w:tc>
        <w:tc>
          <w:tcPr>
            <w:tcW w:w="671" w:type="dxa"/>
          </w:tcPr>
          <w:p w:rsidR="00D777FA" w:rsidRDefault="00D777FA" w:rsidP="00416820">
            <w:pPr>
              <w:rPr>
                <w:lang w:val="en-US"/>
              </w:rPr>
            </w:pPr>
            <w:r>
              <w:rPr>
                <w:lang w:val="en-US"/>
              </w:rPr>
              <w:t>0</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Default="00D777FA" w:rsidP="00416820">
            <w:pPr>
              <w:rPr>
                <w:lang w:val="en-US"/>
              </w:rPr>
            </w:pPr>
            <w:r>
              <w:rPr>
                <w:lang w:val="en-US"/>
              </w:rPr>
              <w:t>Section 5.2</w:t>
            </w:r>
          </w:p>
        </w:tc>
      </w:tr>
      <w:tr w:rsidR="002D3991" w:rsidTr="002D3991">
        <w:trPr>
          <w:trHeight w:val="303"/>
        </w:trPr>
        <w:tc>
          <w:tcPr>
            <w:tcW w:w="485" w:type="dxa"/>
          </w:tcPr>
          <w:p w:rsidR="00D777FA" w:rsidRDefault="00D777FA" w:rsidP="00416820">
            <w:pPr>
              <w:rPr>
                <w:lang w:val="en-US"/>
              </w:rPr>
            </w:pPr>
            <w:r>
              <w:rPr>
                <w:lang w:val="en-US"/>
              </w:rPr>
              <w:t>5</w:t>
            </w:r>
          </w:p>
        </w:tc>
        <w:tc>
          <w:tcPr>
            <w:tcW w:w="1891" w:type="dxa"/>
          </w:tcPr>
          <w:p w:rsidR="00D777FA" w:rsidRDefault="00D777FA" w:rsidP="002D3991">
            <w:pPr>
              <w:jc w:val="left"/>
              <w:rPr>
                <w:lang w:val="en-US"/>
              </w:rPr>
            </w:pPr>
            <w:r>
              <w:rPr>
                <w:lang w:val="en-US"/>
              </w:rPr>
              <w:t>Promoting public transport</w:t>
            </w:r>
          </w:p>
        </w:tc>
        <w:tc>
          <w:tcPr>
            <w:tcW w:w="709" w:type="dxa"/>
          </w:tcPr>
          <w:p w:rsidR="00D777FA" w:rsidRDefault="00D777FA" w:rsidP="00416820">
            <w:pPr>
              <w:rPr>
                <w:lang w:val="en-US"/>
              </w:rPr>
            </w:pPr>
            <w:r>
              <w:rPr>
                <w:lang w:val="en-US"/>
              </w:rPr>
              <w:t>0</w:t>
            </w:r>
          </w:p>
        </w:tc>
        <w:tc>
          <w:tcPr>
            <w:tcW w:w="709" w:type="dxa"/>
          </w:tcPr>
          <w:p w:rsidR="00D777FA" w:rsidRDefault="00D777FA" w:rsidP="00416820">
            <w:pPr>
              <w:rPr>
                <w:lang w:val="en-US"/>
              </w:rPr>
            </w:pPr>
            <w:r>
              <w:rPr>
                <w:lang w:val="en-US"/>
              </w:rPr>
              <w:t>0</w:t>
            </w:r>
          </w:p>
        </w:tc>
        <w:tc>
          <w:tcPr>
            <w:tcW w:w="671" w:type="dxa"/>
          </w:tcPr>
          <w:p w:rsidR="00D777FA" w:rsidRDefault="00D777FA" w:rsidP="00416820">
            <w:pPr>
              <w:rPr>
                <w:lang w:val="en-US"/>
              </w:rPr>
            </w:pPr>
            <w:r>
              <w:rPr>
                <w:lang w:val="en-US"/>
              </w:rPr>
              <w:t>0</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 xml:space="preserve">+ </w:t>
            </w:r>
          </w:p>
        </w:tc>
        <w:tc>
          <w:tcPr>
            <w:tcW w:w="2569" w:type="dxa"/>
          </w:tcPr>
          <w:p w:rsidR="00D777FA" w:rsidRDefault="00D777FA" w:rsidP="00416820">
            <w:pPr>
              <w:rPr>
                <w:lang w:val="en-US"/>
              </w:rPr>
            </w:pPr>
            <w:r>
              <w:rPr>
                <w:lang w:val="en-US"/>
              </w:rPr>
              <w:t xml:space="preserve">Section 5.4 </w:t>
            </w:r>
          </w:p>
        </w:tc>
      </w:tr>
      <w:tr w:rsidR="002D3991" w:rsidRPr="00273211" w:rsidTr="002D3991">
        <w:trPr>
          <w:trHeight w:val="319"/>
        </w:trPr>
        <w:tc>
          <w:tcPr>
            <w:tcW w:w="485" w:type="dxa"/>
          </w:tcPr>
          <w:p w:rsidR="00D777FA" w:rsidRDefault="00D777FA" w:rsidP="00416820">
            <w:pPr>
              <w:rPr>
                <w:lang w:val="en-US"/>
              </w:rPr>
            </w:pPr>
            <w:r>
              <w:rPr>
                <w:lang w:val="en-US"/>
              </w:rPr>
              <w:t>6</w:t>
            </w:r>
          </w:p>
        </w:tc>
        <w:tc>
          <w:tcPr>
            <w:tcW w:w="1891" w:type="dxa"/>
          </w:tcPr>
          <w:p w:rsidR="00D777FA" w:rsidRDefault="00D777FA" w:rsidP="002D3991">
            <w:pPr>
              <w:jc w:val="left"/>
              <w:rPr>
                <w:lang w:val="en-US"/>
              </w:rPr>
            </w:pPr>
            <w:r>
              <w:rPr>
                <w:lang w:val="en-US"/>
              </w:rPr>
              <w:t>Urban Delivery Center</w:t>
            </w:r>
          </w:p>
        </w:tc>
        <w:tc>
          <w:tcPr>
            <w:tcW w:w="709" w:type="dxa"/>
          </w:tcPr>
          <w:p w:rsidR="00D777FA" w:rsidRDefault="00D777FA" w:rsidP="00416820">
            <w:pPr>
              <w:rPr>
                <w:lang w:val="en-US"/>
              </w:rPr>
            </w:pPr>
            <w:r>
              <w:rPr>
                <w:lang w:val="en-US"/>
              </w:rPr>
              <w:t>0</w:t>
            </w:r>
          </w:p>
        </w:tc>
        <w:tc>
          <w:tcPr>
            <w:tcW w:w="709" w:type="dxa"/>
          </w:tcPr>
          <w:p w:rsidR="00D777FA" w:rsidRDefault="00D777FA" w:rsidP="00416820">
            <w:pPr>
              <w:rPr>
                <w:lang w:val="en-US"/>
              </w:rPr>
            </w:pPr>
            <w:r>
              <w:rPr>
                <w:lang w:val="en-US"/>
              </w:rPr>
              <w:t>0</w:t>
            </w:r>
          </w:p>
        </w:tc>
        <w:tc>
          <w:tcPr>
            <w:tcW w:w="671" w:type="dxa"/>
          </w:tcPr>
          <w:p w:rsidR="00D777FA" w:rsidRDefault="00D777FA" w:rsidP="00416820">
            <w:pPr>
              <w:rPr>
                <w:lang w:val="en-US"/>
              </w:rPr>
            </w:pPr>
            <w:r>
              <w:rPr>
                <w:lang w:val="en-US"/>
              </w:rPr>
              <w:t>≈</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Pr="00152402" w:rsidRDefault="00D777FA" w:rsidP="00416820">
            <w:pPr>
              <w:rPr>
                <w:lang w:val="fr-FR"/>
              </w:rPr>
            </w:pPr>
            <w:r w:rsidRPr="00152402">
              <w:rPr>
                <w:lang w:val="fr-FR"/>
              </w:rPr>
              <w:t>Section 4.3</w:t>
            </w:r>
          </w:p>
          <w:p w:rsidR="00D777FA" w:rsidRPr="00152402" w:rsidRDefault="00D777FA" w:rsidP="00416820">
            <w:pPr>
              <w:rPr>
                <w:lang w:val="fr-FR"/>
              </w:rPr>
            </w:pPr>
            <w:proofErr w:type="spellStart"/>
            <w:r w:rsidRPr="00152402">
              <w:rPr>
                <w:lang w:val="fr-FR"/>
              </w:rPr>
              <w:t>Browne</w:t>
            </w:r>
            <w:proofErr w:type="spellEnd"/>
            <w:r w:rsidRPr="00152402">
              <w:rPr>
                <w:lang w:val="fr-FR"/>
              </w:rPr>
              <w:t xml:space="preserve"> et al (2007)</w:t>
            </w:r>
          </w:p>
          <w:p w:rsidR="00D777FA" w:rsidRPr="00152402" w:rsidRDefault="00D777FA" w:rsidP="00416820">
            <w:pPr>
              <w:rPr>
                <w:lang w:val="fr-FR"/>
              </w:rPr>
            </w:pPr>
            <w:proofErr w:type="spellStart"/>
            <w:r w:rsidRPr="00152402">
              <w:rPr>
                <w:lang w:val="fr-FR"/>
              </w:rPr>
              <w:t>Danielis</w:t>
            </w:r>
            <w:proofErr w:type="spellEnd"/>
            <w:r w:rsidRPr="00152402">
              <w:rPr>
                <w:lang w:val="fr-FR"/>
              </w:rPr>
              <w:t xml:space="preserve"> et al (2010) [2]</w:t>
            </w:r>
          </w:p>
        </w:tc>
      </w:tr>
      <w:tr w:rsidR="002D3991" w:rsidTr="002D3991">
        <w:trPr>
          <w:trHeight w:val="319"/>
        </w:trPr>
        <w:tc>
          <w:tcPr>
            <w:tcW w:w="485" w:type="dxa"/>
          </w:tcPr>
          <w:p w:rsidR="00D777FA" w:rsidRDefault="00D777FA" w:rsidP="00416820">
            <w:pPr>
              <w:rPr>
                <w:lang w:val="en-US"/>
              </w:rPr>
            </w:pPr>
            <w:r>
              <w:rPr>
                <w:lang w:val="en-US"/>
              </w:rPr>
              <w:t>6</w:t>
            </w:r>
          </w:p>
        </w:tc>
        <w:tc>
          <w:tcPr>
            <w:tcW w:w="1891" w:type="dxa"/>
          </w:tcPr>
          <w:p w:rsidR="00D777FA" w:rsidRDefault="00D777FA" w:rsidP="002D3991">
            <w:pPr>
              <w:jc w:val="left"/>
              <w:rPr>
                <w:lang w:val="en-US"/>
              </w:rPr>
            </w:pPr>
            <w:r>
              <w:rPr>
                <w:lang w:val="en-US"/>
              </w:rPr>
              <w:t>Dynamic transport management</w:t>
            </w:r>
          </w:p>
        </w:tc>
        <w:tc>
          <w:tcPr>
            <w:tcW w:w="709" w:type="dxa"/>
          </w:tcPr>
          <w:p w:rsidR="00D777FA" w:rsidRDefault="00D777FA" w:rsidP="00416820">
            <w:pPr>
              <w:rPr>
                <w:lang w:val="en-US"/>
              </w:rPr>
            </w:pPr>
            <w:r>
              <w:rPr>
                <w:lang w:val="en-US"/>
              </w:rPr>
              <w:t>0</w:t>
            </w:r>
          </w:p>
        </w:tc>
        <w:tc>
          <w:tcPr>
            <w:tcW w:w="709" w:type="dxa"/>
          </w:tcPr>
          <w:p w:rsidR="00D777FA" w:rsidRDefault="00D777FA" w:rsidP="00416820">
            <w:pPr>
              <w:rPr>
                <w:lang w:val="en-US"/>
              </w:rPr>
            </w:pPr>
            <w:r>
              <w:rPr>
                <w:lang w:val="en-US"/>
              </w:rPr>
              <w:t>0</w:t>
            </w:r>
          </w:p>
        </w:tc>
        <w:tc>
          <w:tcPr>
            <w:tcW w:w="671" w:type="dxa"/>
          </w:tcPr>
          <w:p w:rsidR="00D777FA" w:rsidRDefault="00D777FA" w:rsidP="00416820">
            <w:pPr>
              <w:rPr>
                <w:lang w:val="en-US"/>
              </w:rPr>
            </w:pPr>
            <w:r>
              <w:rPr>
                <w:lang w:val="en-US"/>
              </w:rPr>
              <w:t>-</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0</w:t>
            </w:r>
          </w:p>
        </w:tc>
        <w:tc>
          <w:tcPr>
            <w:tcW w:w="2569" w:type="dxa"/>
          </w:tcPr>
          <w:p w:rsidR="00D777FA" w:rsidRDefault="00D777FA" w:rsidP="00416820">
            <w:pPr>
              <w:rPr>
                <w:lang w:val="en-US"/>
              </w:rPr>
            </w:pPr>
            <w:proofErr w:type="spellStart"/>
            <w:r>
              <w:rPr>
                <w:lang w:val="en-US"/>
              </w:rPr>
              <w:t>Schoemaker</w:t>
            </w:r>
            <w:proofErr w:type="spellEnd"/>
            <w:r>
              <w:rPr>
                <w:lang w:val="en-US"/>
              </w:rPr>
              <w:t xml:space="preserve"> et al (2006)</w:t>
            </w:r>
          </w:p>
        </w:tc>
      </w:tr>
      <w:tr w:rsidR="002D3991" w:rsidTr="002D3991">
        <w:trPr>
          <w:trHeight w:val="319"/>
        </w:trPr>
        <w:tc>
          <w:tcPr>
            <w:tcW w:w="485" w:type="dxa"/>
          </w:tcPr>
          <w:p w:rsidR="00D777FA" w:rsidRDefault="00D777FA" w:rsidP="00416820">
            <w:pPr>
              <w:rPr>
                <w:lang w:val="en-US"/>
              </w:rPr>
            </w:pPr>
            <w:r>
              <w:rPr>
                <w:lang w:val="en-US"/>
              </w:rPr>
              <w:t>6</w:t>
            </w:r>
          </w:p>
        </w:tc>
        <w:tc>
          <w:tcPr>
            <w:tcW w:w="1891" w:type="dxa"/>
          </w:tcPr>
          <w:p w:rsidR="00D777FA" w:rsidRDefault="00D777FA" w:rsidP="00416820">
            <w:pPr>
              <w:jc w:val="left"/>
              <w:rPr>
                <w:lang w:val="en-US"/>
              </w:rPr>
            </w:pPr>
            <w:r>
              <w:rPr>
                <w:lang w:val="en-US"/>
              </w:rPr>
              <w:t>Investments in road</w:t>
            </w:r>
            <w:r w:rsidR="00B513DC">
              <w:rPr>
                <w:lang w:val="en-US"/>
              </w:rPr>
              <w:t xml:space="preserve"> infrastructure</w:t>
            </w:r>
          </w:p>
        </w:tc>
        <w:tc>
          <w:tcPr>
            <w:tcW w:w="709" w:type="dxa"/>
          </w:tcPr>
          <w:p w:rsidR="00D777FA" w:rsidRDefault="00D777FA" w:rsidP="00416820">
            <w:pPr>
              <w:rPr>
                <w:lang w:val="en-US"/>
              </w:rPr>
            </w:pPr>
            <w:r>
              <w:rPr>
                <w:lang w:val="en-US"/>
              </w:rPr>
              <w:t>++</w:t>
            </w:r>
          </w:p>
        </w:tc>
        <w:tc>
          <w:tcPr>
            <w:tcW w:w="709" w:type="dxa"/>
          </w:tcPr>
          <w:p w:rsidR="00D777FA" w:rsidRDefault="001E6ACA" w:rsidP="00416820">
            <w:pPr>
              <w:rPr>
                <w:lang w:val="en-US"/>
              </w:rPr>
            </w:pPr>
            <w:r>
              <w:rPr>
                <w:lang w:val="en-US"/>
              </w:rPr>
              <w:t>-</w:t>
            </w:r>
          </w:p>
        </w:tc>
        <w:tc>
          <w:tcPr>
            <w:tcW w:w="671" w:type="dxa"/>
          </w:tcPr>
          <w:p w:rsidR="00D777FA" w:rsidRDefault="001E6ACA" w:rsidP="00416820">
            <w:pPr>
              <w:rPr>
                <w:lang w:val="en-US"/>
              </w:rPr>
            </w:pPr>
            <w:r>
              <w:rPr>
                <w:lang w:val="en-US"/>
              </w:rPr>
              <w:t>-</w:t>
            </w:r>
          </w:p>
        </w:tc>
        <w:tc>
          <w:tcPr>
            <w:tcW w:w="507"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642" w:type="dxa"/>
          </w:tcPr>
          <w:p w:rsidR="00D777FA" w:rsidRDefault="00D777FA" w:rsidP="00416820">
            <w:pPr>
              <w:rPr>
                <w:lang w:val="en-US"/>
              </w:rPr>
            </w:pPr>
            <w:r>
              <w:rPr>
                <w:lang w:val="en-US"/>
              </w:rPr>
              <w:t>--</w:t>
            </w:r>
          </w:p>
        </w:tc>
        <w:tc>
          <w:tcPr>
            <w:tcW w:w="514" w:type="dxa"/>
          </w:tcPr>
          <w:p w:rsidR="00D777FA" w:rsidRDefault="00D777FA" w:rsidP="00416820">
            <w:pPr>
              <w:rPr>
                <w:lang w:val="en-US"/>
              </w:rPr>
            </w:pPr>
            <w:r>
              <w:rPr>
                <w:lang w:val="en-US"/>
              </w:rPr>
              <w:t>+</w:t>
            </w:r>
          </w:p>
        </w:tc>
        <w:tc>
          <w:tcPr>
            <w:tcW w:w="2569" w:type="dxa"/>
          </w:tcPr>
          <w:p w:rsidR="00D777FA" w:rsidRDefault="00D777FA" w:rsidP="00416820">
            <w:pPr>
              <w:rPr>
                <w:lang w:val="en-US"/>
              </w:rPr>
            </w:pPr>
            <w:r>
              <w:rPr>
                <w:lang w:val="en-US"/>
              </w:rPr>
              <w:t xml:space="preserve">Section 5.2 </w:t>
            </w:r>
          </w:p>
        </w:tc>
      </w:tr>
      <w:tr w:rsidR="001E6ACA" w:rsidTr="002D3991">
        <w:trPr>
          <w:trHeight w:val="319"/>
        </w:trPr>
        <w:tc>
          <w:tcPr>
            <w:tcW w:w="485" w:type="dxa"/>
          </w:tcPr>
          <w:p w:rsidR="001E6ACA" w:rsidRDefault="001E6ACA" w:rsidP="00416820">
            <w:pPr>
              <w:rPr>
                <w:lang w:val="en-US"/>
              </w:rPr>
            </w:pPr>
            <w:r>
              <w:rPr>
                <w:lang w:val="en-US"/>
              </w:rPr>
              <w:t>6</w:t>
            </w:r>
          </w:p>
        </w:tc>
        <w:tc>
          <w:tcPr>
            <w:tcW w:w="1891" w:type="dxa"/>
          </w:tcPr>
          <w:p w:rsidR="001E6ACA" w:rsidRDefault="001E6ACA" w:rsidP="00416820">
            <w:pPr>
              <w:jc w:val="left"/>
              <w:rPr>
                <w:lang w:val="en-US"/>
              </w:rPr>
            </w:pPr>
            <w:r>
              <w:rPr>
                <w:lang w:val="en-US"/>
              </w:rPr>
              <w:t>Work @ home incentives</w:t>
            </w:r>
          </w:p>
        </w:tc>
        <w:tc>
          <w:tcPr>
            <w:tcW w:w="709" w:type="dxa"/>
          </w:tcPr>
          <w:p w:rsidR="001E6ACA" w:rsidRDefault="001E6ACA" w:rsidP="00416820">
            <w:pPr>
              <w:rPr>
                <w:lang w:val="en-US"/>
              </w:rPr>
            </w:pPr>
            <w:r>
              <w:rPr>
                <w:lang w:val="en-US"/>
              </w:rPr>
              <w:t>+</w:t>
            </w:r>
          </w:p>
        </w:tc>
        <w:tc>
          <w:tcPr>
            <w:tcW w:w="709" w:type="dxa"/>
          </w:tcPr>
          <w:p w:rsidR="001E6ACA" w:rsidRDefault="001E6ACA" w:rsidP="00416820">
            <w:pPr>
              <w:rPr>
                <w:lang w:val="en-US"/>
              </w:rPr>
            </w:pPr>
            <w:r>
              <w:rPr>
                <w:lang w:val="en-US"/>
              </w:rPr>
              <w:t>-</w:t>
            </w:r>
          </w:p>
        </w:tc>
        <w:tc>
          <w:tcPr>
            <w:tcW w:w="671" w:type="dxa"/>
          </w:tcPr>
          <w:p w:rsidR="001E6ACA" w:rsidRDefault="001E6ACA" w:rsidP="00416820">
            <w:pPr>
              <w:rPr>
                <w:lang w:val="en-US"/>
              </w:rPr>
            </w:pPr>
            <w:r>
              <w:rPr>
                <w:lang w:val="en-US"/>
              </w:rPr>
              <w:t>-</w:t>
            </w:r>
          </w:p>
        </w:tc>
        <w:tc>
          <w:tcPr>
            <w:tcW w:w="507" w:type="dxa"/>
          </w:tcPr>
          <w:p w:rsidR="001E6ACA" w:rsidRDefault="001E6ACA" w:rsidP="00416820">
            <w:pPr>
              <w:rPr>
                <w:lang w:val="en-US"/>
              </w:rPr>
            </w:pPr>
            <w:r>
              <w:rPr>
                <w:lang w:val="en-US"/>
              </w:rPr>
              <w:t>≈</w:t>
            </w:r>
          </w:p>
        </w:tc>
        <w:tc>
          <w:tcPr>
            <w:tcW w:w="514" w:type="dxa"/>
          </w:tcPr>
          <w:p w:rsidR="001E6ACA" w:rsidRDefault="001E6ACA" w:rsidP="00416820">
            <w:pPr>
              <w:rPr>
                <w:lang w:val="en-US"/>
              </w:rPr>
            </w:pPr>
            <w:r>
              <w:rPr>
                <w:lang w:val="en-US"/>
              </w:rPr>
              <w:t>-</w:t>
            </w:r>
          </w:p>
        </w:tc>
        <w:tc>
          <w:tcPr>
            <w:tcW w:w="642" w:type="dxa"/>
          </w:tcPr>
          <w:p w:rsidR="001E6ACA" w:rsidRDefault="001E6ACA" w:rsidP="00416820">
            <w:pPr>
              <w:rPr>
                <w:lang w:val="en-US"/>
              </w:rPr>
            </w:pPr>
            <w:r>
              <w:rPr>
                <w:lang w:val="en-US"/>
              </w:rPr>
              <w:t>0</w:t>
            </w:r>
          </w:p>
        </w:tc>
        <w:tc>
          <w:tcPr>
            <w:tcW w:w="514" w:type="dxa"/>
          </w:tcPr>
          <w:p w:rsidR="001E6ACA" w:rsidRDefault="001E6ACA" w:rsidP="00416820">
            <w:pPr>
              <w:rPr>
                <w:lang w:val="en-US"/>
              </w:rPr>
            </w:pPr>
            <w:r>
              <w:rPr>
                <w:lang w:val="en-US"/>
              </w:rPr>
              <w:t>+</w:t>
            </w:r>
          </w:p>
        </w:tc>
        <w:tc>
          <w:tcPr>
            <w:tcW w:w="2569" w:type="dxa"/>
          </w:tcPr>
          <w:p w:rsidR="001E6ACA" w:rsidRDefault="008023D1" w:rsidP="00416820">
            <w:pPr>
              <w:rPr>
                <w:lang w:val="nl-BE"/>
              </w:rPr>
            </w:pPr>
            <w:r>
              <w:rPr>
                <w:lang w:val="nl-BE"/>
              </w:rPr>
              <w:t xml:space="preserve">Fuhr &amp; </w:t>
            </w:r>
            <w:proofErr w:type="spellStart"/>
            <w:r>
              <w:rPr>
                <w:lang w:val="nl-BE"/>
              </w:rPr>
              <w:t>Pociask</w:t>
            </w:r>
            <w:proofErr w:type="spellEnd"/>
            <w:r>
              <w:rPr>
                <w:lang w:val="nl-BE"/>
              </w:rPr>
              <w:t xml:space="preserve"> (2010)</w:t>
            </w:r>
          </w:p>
          <w:p w:rsidR="008023D1" w:rsidRDefault="008023D1" w:rsidP="00416820">
            <w:pPr>
              <w:rPr>
                <w:lang w:val="nl-BE"/>
              </w:rPr>
            </w:pPr>
            <w:r>
              <w:rPr>
                <w:lang w:val="nl-BE"/>
              </w:rPr>
              <w:t>Rietveld (2011)</w:t>
            </w:r>
          </w:p>
          <w:p w:rsidR="008023D1" w:rsidRDefault="00BD6486" w:rsidP="00416820">
            <w:pPr>
              <w:rPr>
                <w:lang w:val="nl-BE"/>
              </w:rPr>
            </w:pPr>
            <w:proofErr w:type="spellStart"/>
            <w:r>
              <w:rPr>
                <w:lang w:val="nl-BE"/>
              </w:rPr>
              <w:t>Macharis</w:t>
            </w:r>
            <w:proofErr w:type="spellEnd"/>
            <w:r>
              <w:rPr>
                <w:lang w:val="nl-BE"/>
              </w:rPr>
              <w:t xml:space="preserve"> (2011)</w:t>
            </w:r>
          </w:p>
          <w:p w:rsidR="008023D1" w:rsidRDefault="008023D1" w:rsidP="00416820">
            <w:pPr>
              <w:rPr>
                <w:lang w:val="en-US"/>
              </w:rPr>
            </w:pPr>
            <w:r>
              <w:rPr>
                <w:lang w:val="nl-BE"/>
              </w:rPr>
              <w:t>Rhee (2009)</w:t>
            </w:r>
          </w:p>
        </w:tc>
      </w:tr>
    </w:tbl>
    <w:p w:rsidR="00416820" w:rsidRDefault="00416820" w:rsidP="00A62372">
      <w:pPr>
        <w:spacing w:before="70"/>
        <w:ind w:right="965"/>
        <w:rPr>
          <w:lang w:val="en-US"/>
        </w:rPr>
      </w:pPr>
    </w:p>
    <w:p w:rsidR="003D3C09" w:rsidRDefault="008465F6" w:rsidP="00D6580F">
      <w:pPr>
        <w:pStyle w:val="Heading1"/>
        <w:rPr>
          <w:lang w:val="en-US"/>
        </w:rPr>
      </w:pPr>
      <w:bookmarkStart w:id="70" w:name="_Toc366244951"/>
      <w:r>
        <w:rPr>
          <w:lang w:val="en-US"/>
        </w:rPr>
        <w:lastRenderedPageBreak/>
        <w:t>Conclusions</w:t>
      </w:r>
      <w:bookmarkEnd w:id="70"/>
    </w:p>
    <w:p w:rsidR="003D3C09" w:rsidRDefault="008A7E53" w:rsidP="00C00CE7">
      <w:pPr>
        <w:rPr>
          <w:lang w:val="en-US"/>
        </w:rPr>
      </w:pPr>
      <w:r>
        <w:rPr>
          <w:lang w:val="en-US"/>
        </w:rPr>
        <w:t xml:space="preserve">This is a very diverse deliverable, which tries to combine theoretical predictions from urban economic literature, EU policy, literature review and economic modeling. Its main contribution is to provide a more in-depth review of current transport policies on urban level in the EU. </w:t>
      </w:r>
    </w:p>
    <w:p w:rsidR="009939E3" w:rsidRDefault="000F5EA2" w:rsidP="009939E3">
      <w:pPr>
        <w:rPr>
          <w:lang w:val="en-US"/>
        </w:rPr>
      </w:pPr>
      <w:bookmarkStart w:id="71" w:name="OLE_LINK1"/>
      <w:r>
        <w:rPr>
          <w:lang w:val="en-US"/>
        </w:rPr>
        <w:t>We gave a short review of urban economic theory, to show that there is an intricate link between the transport system, the form of the urban region and the housing market. This means that</w:t>
      </w:r>
      <w:r w:rsidR="00254F7B">
        <w:rPr>
          <w:lang w:val="en-US"/>
        </w:rPr>
        <w:t xml:space="preserve"> we should not see</w:t>
      </w:r>
      <w:r>
        <w:rPr>
          <w:lang w:val="en-US"/>
        </w:rPr>
        <w:t xml:space="preserve"> transport policy independent from urban planning. </w:t>
      </w:r>
      <w:r w:rsidR="008A7E53">
        <w:rPr>
          <w:lang w:val="en-US"/>
        </w:rPr>
        <w:t xml:space="preserve">We show that many of the EU policies on urban level </w:t>
      </w:r>
      <w:proofErr w:type="gramStart"/>
      <w:r w:rsidR="00254F7B">
        <w:rPr>
          <w:lang w:val="en-US"/>
        </w:rPr>
        <w:t xml:space="preserve">are </w:t>
      </w:r>
      <w:r w:rsidR="008A7E53">
        <w:rPr>
          <w:lang w:val="en-US"/>
        </w:rPr>
        <w:t xml:space="preserve"> a</w:t>
      </w:r>
      <w:proofErr w:type="gramEnd"/>
      <w:r w:rsidR="008A7E53">
        <w:rPr>
          <w:lang w:val="en-US"/>
        </w:rPr>
        <w:t xml:space="preserve"> part of the general NEUJOBS policy scenarios we have introduced in D15.1 and analyzed in D15.2. </w:t>
      </w:r>
      <w:bookmarkEnd w:id="71"/>
      <w:r w:rsidR="00254F7B">
        <w:rPr>
          <w:lang w:val="en-US"/>
        </w:rPr>
        <w:t>We discussed three</w:t>
      </w:r>
      <w:r w:rsidR="009939E3">
        <w:rPr>
          <w:lang w:val="en-US"/>
        </w:rPr>
        <w:t xml:space="preserve"> city level </w:t>
      </w:r>
      <w:proofErr w:type="gramStart"/>
      <w:r w:rsidR="009939E3">
        <w:rPr>
          <w:lang w:val="en-US"/>
        </w:rPr>
        <w:t>case-studies</w:t>
      </w:r>
      <w:proofErr w:type="gramEnd"/>
      <w:r w:rsidR="009939E3">
        <w:rPr>
          <w:lang w:val="en-US"/>
        </w:rPr>
        <w:t>: London, Milan and Copenhagen. Each of these cities has implemented transport policies, which have received worldwide attention and acclaim</w:t>
      </w:r>
      <w:r w:rsidR="00254F7B">
        <w:rPr>
          <w:lang w:val="en-US"/>
        </w:rPr>
        <w:t>:</w:t>
      </w:r>
      <w:r w:rsidR="009939E3">
        <w:rPr>
          <w:lang w:val="en-US"/>
        </w:rPr>
        <w:t xml:space="preserve"> </w:t>
      </w:r>
      <w:r>
        <w:rPr>
          <w:lang w:val="en-US"/>
        </w:rPr>
        <w:t>London for the LCCS, Milan for its Ecopass system and Copenhagen</w:t>
      </w:r>
      <w:r w:rsidR="0065613B">
        <w:rPr>
          <w:lang w:val="en-US"/>
        </w:rPr>
        <w:t xml:space="preserve"> for its Finger plan</w:t>
      </w:r>
      <w:r>
        <w:rPr>
          <w:lang w:val="en-US"/>
        </w:rPr>
        <w:t xml:space="preserve">. We see how these schemes fit in the </w:t>
      </w:r>
      <w:proofErr w:type="gramStart"/>
      <w:r>
        <w:rPr>
          <w:lang w:val="en-US"/>
        </w:rPr>
        <w:t>city’s</w:t>
      </w:r>
      <w:proofErr w:type="gramEnd"/>
      <w:r>
        <w:rPr>
          <w:lang w:val="en-US"/>
        </w:rPr>
        <w:t xml:space="preserve"> planning history, where Copenhagen focusses on urban planning, London on technological innovations and Milan on pricing and investments in public transport. </w:t>
      </w:r>
    </w:p>
    <w:p w:rsidR="008A7E53" w:rsidRDefault="0065613B" w:rsidP="00C00CE7">
      <w:pPr>
        <w:rPr>
          <w:lang w:val="en-US"/>
        </w:rPr>
      </w:pPr>
      <w:r>
        <w:rPr>
          <w:lang w:val="en-US"/>
        </w:rPr>
        <w:t xml:space="preserve">In the next </w:t>
      </w:r>
      <w:proofErr w:type="gramStart"/>
      <w:r>
        <w:rPr>
          <w:lang w:val="en-US"/>
        </w:rPr>
        <w:t>section</w:t>
      </w:r>
      <w:proofErr w:type="gramEnd"/>
      <w:r>
        <w:rPr>
          <w:lang w:val="en-US"/>
        </w:rPr>
        <w:t xml:space="preserve"> we revisited the policy scenarios that were performed with the EDIP model in D15.2, but with a more in-depth analysis of the marginal impacts of each policy. The idea of this section was to couple the macro-level changes proposed in D15.2, with micro-level changes that happen on the level of the city. We showed that the results of EDIP are comparable to other studies, but that the inter-country variation is substantial and at times counter-intuitive. Investments in public infrastructure</w:t>
      </w:r>
      <w:r w:rsidR="009413F3">
        <w:rPr>
          <w:lang w:val="en-US"/>
        </w:rPr>
        <w:t>, increased efficiency of traffic</w:t>
      </w:r>
      <w:r>
        <w:rPr>
          <w:lang w:val="en-US"/>
        </w:rPr>
        <w:t xml:space="preserve"> and improvements in energy efficiency have the largest</w:t>
      </w:r>
      <w:r w:rsidR="009413F3">
        <w:rPr>
          <w:lang w:val="en-US"/>
        </w:rPr>
        <w:t xml:space="preserve"> relative</w:t>
      </w:r>
      <w:r>
        <w:rPr>
          <w:lang w:val="en-US"/>
        </w:rPr>
        <w:t xml:space="preserve"> impact on employment</w:t>
      </w:r>
      <w:r w:rsidR="009413F3">
        <w:rPr>
          <w:lang w:val="en-US"/>
        </w:rPr>
        <w:t xml:space="preserve"> per million euros</w:t>
      </w:r>
      <w:r>
        <w:rPr>
          <w:lang w:val="en-US"/>
        </w:rPr>
        <w:t xml:space="preserve">, especially in Eastern and Southern European countries. </w:t>
      </w:r>
      <w:r w:rsidR="009413F3">
        <w:rPr>
          <w:lang w:val="en-US"/>
        </w:rPr>
        <w:t xml:space="preserve">The impact of fuel efficiency is generally positive on employment, but the results for electrification of transport are in many cases negative. Reduction of private car use is slightly </w:t>
      </w:r>
      <w:r w:rsidR="00254F7B">
        <w:rPr>
          <w:lang w:val="en-US"/>
        </w:rPr>
        <w:t>positive through increased employment in public transport.</w:t>
      </w:r>
    </w:p>
    <w:p w:rsidR="008A7E53" w:rsidRDefault="009413F3" w:rsidP="00C00CE7">
      <w:pPr>
        <w:rPr>
          <w:lang w:val="en-US"/>
        </w:rPr>
      </w:pPr>
      <w:r>
        <w:rPr>
          <w:lang w:val="en-US"/>
        </w:rPr>
        <w:t xml:space="preserve">In the last </w:t>
      </w:r>
      <w:r w:rsidR="00254F7B">
        <w:rPr>
          <w:lang w:val="en-US"/>
        </w:rPr>
        <w:t>section,</w:t>
      </w:r>
      <w:r>
        <w:rPr>
          <w:lang w:val="en-US"/>
        </w:rPr>
        <w:t xml:space="preserve"> we discuss the impact of a number of policies on the level of the city on </w:t>
      </w:r>
      <w:proofErr w:type="gramStart"/>
      <w:r>
        <w:rPr>
          <w:lang w:val="en-US"/>
        </w:rPr>
        <w:t>7</w:t>
      </w:r>
      <w:proofErr w:type="gramEnd"/>
      <w:r>
        <w:rPr>
          <w:lang w:val="en-US"/>
        </w:rPr>
        <w:t xml:space="preserve"> important indicators of city livability. These </w:t>
      </w:r>
      <w:r w:rsidR="00254F7B">
        <w:rPr>
          <w:lang w:val="en-US"/>
        </w:rPr>
        <w:t>are</w:t>
      </w:r>
      <w:r>
        <w:rPr>
          <w:lang w:val="en-US"/>
        </w:rPr>
        <w:t xml:space="preserve"> urban sprawl, congestion, price of housing, price of transp</w:t>
      </w:r>
      <w:r w:rsidR="0009633A">
        <w:rPr>
          <w:lang w:val="en-US"/>
        </w:rPr>
        <w:t xml:space="preserve">ort, pollution and employment. In the absence of hard quantitative evidence, we discuss the most likely direction of each policy on the chosen indicators. The policies most likely to contribute to sustainability, while at the same time stimulating employment are ‘pro-cycling policies’, ‘promotion of public transit’ and ‘promotion </w:t>
      </w:r>
      <w:r w:rsidR="008153A2">
        <w:rPr>
          <w:lang w:val="en-US"/>
        </w:rPr>
        <w:t>of energy efficiency’.</w:t>
      </w:r>
      <w:r w:rsidR="00787979">
        <w:rPr>
          <w:lang w:val="en-US"/>
        </w:rPr>
        <w:t xml:space="preserve"> Promotion of fuel efficiency and especially</w:t>
      </w:r>
      <w:r w:rsidR="00BD7990">
        <w:rPr>
          <w:lang w:val="en-US"/>
        </w:rPr>
        <w:t xml:space="preserve"> electric vehicles can contribute to sustainability, but are less cost-effective. </w:t>
      </w:r>
      <w:r w:rsidR="00787979">
        <w:rPr>
          <w:lang w:val="en-US"/>
        </w:rPr>
        <w:t>To allow</w:t>
      </w:r>
      <w:r w:rsidR="008153A2">
        <w:rPr>
          <w:lang w:val="en-US"/>
        </w:rPr>
        <w:t xml:space="preserve"> cities more control over urban traffic, we advise to establish road charging zones or</w:t>
      </w:r>
      <w:r w:rsidR="00787979">
        <w:rPr>
          <w:lang w:val="en-US"/>
        </w:rPr>
        <w:t xml:space="preserve"> alternatively</w:t>
      </w:r>
      <w:r w:rsidR="008153A2">
        <w:rPr>
          <w:lang w:val="en-US"/>
        </w:rPr>
        <w:t xml:space="preserve"> low emission zones. Not only does this give cities a flexible tool for redirecting traffic flows, congestion charges provide the city with revenues that </w:t>
      </w:r>
      <w:proofErr w:type="gramStart"/>
      <w:r w:rsidR="008153A2">
        <w:rPr>
          <w:lang w:val="en-US"/>
        </w:rPr>
        <w:t>can be redistributed</w:t>
      </w:r>
      <w:proofErr w:type="gramEnd"/>
      <w:r w:rsidR="008153A2">
        <w:rPr>
          <w:lang w:val="en-US"/>
        </w:rPr>
        <w:t xml:space="preserve"> </w:t>
      </w:r>
      <w:r w:rsidR="00787979">
        <w:rPr>
          <w:lang w:val="en-US"/>
        </w:rPr>
        <w:t xml:space="preserve">for greater social surplus. When at least </w:t>
      </w:r>
      <w:r w:rsidR="00254F7B">
        <w:rPr>
          <w:lang w:val="en-US"/>
        </w:rPr>
        <w:t>a part of the revenues is</w:t>
      </w:r>
      <w:r w:rsidR="00787979">
        <w:rPr>
          <w:lang w:val="en-US"/>
        </w:rPr>
        <w:t xml:space="preserve"> recycled towards </w:t>
      </w:r>
      <w:proofErr w:type="spellStart"/>
      <w:r w:rsidR="00787979">
        <w:rPr>
          <w:lang w:val="en-US"/>
        </w:rPr>
        <w:t>labour</w:t>
      </w:r>
      <w:proofErr w:type="spellEnd"/>
      <w:r w:rsidR="00787979">
        <w:rPr>
          <w:lang w:val="en-US"/>
        </w:rPr>
        <w:t xml:space="preserve"> market efficiency, the impact on overall employment is most likely positive. </w:t>
      </w:r>
      <w:r w:rsidR="00EF7CD1">
        <w:rPr>
          <w:lang w:val="en-US"/>
        </w:rPr>
        <w:t xml:space="preserve">Where road charges are difficult to implement, parking charges may be a second-best solution, especially if the charges </w:t>
      </w:r>
      <w:r w:rsidR="00254F7B">
        <w:rPr>
          <w:lang w:val="en-US"/>
        </w:rPr>
        <w:t>are</w:t>
      </w:r>
      <w:r w:rsidR="00EF7CD1">
        <w:rPr>
          <w:lang w:val="en-US"/>
        </w:rPr>
        <w:t xml:space="preserve"> time and vehicle dependent. </w:t>
      </w:r>
    </w:p>
    <w:p w:rsidR="003D3C09" w:rsidRDefault="005F5BE8" w:rsidP="005F5BE8">
      <w:pPr>
        <w:pStyle w:val="Heading1"/>
        <w:rPr>
          <w:lang w:val="en-US"/>
        </w:rPr>
      </w:pPr>
      <w:bookmarkStart w:id="72" w:name="_Toc366244952"/>
      <w:r>
        <w:rPr>
          <w:lang w:val="en-US"/>
        </w:rPr>
        <w:lastRenderedPageBreak/>
        <w:t>References</w:t>
      </w:r>
      <w:bookmarkEnd w:id="72"/>
    </w:p>
    <w:p w:rsidR="006835C9" w:rsidRPr="006A5C17" w:rsidRDefault="006835C9" w:rsidP="006835C9">
      <w:pPr>
        <w:autoSpaceDE w:val="0"/>
        <w:autoSpaceDN w:val="0"/>
        <w:adjustRightInd w:val="0"/>
        <w:spacing w:after="0"/>
        <w:rPr>
          <w:rFonts w:cs="Helvetica"/>
        </w:rPr>
      </w:pPr>
      <w:r w:rsidRPr="006A5C17">
        <w:rPr>
          <w:rFonts w:cs="Helvetica"/>
        </w:rPr>
        <w:t xml:space="preserve">AAM, 2009, </w:t>
      </w:r>
      <w:proofErr w:type="gramStart"/>
      <w:r w:rsidRPr="006A5C17">
        <w:rPr>
          <w:rFonts w:cs="Helvetica-Oblique"/>
          <w:iCs/>
        </w:rPr>
        <w:t>How</w:t>
      </w:r>
      <w:proofErr w:type="gramEnd"/>
      <w:r w:rsidRPr="006A5C17">
        <w:rPr>
          <w:rFonts w:cs="Helvetica-Oblique"/>
          <w:iCs/>
        </w:rPr>
        <w:t xml:space="preserve"> infrastructure investments supports the U.S. Economy: Employment, Productivity and Growth</w:t>
      </w:r>
      <w:r w:rsidRPr="006A5C17">
        <w:rPr>
          <w:rFonts w:cs="Helvetica"/>
        </w:rPr>
        <w:t xml:space="preserve">. </w:t>
      </w:r>
      <w:proofErr w:type="gramStart"/>
      <w:r w:rsidRPr="006A5C17">
        <w:rPr>
          <w:rFonts w:cs="Helvetica"/>
        </w:rPr>
        <w:t>Alliance for American Manufacturing and the Political Economy</w:t>
      </w:r>
      <w:r w:rsidRPr="006A5C17">
        <w:rPr>
          <w:rFonts w:cs="Helvetica-Oblique"/>
          <w:i/>
          <w:iCs/>
        </w:rPr>
        <w:t xml:space="preserve"> </w:t>
      </w:r>
      <w:r w:rsidRPr="006A5C17">
        <w:rPr>
          <w:rFonts w:cs="Helvetica"/>
        </w:rPr>
        <w:t>Research Institute.</w:t>
      </w:r>
      <w:proofErr w:type="gramEnd"/>
    </w:p>
    <w:p w:rsidR="004B3A48" w:rsidRPr="006A5C17" w:rsidRDefault="004B3A48" w:rsidP="006835C9">
      <w:pPr>
        <w:autoSpaceDE w:val="0"/>
        <w:autoSpaceDN w:val="0"/>
        <w:adjustRightInd w:val="0"/>
        <w:spacing w:after="0"/>
        <w:rPr>
          <w:rFonts w:cs="Helvetica"/>
        </w:rPr>
      </w:pPr>
    </w:p>
    <w:p w:rsidR="004B3A48" w:rsidRPr="006A5C17" w:rsidRDefault="004B3A48" w:rsidP="006835C9">
      <w:pPr>
        <w:autoSpaceDE w:val="0"/>
        <w:autoSpaceDN w:val="0"/>
        <w:adjustRightInd w:val="0"/>
        <w:spacing w:after="0"/>
        <w:rPr>
          <w:rFonts w:cs="Helvetica"/>
        </w:rPr>
      </w:pPr>
      <w:r w:rsidRPr="006A5C17">
        <w:rPr>
          <w:rFonts w:cs="Helvetica"/>
        </w:rPr>
        <w:t xml:space="preserve">ACEEE (American Council for Energy Efficient Economy), 2012, </w:t>
      </w:r>
      <w:proofErr w:type="gramStart"/>
      <w:r w:rsidRPr="006A5C17">
        <w:rPr>
          <w:rFonts w:cs="Helvetica"/>
        </w:rPr>
        <w:t>Gearing</w:t>
      </w:r>
      <w:proofErr w:type="gramEnd"/>
      <w:r w:rsidRPr="006A5C17">
        <w:rPr>
          <w:rFonts w:cs="Helvetica"/>
        </w:rPr>
        <w:t xml:space="preserve"> up: smart standards create good jobs, www.bluegreenalliance.org</w:t>
      </w:r>
    </w:p>
    <w:p w:rsidR="006835C9" w:rsidRPr="006A5C17" w:rsidRDefault="006835C9" w:rsidP="006835C9">
      <w:pPr>
        <w:autoSpaceDE w:val="0"/>
        <w:autoSpaceDN w:val="0"/>
        <w:adjustRightInd w:val="0"/>
        <w:spacing w:after="0"/>
        <w:rPr>
          <w:rFonts w:cs="Helvetica"/>
        </w:rPr>
      </w:pPr>
    </w:p>
    <w:p w:rsidR="00CF0153" w:rsidRPr="006A5C17" w:rsidRDefault="00CF0153" w:rsidP="006835C9">
      <w:pPr>
        <w:autoSpaceDE w:val="0"/>
        <w:autoSpaceDN w:val="0"/>
        <w:adjustRightInd w:val="0"/>
        <w:spacing w:after="0"/>
      </w:pPr>
      <w:proofErr w:type="spellStart"/>
      <w:r w:rsidRPr="006A5C17">
        <w:t>Anas</w:t>
      </w:r>
      <w:proofErr w:type="spellEnd"/>
      <w:r w:rsidR="007D1DB8">
        <w:t xml:space="preserve">, Alex &amp; Rhee, </w:t>
      </w:r>
      <w:proofErr w:type="spellStart"/>
      <w:r w:rsidR="007D1DB8">
        <w:t>Hyok-Joo</w:t>
      </w:r>
      <w:proofErr w:type="spellEnd"/>
      <w:r w:rsidR="007D1DB8">
        <w:t xml:space="preserve">, 2006, </w:t>
      </w:r>
      <w:proofErr w:type="gramStart"/>
      <w:r w:rsidRPr="006A5C17">
        <w:rPr>
          <w:bCs/>
        </w:rPr>
        <w:t>Curbing</w:t>
      </w:r>
      <w:proofErr w:type="gramEnd"/>
      <w:r w:rsidRPr="006A5C17">
        <w:rPr>
          <w:bCs/>
        </w:rPr>
        <w:t xml:space="preserve"> excess sprawl with congestion tolls and urban boundaries</w:t>
      </w:r>
      <w:r w:rsidR="007D1DB8">
        <w:t>,</w:t>
      </w:r>
      <w:r w:rsidRPr="006A5C17">
        <w:t xml:space="preserve"> Regional Science and Urban Economics, Elsevier, vol. 36(4), pages 510-541, July.</w:t>
      </w:r>
    </w:p>
    <w:p w:rsidR="00767EE7" w:rsidRPr="006A5C17" w:rsidRDefault="00767EE7" w:rsidP="006835C9">
      <w:pPr>
        <w:autoSpaceDE w:val="0"/>
        <w:autoSpaceDN w:val="0"/>
        <w:adjustRightInd w:val="0"/>
        <w:spacing w:after="0"/>
      </w:pPr>
    </w:p>
    <w:p w:rsidR="00767EE7" w:rsidRPr="006A5C17" w:rsidRDefault="00767EE7" w:rsidP="006835C9">
      <w:pPr>
        <w:autoSpaceDE w:val="0"/>
        <w:autoSpaceDN w:val="0"/>
        <w:adjustRightInd w:val="0"/>
        <w:spacing w:after="0"/>
      </w:pPr>
      <w:proofErr w:type="spellStart"/>
      <w:r w:rsidRPr="006A5C17">
        <w:t>Arno</w:t>
      </w:r>
      <w:r w:rsidR="007D1DB8">
        <w:t>tt</w:t>
      </w:r>
      <w:proofErr w:type="spellEnd"/>
      <w:r w:rsidR="007D1DB8">
        <w:t xml:space="preserve">, Richard &amp; </w:t>
      </w:r>
      <w:proofErr w:type="spellStart"/>
      <w:r w:rsidR="007D1DB8">
        <w:t>Inci</w:t>
      </w:r>
      <w:proofErr w:type="spellEnd"/>
      <w:r w:rsidR="007D1DB8">
        <w:t xml:space="preserve">, </w:t>
      </w:r>
      <w:proofErr w:type="spellStart"/>
      <w:r w:rsidR="007D1DB8">
        <w:t>Eren</w:t>
      </w:r>
      <w:proofErr w:type="spellEnd"/>
      <w:r w:rsidR="007D1DB8">
        <w:t xml:space="preserve">, 2010, </w:t>
      </w:r>
      <w:proofErr w:type="gramStart"/>
      <w:r w:rsidRPr="006A5C17">
        <w:rPr>
          <w:bCs/>
        </w:rPr>
        <w:t>The</w:t>
      </w:r>
      <w:proofErr w:type="gramEnd"/>
      <w:r w:rsidRPr="006A5C17">
        <w:rPr>
          <w:bCs/>
        </w:rPr>
        <w:t xml:space="preserve"> stability of downtown parking and traffic congestion</w:t>
      </w:r>
      <w:r w:rsidR="007D1DB8">
        <w:t>,</w:t>
      </w:r>
      <w:r w:rsidRPr="006A5C17">
        <w:t xml:space="preserve"> Journal of Urban Economics, Elsevier, vol. 68(3), pages 260-276, November.</w:t>
      </w:r>
    </w:p>
    <w:p w:rsidR="00767EE7" w:rsidRPr="006A5C17" w:rsidRDefault="00767EE7" w:rsidP="006835C9">
      <w:pPr>
        <w:autoSpaceDE w:val="0"/>
        <w:autoSpaceDN w:val="0"/>
        <w:adjustRightInd w:val="0"/>
        <w:spacing w:after="0"/>
        <w:rPr>
          <w:rFonts w:cs="Helvetica"/>
        </w:rPr>
      </w:pPr>
    </w:p>
    <w:p w:rsidR="006835C9" w:rsidRPr="006A5C17" w:rsidRDefault="006835C9" w:rsidP="006835C9">
      <w:pPr>
        <w:autoSpaceDE w:val="0"/>
        <w:autoSpaceDN w:val="0"/>
        <w:adjustRightInd w:val="0"/>
        <w:spacing w:after="0"/>
        <w:rPr>
          <w:rFonts w:cs="Helvetica"/>
        </w:rPr>
      </w:pPr>
      <w:r w:rsidRPr="006A5C17">
        <w:rPr>
          <w:rFonts w:cs="Helvetica"/>
        </w:rPr>
        <w:t xml:space="preserve">American Public Transportation Association, 2009, </w:t>
      </w:r>
      <w:r w:rsidRPr="006A5C17">
        <w:rPr>
          <w:rFonts w:cs="Helvetica-Oblique"/>
          <w:iCs/>
        </w:rPr>
        <w:t>Job Impacts of Spending on Public Transportation: An Update</w:t>
      </w:r>
      <w:r w:rsidRPr="006A5C17">
        <w:rPr>
          <w:rFonts w:cs="Helvetica"/>
        </w:rPr>
        <w:t>, A white paper prepared by Economic Development Research</w:t>
      </w:r>
      <w:r w:rsidRPr="006A5C17">
        <w:rPr>
          <w:rFonts w:cs="Helvetica-Oblique"/>
          <w:i/>
          <w:iCs/>
        </w:rPr>
        <w:t xml:space="preserve"> </w:t>
      </w:r>
      <w:r w:rsidRPr="006A5C17">
        <w:rPr>
          <w:rFonts w:cs="Helvetica"/>
        </w:rPr>
        <w:t>Group, Inc. for the American Public Transportation Association</w:t>
      </w:r>
    </w:p>
    <w:p w:rsidR="00215E54" w:rsidRPr="006A5C17" w:rsidRDefault="00215E54" w:rsidP="006835C9">
      <w:pPr>
        <w:autoSpaceDE w:val="0"/>
        <w:autoSpaceDN w:val="0"/>
        <w:adjustRightInd w:val="0"/>
        <w:spacing w:after="0"/>
        <w:rPr>
          <w:rFonts w:cs="Helvetica"/>
        </w:rPr>
      </w:pPr>
    </w:p>
    <w:p w:rsidR="00404CFF" w:rsidRPr="006A5C17" w:rsidRDefault="007D1DB8" w:rsidP="00215E54">
      <w:r>
        <w:t xml:space="preserve">Baum-Snow N, 2007, </w:t>
      </w:r>
      <w:r w:rsidR="00215E54" w:rsidRPr="006A5C17">
        <w:rPr>
          <w:bCs/>
        </w:rPr>
        <w:t>Did Highways Cause Suburbanization?</w:t>
      </w:r>
      <w:r>
        <w:t>,</w:t>
      </w:r>
      <w:r w:rsidR="00215E54" w:rsidRPr="006A5C17">
        <w:t xml:space="preserve"> The Quarterly Journal of Economics, MIT Press, vol. 122(2), pages 775-805, 05.</w:t>
      </w:r>
    </w:p>
    <w:p w:rsidR="000376FA" w:rsidRPr="006A5C17" w:rsidRDefault="000376FA" w:rsidP="006835C9">
      <w:pPr>
        <w:autoSpaceDE w:val="0"/>
        <w:autoSpaceDN w:val="0"/>
        <w:adjustRightInd w:val="0"/>
        <w:spacing w:after="0"/>
        <w:rPr>
          <w:rFonts w:cs="Helvetica"/>
        </w:rPr>
      </w:pPr>
      <w:r w:rsidRPr="006A5C17">
        <w:rPr>
          <w:rFonts w:cs="Helvetica"/>
        </w:rPr>
        <w:t xml:space="preserve">Browne Michael, Woodburn Allan, </w:t>
      </w:r>
      <w:proofErr w:type="spellStart"/>
      <w:r w:rsidRPr="006A5C17">
        <w:rPr>
          <w:rFonts w:cs="Helvetica"/>
        </w:rPr>
        <w:t>Jullian</w:t>
      </w:r>
      <w:proofErr w:type="spellEnd"/>
      <w:r w:rsidRPr="006A5C17">
        <w:rPr>
          <w:rFonts w:cs="Helvetica"/>
        </w:rPr>
        <w:t xml:space="preserve"> Allen, The potential for urban consolidation </w:t>
      </w:r>
      <w:proofErr w:type="spellStart"/>
      <w:r w:rsidRPr="006A5C17">
        <w:rPr>
          <w:rFonts w:cs="Helvetica"/>
        </w:rPr>
        <w:t>centers</w:t>
      </w:r>
      <w:proofErr w:type="spellEnd"/>
      <w:r w:rsidRPr="006A5C17">
        <w:rPr>
          <w:rFonts w:cs="Helvetica"/>
        </w:rPr>
        <w:t xml:space="preserve">, </w:t>
      </w:r>
      <w:r w:rsidRPr="006A5C17">
        <w:rPr>
          <w:rFonts w:cs="TimesNewRoman,Italic"/>
          <w:iCs/>
        </w:rPr>
        <w:t>European Transport \ Trasporti Europei n. 35 (2007): 46-63</w:t>
      </w:r>
    </w:p>
    <w:p w:rsidR="000376FA" w:rsidRPr="006A5C17" w:rsidRDefault="000376FA" w:rsidP="006835C9">
      <w:pPr>
        <w:autoSpaceDE w:val="0"/>
        <w:autoSpaceDN w:val="0"/>
        <w:adjustRightInd w:val="0"/>
        <w:spacing w:after="0"/>
        <w:rPr>
          <w:rFonts w:cs="Helvetica"/>
        </w:rPr>
      </w:pPr>
    </w:p>
    <w:p w:rsidR="00665D2C" w:rsidRPr="006A5C17" w:rsidRDefault="00665D2C" w:rsidP="006835C9">
      <w:pPr>
        <w:autoSpaceDE w:val="0"/>
        <w:autoSpaceDN w:val="0"/>
        <w:adjustRightInd w:val="0"/>
        <w:spacing w:after="0"/>
        <w:rPr>
          <w:rFonts w:cs="Helvetica"/>
        </w:rPr>
      </w:pPr>
      <w:proofErr w:type="spellStart"/>
      <w:r w:rsidRPr="006A5C17">
        <w:rPr>
          <w:rFonts w:cs="Helvetica"/>
        </w:rPr>
        <w:t>Broyer</w:t>
      </w:r>
      <w:proofErr w:type="spellEnd"/>
      <w:r w:rsidRPr="006A5C17">
        <w:rPr>
          <w:rFonts w:cs="Helvetica"/>
        </w:rPr>
        <w:t xml:space="preserve"> Sylvain, </w:t>
      </w:r>
      <w:proofErr w:type="spellStart"/>
      <w:r w:rsidRPr="006A5C17">
        <w:rPr>
          <w:rFonts w:cs="Helvetica"/>
        </w:rPr>
        <w:t>Gareis</w:t>
      </w:r>
      <w:proofErr w:type="spellEnd"/>
      <w:r w:rsidRPr="006A5C17">
        <w:rPr>
          <w:rFonts w:cs="Helvetica"/>
        </w:rPr>
        <w:t xml:space="preserve"> Johannes, 2012, How large is the infrastructure multiplier in the euro area</w:t>
      </w:r>
      <w:proofErr w:type="gramStart"/>
      <w:r w:rsidRPr="006A5C17">
        <w:rPr>
          <w:rFonts w:cs="Helvetica"/>
        </w:rPr>
        <w:t>?,</w:t>
      </w:r>
      <w:proofErr w:type="gramEnd"/>
      <w:r w:rsidRPr="006A5C17">
        <w:rPr>
          <w:rFonts w:cs="Helvetica"/>
        </w:rPr>
        <w:t xml:space="preserve"> FLASH economics (economic research), March 22, 2013 No. 227</w:t>
      </w:r>
    </w:p>
    <w:p w:rsidR="001E6ACA" w:rsidRPr="006A5C17" w:rsidRDefault="001E6ACA" w:rsidP="006835C9">
      <w:pPr>
        <w:autoSpaceDE w:val="0"/>
        <w:autoSpaceDN w:val="0"/>
        <w:adjustRightInd w:val="0"/>
        <w:spacing w:after="0"/>
      </w:pPr>
    </w:p>
    <w:p w:rsidR="001E6ACA" w:rsidRPr="006A5C17" w:rsidRDefault="001E6ACA" w:rsidP="006835C9">
      <w:pPr>
        <w:autoSpaceDE w:val="0"/>
        <w:autoSpaceDN w:val="0"/>
        <w:adjustRightInd w:val="0"/>
        <w:spacing w:after="0"/>
        <w:rPr>
          <w:rFonts w:cs="Helvetica"/>
        </w:rPr>
      </w:pPr>
      <w:proofErr w:type="spellStart"/>
      <w:r w:rsidRPr="006A5C17">
        <w:t>Calt</w:t>
      </w:r>
      <w:r w:rsidR="007D1DB8">
        <w:t>hrop</w:t>
      </w:r>
      <w:proofErr w:type="spellEnd"/>
      <w:r w:rsidR="007D1DB8">
        <w:t xml:space="preserve"> Edward &amp; Stef Proost, 2000, </w:t>
      </w:r>
      <w:proofErr w:type="gramStart"/>
      <w:r w:rsidRPr="006A5C17">
        <w:rPr>
          <w:bCs/>
        </w:rPr>
        <w:t>Regulating</w:t>
      </w:r>
      <w:proofErr w:type="gramEnd"/>
      <w:r w:rsidRPr="006A5C17">
        <w:rPr>
          <w:bCs/>
        </w:rPr>
        <w:t xml:space="preserve"> urban parking space: the choice between meter fees and time restrictions</w:t>
      </w:r>
      <w:r w:rsidR="007D1DB8">
        <w:t>,</w:t>
      </w:r>
      <w:r w:rsidRPr="006A5C17">
        <w:t xml:space="preserve"> Energy, Transport and Environment Working Papers Series ete0006, </w:t>
      </w:r>
      <w:proofErr w:type="spellStart"/>
      <w:r w:rsidRPr="006A5C17">
        <w:t>Katholieke</w:t>
      </w:r>
      <w:proofErr w:type="spellEnd"/>
      <w:r w:rsidRPr="006A5C17">
        <w:t xml:space="preserve"> </w:t>
      </w:r>
      <w:proofErr w:type="spellStart"/>
      <w:r w:rsidRPr="006A5C17">
        <w:t>Universiteit</w:t>
      </w:r>
      <w:proofErr w:type="spellEnd"/>
      <w:r w:rsidRPr="006A5C17">
        <w:t xml:space="preserve"> Leuven, Centrum </w:t>
      </w:r>
      <w:proofErr w:type="spellStart"/>
      <w:r w:rsidRPr="006A5C17">
        <w:t>voor</w:t>
      </w:r>
      <w:proofErr w:type="spellEnd"/>
      <w:r w:rsidRPr="006A5C17">
        <w:t xml:space="preserve"> </w:t>
      </w:r>
      <w:proofErr w:type="spellStart"/>
      <w:r w:rsidRPr="006A5C17">
        <w:t>Economische</w:t>
      </w:r>
      <w:proofErr w:type="spellEnd"/>
      <w:r w:rsidRPr="006A5C17">
        <w:t xml:space="preserve"> </w:t>
      </w:r>
      <w:proofErr w:type="spellStart"/>
      <w:r w:rsidRPr="006A5C17">
        <w:t>Studiën</w:t>
      </w:r>
      <w:proofErr w:type="spellEnd"/>
      <w:r w:rsidRPr="006A5C17">
        <w:t>, Energy, Transport and Environment.</w:t>
      </w:r>
    </w:p>
    <w:p w:rsidR="006835C9" w:rsidRPr="006A5C17" w:rsidRDefault="006835C9" w:rsidP="006835C9">
      <w:pPr>
        <w:autoSpaceDE w:val="0"/>
        <w:autoSpaceDN w:val="0"/>
        <w:adjustRightInd w:val="0"/>
        <w:spacing w:after="0"/>
        <w:rPr>
          <w:rFonts w:cs="Helvetica-Oblique"/>
          <w:i/>
          <w:iCs/>
        </w:rPr>
      </w:pPr>
    </w:p>
    <w:p w:rsidR="003D3C09" w:rsidRPr="006A5C17" w:rsidRDefault="001744CB" w:rsidP="003D3C09">
      <w:pPr>
        <w:rPr>
          <w:lang w:val="en-US"/>
        </w:rPr>
      </w:pPr>
      <w:r w:rsidRPr="006A5C17">
        <w:rPr>
          <w:lang w:val="en-US"/>
        </w:rPr>
        <w:t xml:space="preserve">CEC, </w:t>
      </w:r>
      <w:r w:rsidR="006835C9" w:rsidRPr="006A5C17">
        <w:rPr>
          <w:lang w:val="en-US"/>
        </w:rPr>
        <w:t>2008</w:t>
      </w:r>
      <w:r w:rsidRPr="006A5C17">
        <w:rPr>
          <w:lang w:val="en-US"/>
        </w:rPr>
        <w:t xml:space="preserve">, </w:t>
      </w:r>
      <w:r w:rsidR="003D3C09" w:rsidRPr="006A5C17">
        <w:rPr>
          <w:lang w:val="en-US"/>
        </w:rPr>
        <w:t>Gree</w:t>
      </w:r>
      <w:r w:rsidR="00A11F20" w:rsidRPr="006A5C17">
        <w:rPr>
          <w:lang w:val="en-US"/>
        </w:rPr>
        <w:t>n paper on territorial cohesion,</w:t>
      </w:r>
      <w:r w:rsidR="003D3C09" w:rsidRPr="006A5C17">
        <w:rPr>
          <w:lang w:val="en-US"/>
        </w:rPr>
        <w:t xml:space="preserve"> Turning terri</w:t>
      </w:r>
      <w:r w:rsidR="007D1DB8">
        <w:rPr>
          <w:lang w:val="en-US"/>
        </w:rPr>
        <w:t xml:space="preserve">torial diversity into strength, </w:t>
      </w:r>
      <w:r w:rsidR="003D3C09" w:rsidRPr="006A5C17">
        <w:rPr>
          <w:lang w:val="en-US"/>
        </w:rPr>
        <w:t>SEC (2008) 2550, Commission of the European Communities, Brussels</w:t>
      </w:r>
    </w:p>
    <w:p w:rsidR="008B1BF3" w:rsidRPr="006A5C17" w:rsidRDefault="008B1BF3" w:rsidP="003D3C09">
      <w:pPr>
        <w:rPr>
          <w:lang w:val="en-US"/>
        </w:rPr>
      </w:pPr>
      <w:r w:rsidRPr="006A5C17">
        <w:rPr>
          <w:lang w:val="en-US"/>
        </w:rPr>
        <w:t xml:space="preserve">CERES, 2011, </w:t>
      </w:r>
      <w:proofErr w:type="gramStart"/>
      <w:r w:rsidRPr="006A5C17">
        <w:rPr>
          <w:lang w:val="en-US"/>
        </w:rPr>
        <w:t>More</w:t>
      </w:r>
      <w:proofErr w:type="gramEnd"/>
      <w:r w:rsidRPr="006A5C17">
        <w:rPr>
          <w:lang w:val="en-US"/>
        </w:rPr>
        <w:t xml:space="preserve"> jobs per gallon: how strong fuel economy / GHG standards will fuel American jobs, A Ceres Report, July 2011</w:t>
      </w:r>
    </w:p>
    <w:p w:rsidR="003D3C09" w:rsidRPr="006A5C17" w:rsidRDefault="003D3C09" w:rsidP="003D3C09">
      <w:pPr>
        <w:rPr>
          <w:lang w:val="en-US"/>
        </w:rPr>
      </w:pPr>
      <w:proofErr w:type="spellStart"/>
      <w:r w:rsidRPr="006A5C17">
        <w:rPr>
          <w:lang w:val="en-US"/>
        </w:rPr>
        <w:t>Cullmann</w:t>
      </w:r>
      <w:proofErr w:type="spellEnd"/>
      <w:r w:rsidRPr="006A5C17">
        <w:rPr>
          <w:lang w:val="en-US"/>
        </w:rPr>
        <w:t xml:space="preserve">, A. &amp; </w:t>
      </w:r>
      <w:proofErr w:type="spellStart"/>
      <w:r w:rsidRPr="006A5C17">
        <w:rPr>
          <w:lang w:val="en-US"/>
        </w:rPr>
        <w:t>Geppert</w:t>
      </w:r>
      <w:proofErr w:type="spellEnd"/>
      <w:r w:rsidRPr="006A5C17">
        <w:rPr>
          <w:lang w:val="en-US"/>
        </w:rPr>
        <w:t>, K., 2012</w:t>
      </w:r>
      <w:r w:rsidR="00B91CD0" w:rsidRPr="006A5C17">
        <w:rPr>
          <w:i/>
          <w:lang w:val="en-US"/>
        </w:rPr>
        <w:t>,</w:t>
      </w:r>
      <w:r w:rsidRPr="006A5C17">
        <w:rPr>
          <w:i/>
          <w:lang w:val="en-US"/>
        </w:rPr>
        <w:t xml:space="preserve"> </w:t>
      </w:r>
      <w:r w:rsidRPr="006A5C17">
        <w:rPr>
          <w:lang w:val="en-US"/>
        </w:rPr>
        <w:t xml:space="preserve">Socio-economic trends and new territorial dynamics in the European Union: convergence and agglomeration. Neujobs working paper </w:t>
      </w:r>
    </w:p>
    <w:p w:rsidR="009C193A" w:rsidRPr="006A5C17" w:rsidRDefault="009C193A" w:rsidP="003D3C09">
      <w:pPr>
        <w:rPr>
          <w:lang w:val="en-US"/>
        </w:rPr>
      </w:pPr>
      <w:r w:rsidRPr="006A5C17">
        <w:rPr>
          <w:lang w:val="en-US"/>
        </w:rPr>
        <w:t>Danielis Romeo, Rotaris Lucia, Marcucci Eduardo, Massiani Jerome, 2010</w:t>
      </w:r>
      <w:proofErr w:type="gramStart"/>
      <w:r w:rsidRPr="006A5C17">
        <w:rPr>
          <w:lang w:val="en-US"/>
        </w:rPr>
        <w:t>,</w:t>
      </w:r>
      <w:r w:rsidR="009167CD" w:rsidRPr="006A5C17">
        <w:rPr>
          <w:lang w:val="en-US"/>
        </w:rPr>
        <w:t>[</w:t>
      </w:r>
      <w:proofErr w:type="gramEnd"/>
      <w:r w:rsidR="009167CD" w:rsidRPr="006A5C17">
        <w:rPr>
          <w:lang w:val="en-US"/>
        </w:rPr>
        <w:t>1],</w:t>
      </w:r>
      <w:r w:rsidRPr="006A5C17">
        <w:rPr>
          <w:lang w:val="en-US"/>
        </w:rPr>
        <w:t xml:space="preserve"> An economic environmental and transport evaluation of the Ecopass scheme in Milan: three years later. </w:t>
      </w:r>
    </w:p>
    <w:p w:rsidR="009B7E7C" w:rsidRPr="006A5C17" w:rsidRDefault="009B7E7C" w:rsidP="003D3C09">
      <w:pPr>
        <w:rPr>
          <w:rFonts w:cs="Times-Italic"/>
          <w:i/>
          <w:iCs/>
        </w:rPr>
      </w:pPr>
      <w:r w:rsidRPr="006A5C17">
        <w:rPr>
          <w:lang w:val="en-US"/>
        </w:rPr>
        <w:t>Danielis Romeo, Rotari</w:t>
      </w:r>
      <w:r w:rsidR="009167CD" w:rsidRPr="006A5C17">
        <w:rPr>
          <w:lang w:val="en-US"/>
        </w:rPr>
        <w:t xml:space="preserve">s Lucia, Marcucci Eduardo, 2010, [2], </w:t>
      </w:r>
      <w:proofErr w:type="gramStart"/>
      <w:r w:rsidRPr="006A5C17">
        <w:rPr>
          <w:lang w:val="en-US"/>
        </w:rPr>
        <w:t>Urban</w:t>
      </w:r>
      <w:proofErr w:type="gramEnd"/>
      <w:r w:rsidRPr="006A5C17">
        <w:rPr>
          <w:lang w:val="en-US"/>
        </w:rPr>
        <w:t xml:space="preserve"> freight policies and distribution channels, </w:t>
      </w:r>
      <w:r w:rsidRPr="006A5C17">
        <w:rPr>
          <w:rFonts w:cs="Times-Italic"/>
          <w:i/>
          <w:iCs/>
        </w:rPr>
        <w:t>European Transport \ Trasporti Europei n. 46 (2010): 114-146</w:t>
      </w:r>
    </w:p>
    <w:p w:rsidR="00C80A03" w:rsidRPr="006A5C17" w:rsidRDefault="00C80A03" w:rsidP="00C80A03">
      <w:pPr>
        <w:autoSpaceDE w:val="0"/>
        <w:autoSpaceDN w:val="0"/>
        <w:adjustRightInd w:val="0"/>
        <w:rPr>
          <w:rFonts w:eastAsia="Calibri"/>
          <w:lang w:eastAsia="en-GB"/>
        </w:rPr>
      </w:pPr>
      <w:proofErr w:type="gramStart"/>
      <w:r w:rsidRPr="006A5C17">
        <w:rPr>
          <w:lang w:val="en-US"/>
        </w:rPr>
        <w:lastRenderedPageBreak/>
        <w:t>De Lara, Michel &amp; de Palma, André &amp; Kilani, Moez &amp; Piperno, Serge, 2013.</w:t>
      </w:r>
      <w:proofErr w:type="gramEnd"/>
      <w:r w:rsidRPr="006A5C17">
        <w:rPr>
          <w:lang w:val="en-US"/>
        </w:rPr>
        <w:t xml:space="preserve"> </w:t>
      </w:r>
      <w:r w:rsidRPr="006A5C17">
        <w:t>"</w:t>
      </w:r>
      <w:r w:rsidRPr="006A5C17">
        <w:rPr>
          <w:bCs/>
        </w:rPr>
        <w:t>Congestion pricing and long term urban form: Application to Paris region</w:t>
      </w:r>
      <w:r w:rsidRPr="006A5C17">
        <w:t>," Regional Science and Urban Economics, Else</w:t>
      </w:r>
      <w:r w:rsidR="00767EE7" w:rsidRPr="006A5C17">
        <w:t>vier, vol. 43(2), pages 282-295</w:t>
      </w:r>
    </w:p>
    <w:p w:rsidR="00F05704" w:rsidRDefault="00F05704" w:rsidP="003D3C09">
      <w:pPr>
        <w:rPr>
          <w:lang w:val="en-US"/>
        </w:rPr>
      </w:pPr>
      <w:r w:rsidRPr="006A5C17">
        <w:rPr>
          <w:lang w:val="en-US"/>
        </w:rPr>
        <w:t xml:space="preserve">DG MOVE, 2012, Study on Urban Freight transport, Final report by MTS </w:t>
      </w:r>
      <w:proofErr w:type="spellStart"/>
      <w:r w:rsidRPr="006A5C17">
        <w:rPr>
          <w:lang w:val="en-US"/>
        </w:rPr>
        <w:t>transmodal</w:t>
      </w:r>
      <w:proofErr w:type="spellEnd"/>
      <w:r w:rsidRPr="006A5C17">
        <w:rPr>
          <w:lang w:val="en-US"/>
        </w:rPr>
        <w:t xml:space="preserve"> and CTL</w:t>
      </w:r>
    </w:p>
    <w:p w:rsidR="008567F0" w:rsidRDefault="008567F0" w:rsidP="008567F0">
      <w:pPr>
        <w:autoSpaceDE w:val="0"/>
        <w:autoSpaceDN w:val="0"/>
        <w:adjustRightInd w:val="0"/>
        <w:spacing w:after="0"/>
      </w:pPr>
      <w:r>
        <w:t>European Commission (</w:t>
      </w:r>
      <w:r>
        <w:t xml:space="preserve">EC), 2013, Draft impact assessment on Single European Sky- SES 2, </w:t>
      </w:r>
      <w:proofErr w:type="gramStart"/>
      <w:r>
        <w:t>COM(</w:t>
      </w:r>
      <w:proofErr w:type="gramEnd"/>
      <w:r>
        <w:t xml:space="preserve">2013) 410 final &amp; </w:t>
      </w:r>
      <w:r>
        <w:t xml:space="preserve">SWD (2013) 206 </w:t>
      </w:r>
      <w:r>
        <w:t>final</w:t>
      </w:r>
    </w:p>
    <w:p w:rsidR="008567F0" w:rsidRPr="008567F0" w:rsidRDefault="008567F0" w:rsidP="008567F0">
      <w:pPr>
        <w:autoSpaceDE w:val="0"/>
        <w:autoSpaceDN w:val="0"/>
        <w:adjustRightInd w:val="0"/>
        <w:spacing w:after="0"/>
      </w:pPr>
    </w:p>
    <w:p w:rsidR="003D3C09" w:rsidRPr="006A5C17" w:rsidRDefault="003D3C09" w:rsidP="003D3C09">
      <w:pPr>
        <w:rPr>
          <w:lang w:val="en-US"/>
        </w:rPr>
      </w:pPr>
      <w:r w:rsidRPr="006A5C17">
        <w:rPr>
          <w:lang w:val="en-US"/>
        </w:rPr>
        <w:t>Eu</w:t>
      </w:r>
      <w:r w:rsidR="00B91CD0" w:rsidRPr="006A5C17">
        <w:rPr>
          <w:lang w:val="en-US"/>
        </w:rPr>
        <w:t>ropean Environment Agency, 2006,</w:t>
      </w:r>
      <w:r w:rsidRPr="006A5C17">
        <w:rPr>
          <w:lang w:val="en-US"/>
        </w:rPr>
        <w:t xml:space="preserve"> Urban Sprawl in Europe, the Ignored Challenge</w:t>
      </w:r>
    </w:p>
    <w:p w:rsidR="008113CB" w:rsidRDefault="008113CB" w:rsidP="003D3C09">
      <w:proofErr w:type="gramStart"/>
      <w:r w:rsidRPr="006A5C17">
        <w:t>Fujita, Ma</w:t>
      </w:r>
      <w:r w:rsidR="00B268AA" w:rsidRPr="006A5C17">
        <w:t>sahisa &amp; Ogawa, Hideaki, 1982.</w:t>
      </w:r>
      <w:proofErr w:type="gramEnd"/>
      <w:r w:rsidR="00B268AA" w:rsidRPr="006A5C17">
        <w:t xml:space="preserve"> </w:t>
      </w:r>
      <w:r w:rsidRPr="006A5C17">
        <w:rPr>
          <w:bCs/>
        </w:rPr>
        <w:t>Multiple equilibria and structural transition of non-monocentric urban configurations</w:t>
      </w:r>
      <w:r w:rsidR="00B268AA" w:rsidRPr="006A5C17">
        <w:t>,</w:t>
      </w:r>
      <w:r w:rsidRPr="006A5C17">
        <w:t xml:space="preserve"> Regional Science and Urban Economics, Elsevier, vol. 12(2), pages 161-196, May.</w:t>
      </w:r>
    </w:p>
    <w:p w:rsidR="00C434D4" w:rsidRDefault="00C434D4" w:rsidP="00C434D4">
      <w:pPr>
        <w:autoSpaceDE w:val="0"/>
        <w:autoSpaceDN w:val="0"/>
        <w:adjustRightInd w:val="0"/>
        <w:spacing w:after="0"/>
        <w:jc w:val="left"/>
        <w:rPr>
          <w:rFonts w:cs="AdvPA183"/>
        </w:rPr>
      </w:pPr>
      <w:proofErr w:type="spellStart"/>
      <w:r w:rsidRPr="00C434D4">
        <w:rPr>
          <w:rFonts w:cs="AdvPA183"/>
        </w:rPr>
        <w:t>Grazi</w:t>
      </w:r>
      <w:proofErr w:type="spellEnd"/>
      <w:r w:rsidRPr="00C434D4">
        <w:rPr>
          <w:rFonts w:cs="AdvPA183"/>
        </w:rPr>
        <w:t xml:space="preserve"> F., van den Bergh J., van </w:t>
      </w:r>
      <w:proofErr w:type="spellStart"/>
      <w:r w:rsidRPr="00C434D4">
        <w:rPr>
          <w:rFonts w:cs="AdvPA183"/>
        </w:rPr>
        <w:t>Ommeren</w:t>
      </w:r>
      <w:proofErr w:type="spellEnd"/>
      <w:r w:rsidRPr="00C434D4">
        <w:rPr>
          <w:rFonts w:cs="AdvPA183"/>
        </w:rPr>
        <w:t xml:space="preserve"> J., 2008, </w:t>
      </w:r>
      <w:proofErr w:type="gramStart"/>
      <w:r w:rsidRPr="00C434D4">
        <w:rPr>
          <w:rFonts w:cs="AdvPA189"/>
        </w:rPr>
        <w:t>An</w:t>
      </w:r>
      <w:proofErr w:type="gramEnd"/>
      <w:r w:rsidRPr="00C434D4">
        <w:rPr>
          <w:rFonts w:cs="AdvPA189"/>
        </w:rPr>
        <w:t xml:space="preserve"> empirical analysis of urban form transport and global warming</w:t>
      </w:r>
      <w:r w:rsidRPr="00C434D4">
        <w:rPr>
          <w:rFonts w:cs="AdvPA183"/>
        </w:rPr>
        <w:t xml:space="preserve">. </w:t>
      </w:r>
      <w:r w:rsidRPr="00C434D4">
        <w:rPr>
          <w:rFonts w:cs="AdvPA186"/>
        </w:rPr>
        <w:t>Energy J.</w:t>
      </w:r>
      <w:r w:rsidRPr="00C434D4">
        <w:rPr>
          <w:rFonts w:cs="AdvPA189"/>
        </w:rPr>
        <w:t xml:space="preserve"> </w:t>
      </w:r>
      <w:r w:rsidRPr="00C434D4">
        <w:rPr>
          <w:rFonts w:cs="AdvPA183"/>
        </w:rPr>
        <w:t xml:space="preserve">2008, </w:t>
      </w:r>
      <w:r w:rsidRPr="00C434D4">
        <w:rPr>
          <w:rFonts w:cs="AdvPA189"/>
        </w:rPr>
        <w:t>29</w:t>
      </w:r>
      <w:r w:rsidRPr="00C434D4">
        <w:rPr>
          <w:rFonts w:cs="AdvPA183"/>
        </w:rPr>
        <w:t>:97-122</w:t>
      </w:r>
    </w:p>
    <w:p w:rsidR="00C434D4" w:rsidRPr="00C434D4" w:rsidRDefault="00C434D4" w:rsidP="00C434D4">
      <w:pPr>
        <w:autoSpaceDE w:val="0"/>
        <w:autoSpaceDN w:val="0"/>
        <w:adjustRightInd w:val="0"/>
        <w:spacing w:after="0"/>
        <w:jc w:val="left"/>
        <w:rPr>
          <w:rFonts w:cs="AdvPA189"/>
        </w:rPr>
      </w:pPr>
    </w:p>
    <w:p w:rsidR="004166E7" w:rsidRPr="006A5C17" w:rsidRDefault="004166E7" w:rsidP="003D3C09">
      <w:r w:rsidRPr="006A5C17">
        <w:t>Heyndrickx Christophe, Ivanova Olga, Van Steenbergen Alex, Witlox Frank, Hamaide Bertrand, 2009, Development of a spatio-ecological-economic model for Belgium</w:t>
      </w:r>
    </w:p>
    <w:p w:rsidR="00CA6969" w:rsidRPr="006A5C17" w:rsidRDefault="00CA6969" w:rsidP="003D3C09">
      <w:r w:rsidRPr="006A5C17">
        <w:t>Grous Alexander, 2011, The British cycling economy, ‘the gross cycling product’, LSE report.</w:t>
      </w:r>
    </w:p>
    <w:p w:rsidR="00C80A03" w:rsidRPr="006A5C17" w:rsidRDefault="00C80A03" w:rsidP="00C80A03">
      <w:pPr>
        <w:autoSpaceDE w:val="0"/>
        <w:autoSpaceDN w:val="0"/>
        <w:adjustRightInd w:val="0"/>
        <w:rPr>
          <w:rFonts w:eastAsia="Calibri" w:cs="TTdcr10"/>
          <w:lang w:eastAsia="en-GB"/>
        </w:rPr>
      </w:pPr>
      <w:proofErr w:type="gramStart"/>
      <w:r w:rsidRPr="006A5C17">
        <w:t>Hirte, Georg &amp; Tscharaktschiew, Stefan, 2011.</w:t>
      </w:r>
      <w:proofErr w:type="gramEnd"/>
      <w:r w:rsidRPr="006A5C17">
        <w:t xml:space="preserve"> "</w:t>
      </w:r>
      <w:r w:rsidRPr="006A5C17">
        <w:rPr>
          <w:bCs/>
        </w:rPr>
        <w:t>Income tax deduction of commuting expenses and tax funding in an urban CGE study: the case of German cities</w:t>
      </w:r>
      <w:r w:rsidRPr="006A5C17">
        <w:t>," Dresden Discussion Paper Series in Economics 02/11, Dresden University of Technology, Faculty of Business and Economics, Department of Economics</w:t>
      </w:r>
    </w:p>
    <w:p w:rsidR="003D3C09" w:rsidRPr="006A5C17" w:rsidRDefault="003D3C09" w:rsidP="003D3C09">
      <w:pPr>
        <w:rPr>
          <w:lang w:val="en-US"/>
        </w:rPr>
      </w:pPr>
      <w:r w:rsidRPr="006A5C17">
        <w:rPr>
          <w:lang w:val="nl-BE"/>
        </w:rPr>
        <w:t xml:space="preserve">Jansson, T., Bakker, M., Hasler, B., Helming, J., Kaae, B., Lemouël, P., Neye S., Ortiz, R., Nielsen, T.S., Verhoog, D., Verkerk, H., 2009. </w:t>
      </w:r>
      <w:proofErr w:type="gramStart"/>
      <w:r w:rsidRPr="006A5C17">
        <w:rPr>
          <w:lang w:val="en-US"/>
        </w:rPr>
        <w:t>The SIAT model chain.</w:t>
      </w:r>
      <w:proofErr w:type="gramEnd"/>
      <w:r w:rsidRPr="006A5C17">
        <w:rPr>
          <w:lang w:val="en-US"/>
        </w:rPr>
        <w:t xml:space="preserve"> </w:t>
      </w:r>
      <w:proofErr w:type="gramStart"/>
      <w:r w:rsidRPr="006A5C17">
        <w:rPr>
          <w:lang w:val="en-US"/>
        </w:rPr>
        <w:t>SENSOR report series 2009/2.</w:t>
      </w:r>
      <w:proofErr w:type="gramEnd"/>
      <w:r w:rsidRPr="006A5C17">
        <w:rPr>
          <w:lang w:val="en-US"/>
        </w:rPr>
        <w:t xml:space="preserve"> Leibniz-Centre for Agricultural Landsc</w:t>
      </w:r>
      <w:r w:rsidR="00AF7115" w:rsidRPr="006A5C17">
        <w:rPr>
          <w:lang w:val="en-US"/>
        </w:rPr>
        <w:t>ape Research (ZALF), Muncheberg</w:t>
      </w:r>
    </w:p>
    <w:p w:rsidR="00AF7115" w:rsidRPr="006A5C17" w:rsidRDefault="003F7A4C" w:rsidP="003D3C09">
      <w:pPr>
        <w:rPr>
          <w:lang w:val="en-US"/>
        </w:rPr>
      </w:pPr>
      <w:r>
        <w:rPr>
          <w:lang w:val="en-US"/>
        </w:rPr>
        <w:t xml:space="preserve">Jenkins Tim, 1997, </w:t>
      </w:r>
      <w:proofErr w:type="gramStart"/>
      <w:r w:rsidR="00AF7115" w:rsidRPr="006A5C17">
        <w:rPr>
          <w:lang w:val="en-US"/>
        </w:rPr>
        <w:t>Less</w:t>
      </w:r>
      <w:proofErr w:type="gramEnd"/>
      <w:r w:rsidR="00AF7115" w:rsidRPr="006A5C17">
        <w:rPr>
          <w:lang w:val="en-US"/>
        </w:rPr>
        <w:t xml:space="preserve"> traffic, more jobs. The direct employment impacts of a sustainable transpo</w:t>
      </w:r>
      <w:r>
        <w:rPr>
          <w:lang w:val="en-US"/>
        </w:rPr>
        <w:t>rt system in the United Kingdom</w:t>
      </w:r>
      <w:bookmarkStart w:id="73" w:name="_GoBack"/>
      <w:bookmarkEnd w:id="73"/>
      <w:r w:rsidR="00AF7115" w:rsidRPr="006A5C17">
        <w:rPr>
          <w:lang w:val="en-US"/>
        </w:rPr>
        <w:t>, Friends of The Earth trust.</w:t>
      </w:r>
    </w:p>
    <w:p w:rsidR="00B91CD0" w:rsidRDefault="00B91CD0" w:rsidP="00B91CD0">
      <w:r w:rsidRPr="006A5C17">
        <w:t xml:space="preserve">Leape Jonathan, 2006, The London congestion Charge, </w:t>
      </w:r>
      <w:r w:rsidRPr="006A5C17">
        <w:rPr>
          <w:iCs/>
        </w:rPr>
        <w:t>Journal of Economic Perspectives</w:t>
      </w:r>
      <w:r w:rsidRPr="006A5C17">
        <w:t>, Volume 20, No.4, Fall 2006, pp. 157-176</w:t>
      </w:r>
    </w:p>
    <w:p w:rsidR="0018327B" w:rsidRPr="00B5112A" w:rsidRDefault="0018327B" w:rsidP="00B91CD0">
      <w:pPr>
        <w:rPr>
          <w:iCs/>
        </w:rPr>
      </w:pPr>
      <w:proofErr w:type="gramStart"/>
      <w:r w:rsidRPr="006A5C17">
        <w:t>Leduc, Sylvain</w:t>
      </w:r>
      <w:r w:rsidR="007D1DB8">
        <w:t xml:space="preserve">, and Daniel J. Wilson, 2012, </w:t>
      </w:r>
      <w:r w:rsidRPr="006A5C17">
        <w:t>Roads to Prosperity or Bridges to Nowhere?</w:t>
      </w:r>
      <w:proofErr w:type="gramEnd"/>
      <w:r w:rsidRPr="006A5C17">
        <w:t xml:space="preserve"> Theory and Evidence on the Impact of Pu</w:t>
      </w:r>
      <w:r w:rsidR="007D1DB8">
        <w:t>blic Infrastructure Investment</w:t>
      </w:r>
      <w:proofErr w:type="gramStart"/>
      <w:r w:rsidR="007D1DB8">
        <w:t xml:space="preserve">, </w:t>
      </w:r>
      <w:r w:rsidRPr="006A5C17">
        <w:t xml:space="preserve"> </w:t>
      </w:r>
      <w:r w:rsidRPr="00B5112A">
        <w:rPr>
          <w:i/>
        </w:rPr>
        <w:t>N</w:t>
      </w:r>
      <w:r w:rsidRPr="00B5112A">
        <w:rPr>
          <w:rStyle w:val="Emphasis"/>
          <w:i w:val="0"/>
        </w:rPr>
        <w:t>BER</w:t>
      </w:r>
      <w:proofErr w:type="gramEnd"/>
      <w:r w:rsidRPr="00B5112A">
        <w:rPr>
          <w:rStyle w:val="Emphasis"/>
          <w:i w:val="0"/>
        </w:rPr>
        <w:t xml:space="preserve"> Macroeconomics Annual</w:t>
      </w:r>
      <w:r w:rsidRPr="00B5112A">
        <w:rPr>
          <w:i/>
        </w:rPr>
        <w:t xml:space="preserve"> </w:t>
      </w:r>
      <w:r w:rsidRPr="00B5112A">
        <w:rPr>
          <w:rStyle w:val="Emphasis"/>
          <w:i w:val="0"/>
        </w:rPr>
        <w:t>2012</w:t>
      </w:r>
    </w:p>
    <w:p w:rsidR="00FB33C3" w:rsidRDefault="00FB33C3" w:rsidP="00B91CD0">
      <w:proofErr w:type="spellStart"/>
      <w:r w:rsidRPr="006A5C17">
        <w:t>Litman</w:t>
      </w:r>
      <w:proofErr w:type="spellEnd"/>
      <w:r w:rsidRPr="006A5C17">
        <w:t xml:space="preserve"> Todd, 2013, Generated traffic and induced travel: implication for transport planing, Victoria Transport Policy Institute</w:t>
      </w:r>
    </w:p>
    <w:p w:rsidR="0018327B" w:rsidRDefault="007D1DB8" w:rsidP="00B91CD0">
      <w:proofErr w:type="spellStart"/>
      <w:r>
        <w:rPr>
          <w:lang w:val="nl-BE"/>
        </w:rPr>
        <w:t>Macharis</w:t>
      </w:r>
      <w:proofErr w:type="spellEnd"/>
      <w:r>
        <w:rPr>
          <w:lang w:val="nl-BE"/>
        </w:rPr>
        <w:t xml:space="preserve">, C. </w:t>
      </w:r>
      <w:proofErr w:type="spellStart"/>
      <w:proofErr w:type="gramStart"/>
      <w:r>
        <w:rPr>
          <w:lang w:val="nl-BE"/>
        </w:rPr>
        <w:t>ea</w:t>
      </w:r>
      <w:proofErr w:type="spellEnd"/>
      <w:r>
        <w:rPr>
          <w:lang w:val="nl-BE"/>
        </w:rPr>
        <w:t xml:space="preserve"> ,</w:t>
      </w:r>
      <w:proofErr w:type="gramEnd"/>
      <w:r>
        <w:rPr>
          <w:lang w:val="nl-BE"/>
        </w:rPr>
        <w:t>2011</w:t>
      </w:r>
      <w:r w:rsidR="0018327B" w:rsidRPr="006A5C17">
        <w:rPr>
          <w:lang w:val="nl-BE"/>
        </w:rPr>
        <w:t xml:space="preserve">, </w:t>
      </w:r>
      <w:proofErr w:type="spellStart"/>
      <w:r w:rsidR="0018327B" w:rsidRPr="006A5C17">
        <w:rPr>
          <w:lang w:val="nl-BE"/>
        </w:rPr>
        <w:t>Telework</w:t>
      </w:r>
      <w:proofErr w:type="spellEnd"/>
      <w:r w:rsidR="0018327B" w:rsidRPr="006A5C17">
        <w:rPr>
          <w:lang w:val="nl-BE"/>
        </w:rPr>
        <w:t xml:space="preserve">. Studie betreffende de milieu-, de mobiliteits- en de socio-economische impact van het telewerken in grote bedrijven in het Brussels Hoofdstedelijk Gewest. </w:t>
      </w:r>
      <w:proofErr w:type="spellStart"/>
      <w:proofErr w:type="gramStart"/>
      <w:r w:rsidR="0018327B" w:rsidRPr="006A5C17">
        <w:t>Eindrapport</w:t>
      </w:r>
      <w:proofErr w:type="spellEnd"/>
      <w:r w:rsidR="0018327B" w:rsidRPr="006A5C17">
        <w:t>.</w:t>
      </w:r>
      <w:proofErr w:type="gramEnd"/>
      <w:r w:rsidR="0018327B" w:rsidRPr="006A5C17">
        <w:t xml:space="preserve"> In </w:t>
      </w:r>
      <w:proofErr w:type="spellStart"/>
      <w:r w:rsidR="0018327B" w:rsidRPr="006A5C17">
        <w:t>opdracht</w:t>
      </w:r>
      <w:proofErr w:type="spellEnd"/>
      <w:r w:rsidR="0018327B" w:rsidRPr="006A5C17">
        <w:t xml:space="preserve"> van </w:t>
      </w:r>
      <w:proofErr w:type="spellStart"/>
      <w:r w:rsidR="0018327B" w:rsidRPr="006A5C17">
        <w:t>Brussel</w:t>
      </w:r>
      <w:proofErr w:type="spellEnd"/>
      <w:r w:rsidR="0018327B" w:rsidRPr="006A5C17">
        <w:t xml:space="preserve"> </w:t>
      </w:r>
      <w:proofErr w:type="spellStart"/>
      <w:r w:rsidR="0018327B" w:rsidRPr="006A5C17">
        <w:t>Leefmilieu</w:t>
      </w:r>
      <w:proofErr w:type="spellEnd"/>
      <w:r w:rsidR="0018327B" w:rsidRPr="006A5C17">
        <w:t xml:space="preserve"> [translation from Dutch: ‘Study concerning the mobility and socio-economic impact of teleworking in large firms in Brussels’ Final report. Commissioned by </w:t>
      </w:r>
      <w:proofErr w:type="spellStart"/>
      <w:r w:rsidR="0018327B" w:rsidRPr="006A5C17">
        <w:t>Brussel</w:t>
      </w:r>
      <w:proofErr w:type="spellEnd"/>
      <w:r w:rsidR="0018327B" w:rsidRPr="006A5C17">
        <w:t xml:space="preserve"> </w:t>
      </w:r>
      <w:proofErr w:type="spellStart"/>
      <w:r w:rsidR="0018327B" w:rsidRPr="006A5C17">
        <w:t>Leefmilieu</w:t>
      </w:r>
      <w:proofErr w:type="spellEnd"/>
      <w:r w:rsidR="0018327B" w:rsidRPr="006A5C17">
        <w:t>]</w:t>
      </w:r>
    </w:p>
    <w:p w:rsidR="002B2EC5" w:rsidRDefault="002B2EC5" w:rsidP="002B2EC5">
      <w:pPr>
        <w:autoSpaceDE w:val="0"/>
        <w:autoSpaceDN w:val="0"/>
        <w:adjustRightInd w:val="0"/>
        <w:spacing w:after="0"/>
        <w:jc w:val="left"/>
        <w:rPr>
          <w:rFonts w:cs="AdvPA183"/>
        </w:rPr>
      </w:pPr>
      <w:r>
        <w:rPr>
          <w:rFonts w:cs="AdvPA183"/>
        </w:rPr>
        <w:lastRenderedPageBreak/>
        <w:t xml:space="preserve">Marshall JD, 2008, </w:t>
      </w:r>
      <w:r w:rsidRPr="002B2EC5">
        <w:rPr>
          <w:rFonts w:cs="AdvPA189"/>
        </w:rPr>
        <w:t>Energy-efficient urban form</w:t>
      </w:r>
      <w:r w:rsidR="007D1DB8">
        <w:rPr>
          <w:rFonts w:cs="AdvPA183"/>
        </w:rPr>
        <w:t xml:space="preserve">, </w:t>
      </w:r>
      <w:r w:rsidRPr="002B2EC5">
        <w:rPr>
          <w:rFonts w:cs="AdvPA186"/>
        </w:rPr>
        <w:t xml:space="preserve">Environ </w:t>
      </w:r>
      <w:proofErr w:type="spellStart"/>
      <w:r w:rsidRPr="002B2EC5">
        <w:rPr>
          <w:rFonts w:cs="AdvPA186"/>
        </w:rPr>
        <w:t>Sci</w:t>
      </w:r>
      <w:proofErr w:type="spellEnd"/>
      <w:r w:rsidRPr="002B2EC5">
        <w:rPr>
          <w:rFonts w:cs="AdvPA186"/>
        </w:rPr>
        <w:t xml:space="preserve"> </w:t>
      </w:r>
      <w:proofErr w:type="spellStart"/>
      <w:r w:rsidRPr="002B2EC5">
        <w:rPr>
          <w:rFonts w:cs="AdvPA186"/>
        </w:rPr>
        <w:t>Technol</w:t>
      </w:r>
      <w:proofErr w:type="spellEnd"/>
      <w:r w:rsidRPr="002B2EC5">
        <w:rPr>
          <w:rFonts w:cs="AdvPA183"/>
        </w:rPr>
        <w:t xml:space="preserve">, </w:t>
      </w:r>
      <w:r w:rsidRPr="002B2EC5">
        <w:rPr>
          <w:rFonts w:cs="AdvPA189"/>
        </w:rPr>
        <w:t>42</w:t>
      </w:r>
      <w:r>
        <w:rPr>
          <w:rFonts w:cs="AdvPA183"/>
        </w:rPr>
        <w:t>:3133-3137</w:t>
      </w:r>
    </w:p>
    <w:p w:rsidR="00990E5E" w:rsidRDefault="00990E5E" w:rsidP="002B2EC5">
      <w:pPr>
        <w:autoSpaceDE w:val="0"/>
        <w:autoSpaceDN w:val="0"/>
        <w:adjustRightInd w:val="0"/>
        <w:spacing w:after="0"/>
        <w:jc w:val="left"/>
        <w:rPr>
          <w:rFonts w:cs="AdvPA183"/>
        </w:rPr>
      </w:pPr>
    </w:p>
    <w:p w:rsidR="00376B5B" w:rsidRPr="00990E5E" w:rsidRDefault="00990E5E" w:rsidP="00376B5B">
      <w:pPr>
        <w:autoSpaceDE w:val="0"/>
        <w:autoSpaceDN w:val="0"/>
        <w:adjustRightInd w:val="0"/>
        <w:spacing w:after="0"/>
        <w:rPr>
          <w:rFonts w:cs="AdvPA183"/>
        </w:rPr>
      </w:pPr>
      <w:r w:rsidRPr="00990E5E">
        <w:rPr>
          <w:rFonts w:cs="AdvPA183"/>
        </w:rPr>
        <w:t xml:space="preserve">Meijer Frits, Visscher Henk, </w:t>
      </w:r>
      <w:proofErr w:type="spellStart"/>
      <w:r w:rsidRPr="00990E5E">
        <w:rPr>
          <w:rFonts w:cs="AdvPA183"/>
        </w:rPr>
        <w:t>Nieboer</w:t>
      </w:r>
      <w:proofErr w:type="spellEnd"/>
      <w:r w:rsidRPr="00990E5E">
        <w:rPr>
          <w:rFonts w:cs="AdvPA183"/>
        </w:rPr>
        <w:t xml:space="preserve"> </w:t>
      </w:r>
      <w:proofErr w:type="spellStart"/>
      <w:r w:rsidRPr="00990E5E">
        <w:rPr>
          <w:rFonts w:cs="AdvPA183"/>
        </w:rPr>
        <w:t>Nico</w:t>
      </w:r>
      <w:proofErr w:type="spellEnd"/>
      <w:r w:rsidRPr="00990E5E">
        <w:rPr>
          <w:rFonts w:cs="AdvPA183"/>
        </w:rPr>
        <w:t xml:space="preserve">, </w:t>
      </w:r>
      <w:proofErr w:type="spellStart"/>
      <w:r w:rsidRPr="00990E5E">
        <w:rPr>
          <w:rFonts w:cs="AdvPA183"/>
        </w:rPr>
        <w:t>Kroese</w:t>
      </w:r>
      <w:proofErr w:type="spellEnd"/>
      <w:r w:rsidRPr="00990E5E">
        <w:rPr>
          <w:rFonts w:cs="AdvPA183"/>
        </w:rPr>
        <w:t xml:space="preserve"> Robert, 2012, Job creation through energy renovation of the housing stock, NEUJOBS working paper D14.2</w:t>
      </w:r>
    </w:p>
    <w:p w:rsidR="00990E5E" w:rsidRPr="00990E5E" w:rsidRDefault="00990E5E" w:rsidP="00376B5B">
      <w:pPr>
        <w:autoSpaceDE w:val="0"/>
        <w:autoSpaceDN w:val="0"/>
        <w:adjustRightInd w:val="0"/>
        <w:spacing w:after="0"/>
        <w:rPr>
          <w:rFonts w:cs="AdvPA183"/>
        </w:rPr>
      </w:pPr>
    </w:p>
    <w:p w:rsidR="004C626B" w:rsidRPr="006A5C17" w:rsidRDefault="004C626B" w:rsidP="004C626B">
      <w:pPr>
        <w:autoSpaceDE w:val="0"/>
        <w:autoSpaceDN w:val="0"/>
        <w:adjustRightInd w:val="0"/>
        <w:spacing w:after="0"/>
        <w:jc w:val="left"/>
        <w:rPr>
          <w:rFonts w:cs="Times-Bold"/>
          <w:bCs/>
        </w:rPr>
      </w:pPr>
      <w:proofErr w:type="spellStart"/>
      <w:r w:rsidRPr="006A5C17">
        <w:rPr>
          <w:rFonts w:cs="Times-Roman"/>
        </w:rPr>
        <w:t>Myung</w:t>
      </w:r>
      <w:proofErr w:type="spellEnd"/>
      <w:r w:rsidRPr="006A5C17">
        <w:rPr>
          <w:rFonts w:cs="Times-Roman"/>
        </w:rPr>
        <w:t xml:space="preserve">-Jin Jun, 2004, </w:t>
      </w:r>
      <w:r w:rsidRPr="006A5C17">
        <w:rPr>
          <w:rFonts w:cs="Times-Bold"/>
          <w:bCs/>
        </w:rPr>
        <w:t xml:space="preserve">The Effects of Portland’s Urban Growth Boundary on Urban Development Patterns and Commuting, </w:t>
      </w:r>
      <w:r w:rsidRPr="006A5C17">
        <w:rPr>
          <w:rFonts w:cs="Times-Italic"/>
          <w:iCs/>
        </w:rPr>
        <w:t>Urban Studies, Vol. 41, No. 7, 1333–1348, June 2004</w:t>
      </w:r>
    </w:p>
    <w:p w:rsidR="004C626B" w:rsidRDefault="004C626B" w:rsidP="004C626B">
      <w:pPr>
        <w:autoSpaceDE w:val="0"/>
        <w:autoSpaceDN w:val="0"/>
        <w:adjustRightInd w:val="0"/>
        <w:spacing w:after="0"/>
        <w:jc w:val="left"/>
        <w:rPr>
          <w:rFonts w:cs="Times-Bold"/>
          <w:bCs/>
        </w:rPr>
      </w:pPr>
    </w:p>
    <w:p w:rsidR="00433845" w:rsidRDefault="00433845" w:rsidP="00433845">
      <w:pPr>
        <w:autoSpaceDE w:val="0"/>
        <w:autoSpaceDN w:val="0"/>
        <w:adjustRightInd w:val="0"/>
        <w:spacing w:after="0"/>
        <w:rPr>
          <w:rFonts w:cs="Times-Bold"/>
          <w:bCs/>
        </w:rPr>
      </w:pPr>
      <w:proofErr w:type="spellStart"/>
      <w:r w:rsidRPr="007D1DB8">
        <w:t>Novaco</w:t>
      </w:r>
      <w:proofErr w:type="spellEnd"/>
      <w:r w:rsidRPr="007D1DB8">
        <w:t xml:space="preserve">, R. W., &amp; </w:t>
      </w:r>
      <w:r w:rsidR="007D1DB8" w:rsidRPr="007D1DB8">
        <w:t xml:space="preserve">Gonzalez, </w:t>
      </w:r>
      <w:proofErr w:type="gramStart"/>
      <w:r w:rsidR="007D1DB8" w:rsidRPr="007D1DB8">
        <w:t>O. ,2009</w:t>
      </w:r>
      <w:proofErr w:type="gramEnd"/>
      <w:r w:rsidR="007D1DB8" w:rsidRPr="007D1DB8">
        <w:t>,</w:t>
      </w:r>
      <w:r w:rsidRPr="007D1DB8">
        <w:t xml:space="preserve">  </w:t>
      </w:r>
      <w:r>
        <w:t xml:space="preserve">Commuting and well-being.  </w:t>
      </w:r>
      <w:proofErr w:type="gramStart"/>
      <w:r>
        <w:t xml:space="preserve">In Y. </w:t>
      </w:r>
      <w:proofErr w:type="spellStart"/>
      <w:r>
        <w:t>Amichai</w:t>
      </w:r>
      <w:proofErr w:type="spellEnd"/>
      <w:r>
        <w:t>-Hamburger (Ed).</w:t>
      </w:r>
      <w:proofErr w:type="gramEnd"/>
      <w:r>
        <w:t xml:space="preserve"> </w:t>
      </w:r>
      <w:proofErr w:type="gramStart"/>
      <w:r w:rsidRPr="00433845">
        <w:rPr>
          <w:rStyle w:val="Emphasis"/>
          <w:i w:val="0"/>
        </w:rPr>
        <w:t>Technology and well-being</w:t>
      </w:r>
      <w:r>
        <w:t xml:space="preserve"> (pp. 174-205).</w:t>
      </w:r>
      <w:proofErr w:type="gramEnd"/>
      <w:r>
        <w:t xml:space="preserve"> Cambridge: Cambridge University</w:t>
      </w:r>
      <w:proofErr w:type="gramStart"/>
      <w:r>
        <w:t>  Press</w:t>
      </w:r>
      <w:proofErr w:type="gramEnd"/>
      <w:r>
        <w:t>.</w:t>
      </w:r>
    </w:p>
    <w:p w:rsidR="00433845" w:rsidRPr="006A5C17" w:rsidRDefault="00433845" w:rsidP="004C626B">
      <w:pPr>
        <w:autoSpaceDE w:val="0"/>
        <w:autoSpaceDN w:val="0"/>
        <w:adjustRightInd w:val="0"/>
        <w:spacing w:after="0"/>
        <w:jc w:val="left"/>
        <w:rPr>
          <w:rFonts w:cs="Times-Bold"/>
          <w:bCs/>
        </w:rPr>
      </w:pPr>
    </w:p>
    <w:p w:rsidR="004D5E1A" w:rsidRPr="006A5C17" w:rsidRDefault="004D5E1A" w:rsidP="003D3C09">
      <w:pPr>
        <w:rPr>
          <w:lang w:val="en-US"/>
        </w:rPr>
      </w:pPr>
      <w:r w:rsidRPr="006A5C17">
        <w:t>Percocco M., 2012, Preliminary findings on the impact of the Ecopass system on the housing market, working paper</w:t>
      </w:r>
    </w:p>
    <w:p w:rsidR="003D3C09" w:rsidRPr="006A5C17" w:rsidRDefault="003D3C09" w:rsidP="003D3C09">
      <w:pPr>
        <w:rPr>
          <w:lang w:val="en-US" w:eastAsia="nl-BE"/>
        </w:rPr>
      </w:pPr>
      <w:r w:rsidRPr="006A5C17">
        <w:rPr>
          <w:lang w:val="en-US" w:eastAsia="nl-BE"/>
        </w:rPr>
        <w:t xml:space="preserve">Piorr, A., Ravetz, J., </w:t>
      </w:r>
      <w:proofErr w:type="gramStart"/>
      <w:r w:rsidRPr="006A5C17">
        <w:rPr>
          <w:lang w:val="en-US" w:eastAsia="nl-BE"/>
        </w:rPr>
        <w:t>Tosics ,</w:t>
      </w:r>
      <w:proofErr w:type="gramEnd"/>
      <w:r w:rsidRPr="006A5C17">
        <w:rPr>
          <w:lang w:val="en-US" w:eastAsia="nl-BE"/>
        </w:rPr>
        <w:t xml:space="preserve"> I., 2011. </w:t>
      </w:r>
      <w:proofErr w:type="gramStart"/>
      <w:r w:rsidRPr="006A5C17">
        <w:rPr>
          <w:lang w:val="en-US" w:eastAsia="nl-BE"/>
        </w:rPr>
        <w:t>Peri-urbanisation in Europe: Towards European policies to sustain Urban Rural Futures.</w:t>
      </w:r>
      <w:proofErr w:type="gramEnd"/>
      <w:r w:rsidRPr="006A5C17">
        <w:rPr>
          <w:lang w:val="en-US" w:eastAsia="nl-BE"/>
        </w:rPr>
        <w:t xml:space="preserve"> Publisher: University of Copenhagen/Academic Books Life Sciences (ISSN: 978-87-7903-535-5) </w:t>
      </w:r>
    </w:p>
    <w:p w:rsidR="00752473" w:rsidRPr="006A5C17" w:rsidRDefault="00752473" w:rsidP="003D3C09">
      <w:pPr>
        <w:rPr>
          <w:lang w:val="en-US" w:eastAsia="nl-BE"/>
        </w:rPr>
      </w:pPr>
      <w:proofErr w:type="spellStart"/>
      <w:r w:rsidRPr="006A5C17">
        <w:rPr>
          <w:lang w:val="en-US" w:eastAsia="nl-BE"/>
        </w:rPr>
        <w:t>Rabl</w:t>
      </w:r>
      <w:proofErr w:type="spellEnd"/>
      <w:r w:rsidRPr="006A5C17">
        <w:rPr>
          <w:lang w:val="en-US" w:eastAsia="nl-BE"/>
        </w:rPr>
        <w:t xml:space="preserve"> Ari, de </w:t>
      </w:r>
      <w:proofErr w:type="spellStart"/>
      <w:r w:rsidRPr="006A5C17">
        <w:rPr>
          <w:lang w:val="en-US" w:eastAsia="nl-BE"/>
        </w:rPr>
        <w:t>Nazelle</w:t>
      </w:r>
      <w:proofErr w:type="spellEnd"/>
      <w:r w:rsidRPr="006A5C17">
        <w:rPr>
          <w:lang w:val="en-US" w:eastAsia="nl-BE"/>
        </w:rPr>
        <w:t xml:space="preserve"> Audrey, 2012, Benefits of shift from car to active transport, Transport policy 19 (2012) 121-131</w:t>
      </w:r>
    </w:p>
    <w:p w:rsidR="005C6BB5" w:rsidRPr="006A5C17" w:rsidRDefault="005C6BB5" w:rsidP="005C6BB5">
      <w:r w:rsidRPr="006A5C17">
        <w:t xml:space="preserve">Riccardo AEA, 2013, </w:t>
      </w:r>
      <w:proofErr w:type="gramStart"/>
      <w:r w:rsidRPr="006A5C17">
        <w:t>An</w:t>
      </w:r>
      <w:proofErr w:type="gramEnd"/>
      <w:r w:rsidRPr="006A5C17">
        <w:t xml:space="preserve"> economic assessment of low carbon vehicles</w:t>
      </w:r>
    </w:p>
    <w:p w:rsidR="005C6BB5" w:rsidRPr="006A5C17" w:rsidRDefault="007D1DB8" w:rsidP="003D3C09">
      <w:proofErr w:type="spellStart"/>
      <w:r>
        <w:t>Rietveld</w:t>
      </w:r>
      <w:proofErr w:type="spellEnd"/>
      <w:r>
        <w:t xml:space="preserve"> </w:t>
      </w:r>
      <w:proofErr w:type="gramStart"/>
      <w:r>
        <w:t>P. ,2011</w:t>
      </w:r>
      <w:proofErr w:type="gramEnd"/>
      <w:r w:rsidR="005C6BB5" w:rsidRPr="006A5C17">
        <w:t>, Telework and the transition to lower energy use in transport: On the relevance of rebound effects; Environmental Innovation and Societal Transitions 1, 146-151</w:t>
      </w:r>
    </w:p>
    <w:p w:rsidR="007D45E7" w:rsidRPr="006A5C17" w:rsidRDefault="007D45E7" w:rsidP="003D3C09">
      <w:r w:rsidRPr="006A5C17">
        <w:t xml:space="preserve">Roland-Holst D., 2008, Energy Efficiency, Innovation and Job Creation, </w:t>
      </w:r>
      <w:proofErr w:type="spellStart"/>
      <w:r w:rsidRPr="006A5C17">
        <w:t>Center</w:t>
      </w:r>
      <w:proofErr w:type="spellEnd"/>
      <w:r w:rsidRPr="006A5C17">
        <w:t xml:space="preserve"> for Energy, Resources and Economic Sustainability (CERES)</w:t>
      </w:r>
    </w:p>
    <w:p w:rsidR="00642EB8" w:rsidRDefault="00642EB8" w:rsidP="003D3C09">
      <w:pPr>
        <w:rPr>
          <w:rStyle w:val="st"/>
        </w:rPr>
      </w:pPr>
      <w:proofErr w:type="gramStart"/>
      <w:r w:rsidRPr="006A5C17">
        <w:rPr>
          <w:rStyle w:val="Emphasis"/>
          <w:i w:val="0"/>
        </w:rPr>
        <w:t>Rhee</w:t>
      </w:r>
      <w:r w:rsidRPr="006A5C17">
        <w:rPr>
          <w:rStyle w:val="st"/>
          <w:i/>
        </w:rPr>
        <w:t>,</w:t>
      </w:r>
      <w:r w:rsidRPr="006A5C17">
        <w:rPr>
          <w:rStyle w:val="st"/>
        </w:rPr>
        <w:t xml:space="preserve"> </w:t>
      </w:r>
      <w:proofErr w:type="spellStart"/>
      <w:r w:rsidRPr="006A5C17">
        <w:rPr>
          <w:rStyle w:val="st"/>
        </w:rPr>
        <w:t>Hyok-Joo</w:t>
      </w:r>
      <w:proofErr w:type="spellEnd"/>
      <w:r w:rsidRPr="006A5C17">
        <w:rPr>
          <w:rStyle w:val="st"/>
          <w:i/>
        </w:rPr>
        <w:t>.</w:t>
      </w:r>
      <w:proofErr w:type="gramEnd"/>
      <w:r w:rsidRPr="006A5C17">
        <w:rPr>
          <w:rStyle w:val="st"/>
          <w:i/>
        </w:rPr>
        <w:t xml:space="preserve"> </w:t>
      </w:r>
      <w:r w:rsidRPr="006A5C17">
        <w:rPr>
          <w:rStyle w:val="Emphasis"/>
          <w:i w:val="0"/>
        </w:rPr>
        <w:t>2009</w:t>
      </w:r>
      <w:r w:rsidRPr="006A5C17">
        <w:rPr>
          <w:rStyle w:val="st"/>
          <w:i/>
        </w:rPr>
        <w:t xml:space="preserve">. </w:t>
      </w:r>
      <w:r w:rsidRPr="006A5C17">
        <w:rPr>
          <w:rStyle w:val="Emphasis"/>
          <w:i w:val="0"/>
        </w:rPr>
        <w:t>Telecommuting</w:t>
      </w:r>
      <w:r w:rsidRPr="006A5C17">
        <w:rPr>
          <w:rStyle w:val="st"/>
          <w:i/>
        </w:rPr>
        <w:t xml:space="preserve"> </w:t>
      </w:r>
      <w:r w:rsidRPr="006A5C17">
        <w:rPr>
          <w:rStyle w:val="st"/>
        </w:rPr>
        <w:t>and</w:t>
      </w:r>
      <w:r w:rsidRPr="006A5C17">
        <w:rPr>
          <w:rStyle w:val="st"/>
          <w:i/>
        </w:rPr>
        <w:t xml:space="preserve"> </w:t>
      </w:r>
      <w:r w:rsidRPr="006A5C17">
        <w:rPr>
          <w:rStyle w:val="Emphasis"/>
          <w:i w:val="0"/>
        </w:rPr>
        <w:t>urban sprawl</w:t>
      </w:r>
      <w:r w:rsidRPr="006A5C17">
        <w:rPr>
          <w:rStyle w:val="st"/>
          <w:i/>
        </w:rPr>
        <w:t>.</w:t>
      </w:r>
      <w:r w:rsidRPr="006A5C17">
        <w:rPr>
          <w:rStyle w:val="st"/>
        </w:rPr>
        <w:t xml:space="preserve"> Transportation Research Part D 14: 453-. 460.</w:t>
      </w:r>
    </w:p>
    <w:p w:rsidR="007D1DB8" w:rsidRPr="006A5C17" w:rsidRDefault="007D1DB8" w:rsidP="003D3C09">
      <w:proofErr w:type="spellStart"/>
      <w:r>
        <w:rPr>
          <w:rStyle w:val="st"/>
        </w:rPr>
        <w:t>Sandow</w:t>
      </w:r>
      <w:proofErr w:type="spellEnd"/>
      <w:r>
        <w:rPr>
          <w:rStyle w:val="st"/>
        </w:rPr>
        <w:t xml:space="preserve"> Erika, 2013, </w:t>
      </w:r>
      <w:proofErr w:type="gramStart"/>
      <w:r>
        <w:rPr>
          <w:rStyle w:val="st"/>
        </w:rPr>
        <w:t>Till</w:t>
      </w:r>
      <w:proofErr w:type="gramEnd"/>
      <w:r>
        <w:rPr>
          <w:rStyle w:val="st"/>
        </w:rPr>
        <w:t xml:space="preserve"> work do us part: the social fallacy of long-distance commuting, Journal of Urban studies, </w:t>
      </w:r>
      <w:proofErr w:type="spellStart"/>
      <w:r>
        <w:rPr>
          <w:rStyle w:val="slug-metadata-note"/>
        </w:rPr>
        <w:t>doi</w:t>
      </w:r>
      <w:proofErr w:type="spellEnd"/>
      <w:r>
        <w:rPr>
          <w:rStyle w:val="slug-metadata-note"/>
        </w:rPr>
        <w:t xml:space="preserve">: </w:t>
      </w:r>
      <w:r>
        <w:rPr>
          <w:rStyle w:val="slug-doi"/>
        </w:rPr>
        <w:t>10.1177/0042098013498280</w:t>
      </w:r>
    </w:p>
    <w:p w:rsidR="00215E54" w:rsidRPr="006A5C17" w:rsidRDefault="007D1DB8" w:rsidP="00215E54">
      <w:pPr>
        <w:autoSpaceDE w:val="0"/>
        <w:autoSpaceDN w:val="0"/>
        <w:adjustRightInd w:val="0"/>
        <w:spacing w:after="0"/>
        <w:jc w:val="left"/>
        <w:rPr>
          <w:rFonts w:cs="TimesNewRoman"/>
        </w:rPr>
      </w:pPr>
      <w:r>
        <w:rPr>
          <w:rFonts w:cs="TimesNewRoman"/>
        </w:rPr>
        <w:t>Santos G</w:t>
      </w:r>
      <w:proofErr w:type="gramStart"/>
      <w:r>
        <w:rPr>
          <w:rFonts w:cs="TimesNewRoman"/>
        </w:rPr>
        <w:t>. ,</w:t>
      </w:r>
      <w:proofErr w:type="gramEnd"/>
      <w:r>
        <w:rPr>
          <w:rFonts w:cs="TimesNewRoman"/>
        </w:rPr>
        <w:t xml:space="preserve"> 2008, </w:t>
      </w:r>
      <w:r w:rsidR="00215E54" w:rsidRPr="006A5C17">
        <w:rPr>
          <w:rFonts w:cs="TimesNewRoman"/>
        </w:rPr>
        <w:t xml:space="preserve">The London experience. </w:t>
      </w:r>
      <w:r w:rsidR="00215E54" w:rsidRPr="006A5C17">
        <w:rPr>
          <w:rFonts w:cs="TimesNewRoman"/>
          <w:lang w:val="nl-BE"/>
        </w:rPr>
        <w:t xml:space="preserve">In: Verhoef E. [et al.] </w:t>
      </w:r>
      <w:r w:rsidR="00215E54" w:rsidRPr="006A5C17">
        <w:rPr>
          <w:rFonts w:cs="TimesNewRoman"/>
        </w:rPr>
        <w:t>(</w:t>
      </w:r>
      <w:proofErr w:type="spellStart"/>
      <w:proofErr w:type="gramStart"/>
      <w:r w:rsidR="00215E54" w:rsidRPr="006A5C17">
        <w:rPr>
          <w:rFonts w:cs="TimesNewRoman"/>
        </w:rPr>
        <w:t>eds</w:t>
      </w:r>
      <w:proofErr w:type="spellEnd"/>
      <w:proofErr w:type="gramEnd"/>
      <w:r w:rsidR="00215E54" w:rsidRPr="006A5C17">
        <w:rPr>
          <w:rFonts w:cs="TimesNewRoman"/>
        </w:rPr>
        <w:t xml:space="preserve">) </w:t>
      </w:r>
      <w:proofErr w:type="gramStart"/>
      <w:r w:rsidR="00215E54" w:rsidRPr="006A5C17">
        <w:rPr>
          <w:rFonts w:cs="TimesNewRoman,Italic"/>
          <w:iCs/>
        </w:rPr>
        <w:t>Pricing in road transport: a multi-disciplinary perspective</w:t>
      </w:r>
      <w:r w:rsidR="00215E54" w:rsidRPr="006A5C17">
        <w:rPr>
          <w:rFonts w:cs="TimesNewRoman"/>
        </w:rPr>
        <w:t>.</w:t>
      </w:r>
      <w:proofErr w:type="gramEnd"/>
      <w:r w:rsidR="00215E54" w:rsidRPr="006A5C17">
        <w:rPr>
          <w:rFonts w:cs="TimesNewRoman"/>
        </w:rPr>
        <w:t xml:space="preserve"> Cheltenham: Edward Elgar, 273-292</w:t>
      </w:r>
    </w:p>
    <w:p w:rsidR="00215E54" w:rsidRPr="006A5C17" w:rsidRDefault="00215E54" w:rsidP="00215E54">
      <w:pPr>
        <w:autoSpaceDE w:val="0"/>
        <w:autoSpaceDN w:val="0"/>
        <w:adjustRightInd w:val="0"/>
        <w:spacing w:after="0"/>
        <w:jc w:val="left"/>
        <w:rPr>
          <w:rFonts w:cs="TimesNewRoman,Italic"/>
          <w:iCs/>
        </w:rPr>
      </w:pPr>
    </w:p>
    <w:p w:rsidR="003D3C09" w:rsidRPr="006A5C17" w:rsidRDefault="003D3C09" w:rsidP="003D3C09">
      <w:pPr>
        <w:rPr>
          <w:lang w:val="en-US"/>
        </w:rPr>
      </w:pPr>
      <w:proofErr w:type="spellStart"/>
      <w:r w:rsidRPr="006A5C17">
        <w:rPr>
          <w:lang w:val="en-US"/>
        </w:rPr>
        <w:t>Sessa</w:t>
      </w:r>
      <w:proofErr w:type="spellEnd"/>
      <w:r w:rsidRPr="006A5C17">
        <w:rPr>
          <w:lang w:val="en-US"/>
        </w:rPr>
        <w:t xml:space="preserve">, C. &amp; </w:t>
      </w:r>
      <w:proofErr w:type="spellStart"/>
      <w:r w:rsidRPr="006A5C17">
        <w:rPr>
          <w:lang w:val="en-US"/>
        </w:rPr>
        <w:t>Enei</w:t>
      </w:r>
      <w:proofErr w:type="spellEnd"/>
      <w:r w:rsidRPr="006A5C17">
        <w:rPr>
          <w:lang w:val="en-US"/>
        </w:rPr>
        <w:t>, R., 2009</w:t>
      </w:r>
      <w:r w:rsidR="007D1DB8">
        <w:rPr>
          <w:i/>
          <w:lang w:val="en-US"/>
        </w:rPr>
        <w:t xml:space="preserve">, </w:t>
      </w:r>
      <w:r w:rsidRPr="006A5C17">
        <w:t>EU transport demand: Trends and drivers.</w:t>
      </w:r>
      <w:r w:rsidRPr="006A5C17">
        <w:rPr>
          <w:rFonts w:cs="Helvetica-Oblique"/>
          <w:i/>
          <w:iCs/>
          <w:lang w:val="en-US"/>
        </w:rPr>
        <w:t xml:space="preserve"> </w:t>
      </w:r>
      <w:r w:rsidRPr="006A5C17">
        <w:rPr>
          <w:lang w:val="en-US"/>
        </w:rPr>
        <w:t>ISIS, paper produced for European Commission Directorate-General Environment.</w:t>
      </w:r>
    </w:p>
    <w:p w:rsidR="00B91CD0" w:rsidRPr="006A5C17" w:rsidRDefault="00B91CD0" w:rsidP="00B91CD0">
      <w:pPr>
        <w:autoSpaceDE w:val="0"/>
        <w:autoSpaceDN w:val="0"/>
        <w:adjustRightInd w:val="0"/>
        <w:spacing w:after="0"/>
        <w:rPr>
          <w:rFonts w:cs="Helvetica"/>
        </w:rPr>
      </w:pPr>
      <w:proofErr w:type="spellStart"/>
      <w:r w:rsidRPr="006A5C17">
        <w:rPr>
          <w:rFonts w:cs="Helvetica"/>
        </w:rPr>
        <w:t>Schoemaker</w:t>
      </w:r>
      <w:proofErr w:type="spellEnd"/>
      <w:r w:rsidRPr="006A5C17">
        <w:rPr>
          <w:rFonts w:cs="Helvetica"/>
        </w:rPr>
        <w:t xml:space="preserve"> Jarl, Allen Julian, </w:t>
      </w:r>
      <w:proofErr w:type="spellStart"/>
      <w:r w:rsidRPr="006A5C17">
        <w:rPr>
          <w:rFonts w:cs="Helvetica"/>
        </w:rPr>
        <w:t>Huschebekc</w:t>
      </w:r>
      <w:proofErr w:type="spellEnd"/>
      <w:r w:rsidRPr="006A5C17">
        <w:rPr>
          <w:rFonts w:cs="Helvetica"/>
        </w:rPr>
        <w:t xml:space="preserve"> Marcel, Janos </w:t>
      </w:r>
      <w:proofErr w:type="spellStart"/>
      <w:r w:rsidRPr="006A5C17">
        <w:rPr>
          <w:rFonts w:cs="Helvetica"/>
        </w:rPr>
        <w:t>Monigl</w:t>
      </w:r>
      <w:proofErr w:type="spellEnd"/>
      <w:r w:rsidRPr="006A5C17">
        <w:rPr>
          <w:rFonts w:cs="Helvetica"/>
        </w:rPr>
        <w:t>, 2006, Quantification of urban freight effects, 10 October 2006, BESTUFFS project (Best Urban Freight solutions)</w:t>
      </w:r>
    </w:p>
    <w:p w:rsidR="00215E54" w:rsidRPr="006A5C17" w:rsidRDefault="00215E54" w:rsidP="00B91CD0">
      <w:pPr>
        <w:autoSpaceDE w:val="0"/>
        <w:autoSpaceDN w:val="0"/>
        <w:adjustRightInd w:val="0"/>
        <w:spacing w:after="0"/>
        <w:rPr>
          <w:rFonts w:cs="Helvetica"/>
        </w:rPr>
      </w:pPr>
    </w:p>
    <w:p w:rsidR="00215E54" w:rsidRDefault="00215E54" w:rsidP="00B91CD0">
      <w:pPr>
        <w:autoSpaceDE w:val="0"/>
        <w:autoSpaceDN w:val="0"/>
        <w:adjustRightInd w:val="0"/>
        <w:spacing w:after="0"/>
      </w:pPr>
      <w:proofErr w:type="spellStart"/>
      <w:r w:rsidRPr="006A5C17">
        <w:t>Steininger</w:t>
      </w:r>
      <w:proofErr w:type="spellEnd"/>
      <w:r w:rsidRPr="006A5C17">
        <w:t xml:space="preserve">, Karl W. &amp; </w:t>
      </w:r>
      <w:proofErr w:type="spellStart"/>
      <w:r w:rsidRPr="006A5C17">
        <w:t>Friedl</w:t>
      </w:r>
      <w:proofErr w:type="spellEnd"/>
      <w:r w:rsidRPr="006A5C17">
        <w:t xml:space="preserve">, Birgit &amp; </w:t>
      </w:r>
      <w:proofErr w:type="spellStart"/>
      <w:r w:rsidRPr="006A5C17">
        <w:t>Gebetsroither</w:t>
      </w:r>
      <w:proofErr w:type="spellEnd"/>
      <w:r w:rsidRPr="006A5C17">
        <w:t>, Brigitte, 2007. "</w:t>
      </w:r>
      <w:r w:rsidRPr="006A5C17">
        <w:rPr>
          <w:bCs/>
        </w:rPr>
        <w:t>Sustainability impacts of car road pricing: A computable general equilibrium analysis for Austria</w:t>
      </w:r>
      <w:r w:rsidRPr="006A5C17">
        <w:t>," Ecological Economics, Elsevier, vol. 63(1), pages 59-69, June.</w:t>
      </w:r>
    </w:p>
    <w:p w:rsidR="00215E54" w:rsidRPr="006A5C17" w:rsidRDefault="00215E54" w:rsidP="00B91CD0">
      <w:pPr>
        <w:autoSpaceDE w:val="0"/>
        <w:autoSpaceDN w:val="0"/>
        <w:adjustRightInd w:val="0"/>
        <w:spacing w:after="0"/>
        <w:rPr>
          <w:rFonts w:cs="Helvetica"/>
        </w:rPr>
      </w:pPr>
    </w:p>
    <w:p w:rsidR="00A96502" w:rsidRPr="006A5C17" w:rsidRDefault="007D1DB8" w:rsidP="00A96502">
      <w:r>
        <w:lastRenderedPageBreak/>
        <w:t xml:space="preserve">Transport for London, 2007, </w:t>
      </w:r>
      <w:r w:rsidR="00A96502" w:rsidRPr="006A5C17">
        <w:t>Central London Congestion Charging Scheme: ex-post evaluation of the quantified impacts of the original scheme. Available from http://www.tfl.gov.uk/assets/downloads/Ex-post-evaluation-of-quantified-impacts-oforiginal-scheme-07-June.pdf</w:t>
      </w:r>
    </w:p>
    <w:p w:rsidR="00A96502" w:rsidRPr="006A5C17" w:rsidRDefault="007D1DB8" w:rsidP="00A96502">
      <w:pPr>
        <w:jc w:val="left"/>
        <w:rPr>
          <w:rFonts w:cs="TimesNewRoman"/>
        </w:rPr>
      </w:pPr>
      <w:r>
        <w:rPr>
          <w:rFonts w:cs="TimesNewRoman"/>
        </w:rPr>
        <w:t xml:space="preserve">Transport for London, 2008, </w:t>
      </w:r>
      <w:r w:rsidR="00A96502" w:rsidRPr="006A5C17">
        <w:t xml:space="preserve">Low Emission Zone. </w:t>
      </w:r>
      <w:proofErr w:type="gramStart"/>
      <w:r w:rsidR="00A96502" w:rsidRPr="006A5C17">
        <w:t>Impacts Monitoring.</w:t>
      </w:r>
      <w:proofErr w:type="gramEnd"/>
      <w:r w:rsidR="00A96502" w:rsidRPr="006A5C17">
        <w:t xml:space="preserve"> Baseline Report</w:t>
      </w:r>
      <w:r w:rsidR="00A96502" w:rsidRPr="006A5C17">
        <w:rPr>
          <w:rFonts w:cs="TimesNewRoman"/>
        </w:rPr>
        <w:t>, Trans</w:t>
      </w:r>
      <w:r w:rsidR="00642EB8" w:rsidRPr="006A5C17">
        <w:rPr>
          <w:rFonts w:cs="TimesNewRoman"/>
        </w:rPr>
        <w:t xml:space="preserve">port for London. Available from </w:t>
      </w:r>
      <w:r w:rsidR="00A96502" w:rsidRPr="006A5C17">
        <w:rPr>
          <w:rFonts w:cs="TimesNewRoman"/>
        </w:rPr>
        <w:t>http://www.tfl.gov.uk/assets/downloads/roadusers/lez/lez-impacts-monitoring-baselinereport-2008-07.pdf</w:t>
      </w:r>
    </w:p>
    <w:p w:rsidR="0018327B" w:rsidRPr="0018327B" w:rsidRDefault="00FA5A09" w:rsidP="0018327B">
      <w:pPr>
        <w:autoSpaceDE w:val="0"/>
        <w:autoSpaceDN w:val="0"/>
        <w:adjustRightInd w:val="0"/>
        <w:spacing w:after="0"/>
        <w:jc w:val="left"/>
        <w:rPr>
          <w:rFonts w:cs="AdvPA189"/>
        </w:rPr>
      </w:pPr>
      <w:r>
        <w:rPr>
          <w:rFonts w:cs="AdvPA183"/>
        </w:rPr>
        <w:t xml:space="preserve">Van de </w:t>
      </w:r>
      <w:proofErr w:type="spellStart"/>
      <w:r>
        <w:rPr>
          <w:rFonts w:cs="AdvPA183"/>
        </w:rPr>
        <w:t>Weghe</w:t>
      </w:r>
      <w:proofErr w:type="spellEnd"/>
      <w:r>
        <w:rPr>
          <w:rFonts w:cs="AdvPA183"/>
        </w:rPr>
        <w:t xml:space="preserve"> J.</w:t>
      </w:r>
      <w:r w:rsidR="0018327B" w:rsidRPr="0018327B">
        <w:rPr>
          <w:rFonts w:cs="AdvPA183"/>
        </w:rPr>
        <w:t>, Kennedy C</w:t>
      </w:r>
      <w:r>
        <w:rPr>
          <w:rFonts w:cs="AdvPA183"/>
        </w:rPr>
        <w:t>.</w:t>
      </w:r>
      <w:r w:rsidR="0018327B" w:rsidRPr="0018327B">
        <w:rPr>
          <w:rFonts w:cs="AdvPA183"/>
        </w:rPr>
        <w:t xml:space="preserve">, 2007, </w:t>
      </w:r>
      <w:r w:rsidR="0018327B" w:rsidRPr="0018327B">
        <w:rPr>
          <w:rFonts w:cs="AdvPA189"/>
        </w:rPr>
        <w:t xml:space="preserve">A Spatial analysis of residential greenhouse gas emissions in </w:t>
      </w:r>
      <w:r>
        <w:rPr>
          <w:rFonts w:cs="AdvPA189"/>
        </w:rPr>
        <w:t>the T</w:t>
      </w:r>
      <w:r w:rsidR="0018327B" w:rsidRPr="0018327B">
        <w:rPr>
          <w:rFonts w:cs="AdvPA189"/>
        </w:rPr>
        <w:t>oronto census metropolitan area</w:t>
      </w:r>
      <w:r w:rsidR="0018327B" w:rsidRPr="0018327B">
        <w:rPr>
          <w:rFonts w:cs="AdvPA183"/>
        </w:rPr>
        <w:t xml:space="preserve">. </w:t>
      </w:r>
      <w:r w:rsidR="0018327B" w:rsidRPr="0018327B">
        <w:rPr>
          <w:rFonts w:cs="AdvPA186"/>
        </w:rPr>
        <w:t xml:space="preserve">Journal of Industrial Ecology </w:t>
      </w:r>
      <w:r w:rsidR="0018327B" w:rsidRPr="0018327B">
        <w:rPr>
          <w:rFonts w:cs="AdvPA183"/>
        </w:rPr>
        <w:t xml:space="preserve">2007, </w:t>
      </w:r>
      <w:r w:rsidR="0018327B" w:rsidRPr="0018327B">
        <w:rPr>
          <w:rFonts w:cs="AdvPA189"/>
        </w:rPr>
        <w:t>11</w:t>
      </w:r>
      <w:r w:rsidR="0018327B" w:rsidRPr="0018327B">
        <w:rPr>
          <w:rFonts w:cs="AdvPA183"/>
        </w:rPr>
        <w:t>:133-144</w:t>
      </w:r>
    </w:p>
    <w:p w:rsidR="00F17B9C" w:rsidRPr="00F17B9C" w:rsidRDefault="00F17B9C" w:rsidP="008574C8">
      <w:pPr>
        <w:rPr>
          <w:lang w:val="en-US"/>
        </w:rPr>
      </w:pPr>
      <w:proofErr w:type="spellStart"/>
      <w:r>
        <w:t>Wiedenhofer</w:t>
      </w:r>
      <w:proofErr w:type="spellEnd"/>
      <w:r>
        <w:t xml:space="preserve"> D; </w:t>
      </w:r>
      <w:proofErr w:type="spellStart"/>
      <w:r>
        <w:t>Lenzen</w:t>
      </w:r>
      <w:proofErr w:type="spellEnd"/>
      <w:r>
        <w:t xml:space="preserve"> M; </w:t>
      </w:r>
      <w:r w:rsidRPr="00F17B9C">
        <w:rPr>
          <w:rStyle w:val="Strong"/>
          <w:b w:val="0"/>
        </w:rPr>
        <w:t>Steinberger JK</w:t>
      </w:r>
      <w:r w:rsidR="007D1DB8">
        <w:t>, 2013</w:t>
      </w:r>
      <w:r>
        <w:t>,</w:t>
      </w:r>
      <w:r w:rsidRPr="00F17B9C">
        <w:t xml:space="preserve"> Energy requirements of consumption: Urban form, climatic and socio-economic factors, rebounds and their policy implications, </w:t>
      </w:r>
      <w:r w:rsidRPr="00F17B9C">
        <w:rPr>
          <w:rStyle w:val="Emphasis"/>
          <w:i w:val="0"/>
        </w:rPr>
        <w:t>Energy Policy</w:t>
      </w:r>
    </w:p>
    <w:p w:rsidR="00B268AA" w:rsidRPr="006A5C17" w:rsidRDefault="007D45E7" w:rsidP="007D45E7">
      <w:pPr>
        <w:autoSpaceDE w:val="0"/>
        <w:autoSpaceDN w:val="0"/>
        <w:adjustRightInd w:val="0"/>
        <w:spacing w:after="0"/>
        <w:jc w:val="left"/>
        <w:rPr>
          <w:rFonts w:cs="ArialMT"/>
        </w:rPr>
      </w:pPr>
      <w:r w:rsidRPr="006A5C17">
        <w:rPr>
          <w:rFonts w:cs="ArialMT"/>
          <w:color w:val="000000"/>
        </w:rPr>
        <w:t xml:space="preserve">Union of Concerned Scientists, 2007, “Creating Jobs, Saving Energy, and Protecting the Environment.” </w:t>
      </w:r>
      <w:r w:rsidR="00B268AA" w:rsidRPr="006A5C17">
        <w:rPr>
          <w:rFonts w:cs="ArialMT"/>
        </w:rPr>
        <w:t>www.ucsusa.org</w:t>
      </w:r>
    </w:p>
    <w:p w:rsidR="00B268AA" w:rsidRPr="006A5C17" w:rsidRDefault="00B268AA" w:rsidP="007D45E7">
      <w:pPr>
        <w:autoSpaceDE w:val="0"/>
        <w:autoSpaceDN w:val="0"/>
        <w:adjustRightInd w:val="0"/>
        <w:spacing w:after="0"/>
        <w:jc w:val="left"/>
        <w:rPr>
          <w:rFonts w:cs="ArialMT"/>
        </w:rPr>
      </w:pPr>
    </w:p>
    <w:p w:rsidR="007D45E7" w:rsidRPr="006A5C17" w:rsidRDefault="003D3C09" w:rsidP="003D3C09">
      <w:pPr>
        <w:rPr>
          <w:lang w:val="en-US" w:eastAsia="nl-BE"/>
        </w:rPr>
      </w:pPr>
      <w:r w:rsidRPr="006A5C17">
        <w:rPr>
          <w:lang w:val="en-US" w:eastAsia="nl-BE"/>
        </w:rPr>
        <w:t>United Nations Population Division</w:t>
      </w:r>
      <w:proofErr w:type="gramStart"/>
      <w:r w:rsidRPr="006A5C17">
        <w:t>,World</w:t>
      </w:r>
      <w:proofErr w:type="gramEnd"/>
      <w:r w:rsidRPr="006A5C17">
        <w:t xml:space="preserve"> Urbanization Prospects: The 2009 Revision</w:t>
      </w:r>
      <w:r w:rsidRPr="006A5C17">
        <w:rPr>
          <w:rFonts w:cs="Arial"/>
          <w:lang w:val="en-US" w:eastAsia="nl-BE"/>
        </w:rPr>
        <w:t xml:space="preserve"> </w:t>
      </w:r>
      <w:r w:rsidRPr="006A5C17">
        <w:rPr>
          <w:lang w:val="en-US" w:eastAsia="nl-BE"/>
        </w:rPr>
        <w:t>(</w:t>
      </w:r>
      <w:r w:rsidR="008574C8" w:rsidRPr="006A5C17">
        <w:rPr>
          <w:lang w:val="en-US" w:eastAsia="nl-BE"/>
        </w:rPr>
        <w:t>United Nations, New York,2010).</w:t>
      </w:r>
    </w:p>
    <w:p w:rsidR="00F17B9C" w:rsidRPr="006A5C17" w:rsidRDefault="003D3C09" w:rsidP="00F17B9C">
      <w:pPr>
        <w:rPr>
          <w:lang w:val="en-US" w:eastAsia="nl-BE"/>
        </w:rPr>
      </w:pPr>
      <w:r w:rsidRPr="006A5C17">
        <w:rPr>
          <w:lang w:val="en-US" w:eastAsia="nl-BE"/>
        </w:rPr>
        <w:t>United Nations Population Division</w:t>
      </w:r>
      <w:proofErr w:type="gramStart"/>
      <w:r w:rsidRPr="006A5C17">
        <w:t>,World</w:t>
      </w:r>
      <w:proofErr w:type="gramEnd"/>
      <w:r w:rsidRPr="006A5C17">
        <w:t xml:space="preserve"> Urbanization Prospects: The 2011 Revision</w:t>
      </w:r>
      <w:r w:rsidRPr="006A5C17">
        <w:rPr>
          <w:rFonts w:cs="Arial"/>
          <w:lang w:val="en-US" w:eastAsia="nl-BE"/>
        </w:rPr>
        <w:t xml:space="preserve"> </w:t>
      </w:r>
      <w:r w:rsidRPr="006A5C17">
        <w:rPr>
          <w:lang w:val="en-US" w:eastAsia="nl-BE"/>
        </w:rPr>
        <w:t>(United Nations, New York,2012).</w:t>
      </w:r>
    </w:p>
    <w:p w:rsidR="0094479D" w:rsidRPr="006A5C17" w:rsidRDefault="0094479D" w:rsidP="00F17B9C">
      <w:pPr>
        <w:rPr>
          <w:lang w:eastAsia="nl-BE"/>
        </w:rPr>
      </w:pPr>
      <w:r w:rsidRPr="006A5C17">
        <w:rPr>
          <w:lang w:eastAsia="nl-BE"/>
        </w:rPr>
        <w:t xml:space="preserve">Van </w:t>
      </w:r>
      <w:proofErr w:type="spellStart"/>
      <w:r w:rsidRPr="006A5C17">
        <w:rPr>
          <w:lang w:eastAsia="nl-BE"/>
        </w:rPr>
        <w:t>Dender</w:t>
      </w:r>
      <w:proofErr w:type="spellEnd"/>
      <w:r w:rsidRPr="006A5C17">
        <w:rPr>
          <w:lang w:eastAsia="nl-BE"/>
        </w:rPr>
        <w:t xml:space="preserve"> K., </w:t>
      </w:r>
      <w:proofErr w:type="spellStart"/>
      <w:r w:rsidRPr="006A5C17">
        <w:rPr>
          <w:lang w:eastAsia="nl-BE"/>
        </w:rPr>
        <w:t>Crist</w:t>
      </w:r>
      <w:proofErr w:type="spellEnd"/>
      <w:r w:rsidRPr="006A5C17">
        <w:rPr>
          <w:lang w:eastAsia="nl-BE"/>
        </w:rPr>
        <w:t xml:space="preserve"> P., 2011, </w:t>
      </w:r>
      <w:proofErr w:type="gramStart"/>
      <w:r w:rsidRPr="006A5C17">
        <w:rPr>
          <w:lang w:eastAsia="nl-BE"/>
        </w:rPr>
        <w:t>What</w:t>
      </w:r>
      <w:proofErr w:type="gramEnd"/>
      <w:r w:rsidRPr="006A5C17">
        <w:rPr>
          <w:lang w:eastAsia="nl-BE"/>
        </w:rPr>
        <w:t xml:space="preserve"> does improved fuel economy cost to consumers and what does it cost to tax payers, some illustrations. </w:t>
      </w:r>
      <w:proofErr w:type="gramStart"/>
      <w:r w:rsidRPr="006A5C17">
        <w:rPr>
          <w:lang w:eastAsia="nl-BE"/>
        </w:rPr>
        <w:t>International transport forum, OECD discussion paper.</w:t>
      </w:r>
      <w:proofErr w:type="gramEnd"/>
      <w:r w:rsidRPr="006A5C17">
        <w:rPr>
          <w:lang w:eastAsia="nl-BE"/>
        </w:rPr>
        <w:t xml:space="preserve"> </w:t>
      </w:r>
    </w:p>
    <w:p w:rsidR="006A5C17" w:rsidRDefault="006A5C17" w:rsidP="00F17B9C">
      <w:pPr>
        <w:autoSpaceDE w:val="0"/>
        <w:autoSpaceDN w:val="0"/>
        <w:adjustRightInd w:val="0"/>
        <w:spacing w:after="0"/>
        <w:rPr>
          <w:rFonts w:cs="Book Antiqua"/>
        </w:rPr>
      </w:pPr>
      <w:proofErr w:type="spellStart"/>
      <w:r w:rsidRPr="00B5112A">
        <w:rPr>
          <w:rFonts w:cs="Book Antiqua"/>
        </w:rPr>
        <w:t>Weisz</w:t>
      </w:r>
      <w:proofErr w:type="spellEnd"/>
      <w:r w:rsidRPr="00B5112A">
        <w:rPr>
          <w:rFonts w:cs="Book Antiqua"/>
        </w:rPr>
        <w:t xml:space="preserve">, H., Steinberger, J.K., 2010. </w:t>
      </w:r>
      <w:r w:rsidRPr="006A5C17">
        <w:rPr>
          <w:rFonts w:cs="Book Antiqua"/>
        </w:rPr>
        <w:t>Reducing energy</w:t>
      </w:r>
      <w:r w:rsidR="00F17B9C">
        <w:rPr>
          <w:rFonts w:cs="Book Antiqua"/>
        </w:rPr>
        <w:t xml:space="preserve"> and materials flows in cities. </w:t>
      </w:r>
      <w:r w:rsidRPr="006A5C17">
        <w:rPr>
          <w:rFonts w:cs="Book Antiqua"/>
        </w:rPr>
        <w:t>Current Opinion in Environmental Sustainability, 2 (3), 185-192.</w:t>
      </w:r>
    </w:p>
    <w:p w:rsidR="009E0CF6" w:rsidRPr="006A5C17" w:rsidRDefault="009E0CF6" w:rsidP="006A5C17">
      <w:pPr>
        <w:autoSpaceDE w:val="0"/>
        <w:autoSpaceDN w:val="0"/>
        <w:adjustRightInd w:val="0"/>
        <w:spacing w:after="0"/>
        <w:jc w:val="left"/>
        <w:rPr>
          <w:rFonts w:cs="Book Antiqua"/>
        </w:rPr>
      </w:pPr>
    </w:p>
    <w:p w:rsidR="003D3C09" w:rsidRPr="006A5C17" w:rsidRDefault="006E581D" w:rsidP="003D3C09">
      <w:pPr>
        <w:rPr>
          <w:lang w:eastAsia="nl-BE"/>
        </w:rPr>
      </w:pPr>
      <w:r w:rsidRPr="006A5C17">
        <w:rPr>
          <w:lang w:eastAsia="nl-BE"/>
        </w:rPr>
        <w:t xml:space="preserve">Zhang Yi &amp; </w:t>
      </w:r>
      <w:proofErr w:type="spellStart"/>
      <w:r w:rsidRPr="006A5C17">
        <w:rPr>
          <w:lang w:eastAsia="nl-BE"/>
        </w:rPr>
        <w:t>Shing</w:t>
      </w:r>
      <w:proofErr w:type="spellEnd"/>
      <w:r w:rsidRPr="006A5C17">
        <w:rPr>
          <w:lang w:eastAsia="nl-BE"/>
        </w:rPr>
        <w:t xml:space="preserve"> </w:t>
      </w:r>
      <w:proofErr w:type="spellStart"/>
      <w:r w:rsidRPr="006A5C17">
        <w:rPr>
          <w:lang w:eastAsia="nl-BE"/>
        </w:rPr>
        <w:t>Hui</w:t>
      </w:r>
      <w:proofErr w:type="spellEnd"/>
      <w:r w:rsidRPr="006A5C17">
        <w:rPr>
          <w:lang w:eastAsia="nl-BE"/>
        </w:rPr>
        <w:t xml:space="preserve">-Fai, 2006, The London congestion charge and property </w:t>
      </w:r>
      <w:proofErr w:type="gramStart"/>
      <w:r w:rsidRPr="006A5C17">
        <w:rPr>
          <w:lang w:eastAsia="nl-BE"/>
        </w:rPr>
        <w:t>prices :</w:t>
      </w:r>
      <w:proofErr w:type="gramEnd"/>
      <w:r w:rsidRPr="006A5C17">
        <w:rPr>
          <w:lang w:eastAsia="nl-BE"/>
        </w:rPr>
        <w:t xml:space="preserve"> an evaluation of the property prices inside and outside the zone, </w:t>
      </w:r>
      <w:r w:rsidRPr="006A5C17">
        <w:rPr>
          <w:rFonts w:cs="CMR12"/>
        </w:rPr>
        <w:t>MPRA Paper No. 4050, posted 13. July 2007</w:t>
      </w:r>
    </w:p>
    <w:p w:rsidR="00AD7262" w:rsidRPr="006E581D" w:rsidRDefault="00AD7262">
      <w:pPr>
        <w:spacing w:before="70"/>
        <w:ind w:left="850" w:right="965"/>
      </w:pPr>
      <w:r w:rsidRPr="006E581D">
        <w:br w:type="page"/>
      </w:r>
    </w:p>
    <w:p w:rsidR="00AD7262" w:rsidRPr="006E581D" w:rsidRDefault="00AD7262" w:rsidP="00AD7262"/>
    <w:p w:rsidR="003D3C09" w:rsidRPr="006E581D" w:rsidRDefault="003D3C09" w:rsidP="003D3C09"/>
    <w:p w:rsidR="00D11669" w:rsidRPr="006E581D" w:rsidRDefault="00D11669" w:rsidP="000A219A">
      <w:pPr>
        <w:spacing w:after="40"/>
        <w:jc w:val="center"/>
        <w:rPr>
          <w:rFonts w:eastAsia="Times New Roman" w:cs="Times New Roman"/>
          <w:b/>
          <w:color w:val="76923C" w:themeColor="accent3" w:themeShade="BF"/>
          <w:sz w:val="16"/>
          <w:szCs w:val="16"/>
          <w:lang w:eastAsia="it-IT"/>
        </w:rPr>
      </w:pPr>
    </w:p>
    <w:p w:rsidR="003D3C09" w:rsidRPr="006E581D" w:rsidRDefault="003D3C09" w:rsidP="000A219A">
      <w:pPr>
        <w:spacing w:after="40"/>
        <w:jc w:val="center"/>
        <w:rPr>
          <w:rFonts w:eastAsia="Times New Roman" w:cs="Times New Roman"/>
          <w:b/>
          <w:color w:val="76923C" w:themeColor="accent3" w:themeShade="BF"/>
          <w:sz w:val="16"/>
          <w:szCs w:val="16"/>
          <w:lang w:eastAsia="it-IT"/>
        </w:rPr>
        <w:sectPr w:rsidR="003D3C09" w:rsidRPr="006E581D" w:rsidSect="00632DC3">
          <w:headerReference w:type="default" r:id="rId31"/>
          <w:pgSz w:w="11907" w:h="16840" w:code="9"/>
          <w:pgMar w:top="1701" w:right="1701" w:bottom="1701" w:left="1701" w:header="1418" w:footer="567" w:gutter="0"/>
          <w:pgNumType w:start="1"/>
          <w:cols w:space="720"/>
          <w:titlePg/>
          <w:docGrid w:linePitch="360"/>
        </w:sectPr>
      </w:pPr>
    </w:p>
    <w:p w:rsidR="00D11669" w:rsidRPr="00B66597" w:rsidRDefault="00D11669" w:rsidP="00D11669">
      <w:pPr>
        <w:pBdr>
          <w:bottom w:val="single" w:sz="12" w:space="1" w:color="948A54" w:themeColor="background2" w:themeShade="80"/>
        </w:pBdr>
        <w:jc w:val="center"/>
        <w:rPr>
          <w:b/>
          <w:smallCaps/>
          <w:color w:val="215868" w:themeColor="accent5" w:themeShade="80"/>
          <w:sz w:val="48"/>
          <w:szCs w:val="48"/>
        </w:rPr>
      </w:pPr>
      <w:r w:rsidRPr="005C6D7F">
        <w:rPr>
          <w:b/>
          <w:smallCaps/>
          <w:color w:val="215868" w:themeColor="accent5" w:themeShade="80"/>
          <w:sz w:val="48"/>
          <w:szCs w:val="48"/>
        </w:rPr>
        <w:lastRenderedPageBreak/>
        <w:t>About NEUJOBS</w:t>
      </w:r>
    </w:p>
    <w:p w:rsidR="00D11669" w:rsidRPr="005C6D7F" w:rsidRDefault="00D11669" w:rsidP="00D11669">
      <w:pPr>
        <w:pStyle w:val="Default"/>
        <w:rPr>
          <w:color w:val="215868" w:themeColor="accent5" w:themeShade="80"/>
          <w:lang w:val="en-GB"/>
        </w:rPr>
      </w:pPr>
    </w:p>
    <w:p w:rsidR="00BB1059" w:rsidRDefault="00BB1059" w:rsidP="00BB1059">
      <w:pPr>
        <w:jc w:val="center"/>
        <w:rPr>
          <w:rFonts w:ascii="Calibri" w:eastAsia="Times New Roman" w:hAnsi="Calibri" w:cs="Arial"/>
          <w:b/>
          <w:bCs/>
          <w:i/>
          <w:color w:val="215868" w:themeColor="accent5" w:themeShade="80"/>
        </w:rPr>
      </w:pPr>
      <w:r w:rsidRPr="00BB1059">
        <w:rPr>
          <w:rFonts w:ascii="Calibri" w:eastAsia="Times New Roman" w:hAnsi="Calibri" w:cs="Arial"/>
          <w:b/>
          <w:bCs/>
          <w:i/>
          <w:color w:val="215868" w:themeColor="accent5" w:themeShade="80"/>
        </w:rPr>
        <w:t xml:space="preserve">“Creating and adapting jobs in Europe in the context of a socio-ecological </w:t>
      </w:r>
      <w:r>
        <w:rPr>
          <w:rFonts w:ascii="Calibri" w:eastAsia="Times New Roman" w:hAnsi="Calibri" w:cs="Arial"/>
          <w:b/>
          <w:bCs/>
          <w:i/>
          <w:color w:val="215868" w:themeColor="accent5" w:themeShade="80"/>
        </w:rPr>
        <w:br/>
      </w:r>
      <w:r w:rsidRPr="00BB1059">
        <w:rPr>
          <w:rFonts w:ascii="Calibri" w:eastAsia="Times New Roman" w:hAnsi="Calibri" w:cs="Arial"/>
          <w:b/>
          <w:bCs/>
          <w:i/>
          <w:color w:val="215868" w:themeColor="accent5" w:themeShade="80"/>
        </w:rPr>
        <w:t>transition”</w:t>
      </w:r>
    </w:p>
    <w:p w:rsidR="00D11669" w:rsidRPr="00114020" w:rsidRDefault="00D11669" w:rsidP="00D11669">
      <w:r w:rsidRPr="00114020">
        <w:t xml:space="preserve">NEUJOBS is a research project financed by the European Commission under the 7th Framework Programme. </w:t>
      </w:r>
      <w:r>
        <w:t xml:space="preserve">Its </w:t>
      </w:r>
      <w:r w:rsidRPr="00114020">
        <w:t xml:space="preserve">objective is to analyse likely future developments in the European labour market(s), in view of four major transitions that will impact employment - particularly certain sectors of the labour force and the economy - and European societies in general. What are these transitions? The first is the </w:t>
      </w:r>
      <w:r w:rsidRPr="00114020">
        <w:rPr>
          <w:b/>
        </w:rPr>
        <w:t>socio-ecological transition:</w:t>
      </w:r>
      <w:r w:rsidRPr="00114020">
        <w:t xml:space="preserve"> a comprehensive change in the patterns of social organisation and culture, production and consumption that will drive humanity beyond the current industrial model towards a more sustainable future. The second is the </w:t>
      </w:r>
      <w:r w:rsidRPr="00114020">
        <w:rPr>
          <w:b/>
        </w:rPr>
        <w:t>societal transition</w:t>
      </w:r>
      <w:r>
        <w:rPr>
          <w:b/>
        </w:rPr>
        <w:t>,</w:t>
      </w:r>
      <w:r w:rsidRPr="00114020">
        <w:t xml:space="preserve"> produced by </w:t>
      </w:r>
      <w:r>
        <w:t xml:space="preserve">a </w:t>
      </w:r>
      <w:r w:rsidRPr="00114020">
        <w:t xml:space="preserve">combination of population ageing, low fertility rates, changing family structures, urbanisation and growing female employment. The third transition concerns </w:t>
      </w:r>
      <w:r w:rsidRPr="00114020">
        <w:rPr>
          <w:b/>
        </w:rPr>
        <w:t>new territorial dynamics</w:t>
      </w:r>
      <w:r w:rsidRPr="00114020">
        <w:t xml:space="preserve"> and the balance between agglomeration and dispersion forces. The fourth is </w:t>
      </w:r>
      <w:r w:rsidRPr="00114020">
        <w:rPr>
          <w:b/>
        </w:rPr>
        <w:t>a</w:t>
      </w:r>
      <w:r w:rsidRPr="00114020">
        <w:t xml:space="preserve"> </w:t>
      </w:r>
      <w:r w:rsidRPr="00114020">
        <w:rPr>
          <w:b/>
        </w:rPr>
        <w:t>skills (upgrading)</w:t>
      </w:r>
      <w:r w:rsidRPr="00114020">
        <w:t xml:space="preserve"> transition and </w:t>
      </w:r>
      <w:proofErr w:type="spellStart"/>
      <w:r>
        <w:t>a</w:t>
      </w:r>
      <w:r w:rsidRPr="00114020">
        <w:t>n</w:t>
      </w:r>
      <w:r>
        <w:t>d</w:t>
      </w:r>
      <w:proofErr w:type="spellEnd"/>
      <w:r w:rsidRPr="00114020">
        <w:t xml:space="preserve"> its likely consequences for employment and (in</w:t>
      </w:r>
      <w:proofErr w:type="gramStart"/>
      <w:r w:rsidRPr="00114020">
        <w:t>)equality</w:t>
      </w:r>
      <w:proofErr w:type="gramEnd"/>
      <w:r w:rsidRPr="00114020">
        <w:t xml:space="preserve">. </w:t>
      </w:r>
    </w:p>
    <w:p w:rsidR="00BB1059" w:rsidRDefault="00BB1059" w:rsidP="00D11669">
      <w:pPr>
        <w:rPr>
          <w:rFonts w:ascii="Calibri" w:eastAsia="Times New Roman" w:hAnsi="Calibri" w:cs="Arial"/>
          <w:b/>
          <w:i/>
          <w:iCs/>
          <w:color w:val="215868" w:themeColor="accent5" w:themeShade="80"/>
        </w:rPr>
      </w:pPr>
      <w:r w:rsidRPr="00BB1059">
        <w:rPr>
          <w:rFonts w:ascii="Calibri" w:eastAsia="Times New Roman" w:hAnsi="Calibri" w:cs="Arial"/>
          <w:b/>
          <w:i/>
          <w:iCs/>
          <w:color w:val="215868" w:themeColor="accent5" w:themeShade="80"/>
        </w:rPr>
        <w:t xml:space="preserve">Research Areas </w:t>
      </w:r>
    </w:p>
    <w:p w:rsidR="00D11669" w:rsidRPr="00BB1059" w:rsidRDefault="00D11669" w:rsidP="00D11669">
      <w:pPr>
        <w:rPr>
          <w:rFonts w:ascii="Calibri" w:eastAsia="Times New Roman" w:hAnsi="Calibri" w:cs="Arial"/>
          <w:b/>
          <w:i/>
          <w:iCs/>
          <w:color w:val="215868" w:themeColor="accent5" w:themeShade="80"/>
        </w:rPr>
      </w:pPr>
      <w:r w:rsidRPr="00114020">
        <w:t xml:space="preserve">NEUJOBS consists of 23 work packages organised in six groups: </w:t>
      </w:r>
    </w:p>
    <w:p w:rsidR="00D11669" w:rsidRPr="00114020" w:rsidRDefault="00D11669" w:rsidP="00D11669">
      <w:pPr>
        <w:pStyle w:val="ListParagraph"/>
        <w:numPr>
          <w:ilvl w:val="0"/>
          <w:numId w:val="16"/>
        </w:numPr>
        <w:spacing w:after="200"/>
        <w:contextualSpacing/>
        <w:jc w:val="both"/>
        <w:rPr>
          <w:rFonts w:ascii="Book Antiqua" w:hAnsi="Book Antiqua"/>
        </w:rPr>
      </w:pPr>
      <w:r w:rsidRPr="00114020">
        <w:rPr>
          <w:rFonts w:ascii="Book Antiqua" w:hAnsi="Book Antiqua"/>
          <w:b/>
        </w:rPr>
        <w:t>Group 1</w:t>
      </w:r>
      <w:r w:rsidRPr="00114020">
        <w:rPr>
          <w:rFonts w:ascii="Book Antiqua" w:hAnsi="Book Antiqua"/>
        </w:rPr>
        <w:t xml:space="preserve"> provides a conceptualisation of the </w:t>
      </w:r>
      <w:r w:rsidRPr="00114020">
        <w:rPr>
          <w:rFonts w:ascii="Book Antiqua" w:hAnsi="Book Antiqua"/>
          <w:b/>
        </w:rPr>
        <w:t>socio-ecological transition</w:t>
      </w:r>
      <w:r w:rsidRPr="00114020">
        <w:rPr>
          <w:rFonts w:ascii="Book Antiqua" w:hAnsi="Book Antiqua"/>
        </w:rPr>
        <w:t xml:space="preserve"> that constitutes the basis for the other work-packages. </w:t>
      </w:r>
    </w:p>
    <w:p w:rsidR="00D11669" w:rsidRPr="00114020" w:rsidRDefault="00D11669" w:rsidP="00D11669">
      <w:pPr>
        <w:pStyle w:val="ListParagraph"/>
        <w:numPr>
          <w:ilvl w:val="0"/>
          <w:numId w:val="16"/>
        </w:numPr>
        <w:spacing w:after="200"/>
        <w:contextualSpacing/>
        <w:jc w:val="both"/>
        <w:rPr>
          <w:rFonts w:ascii="Book Antiqua" w:hAnsi="Book Antiqua"/>
        </w:rPr>
      </w:pPr>
      <w:r w:rsidRPr="00114020">
        <w:rPr>
          <w:rFonts w:ascii="Book Antiqua" w:hAnsi="Book Antiqua"/>
          <w:b/>
        </w:rPr>
        <w:t>Group 2</w:t>
      </w:r>
      <w:r w:rsidRPr="00114020">
        <w:rPr>
          <w:rFonts w:ascii="Book Antiqua" w:hAnsi="Book Antiqua"/>
        </w:rPr>
        <w:t xml:space="preserve"> considers in detail the main drivers for change and the resulting relevant policies. Regarding the drivers we analyse the discourse on </w:t>
      </w:r>
      <w:r w:rsidRPr="00114020">
        <w:rPr>
          <w:rFonts w:ascii="Book Antiqua" w:hAnsi="Book Antiqua"/>
          <w:b/>
        </w:rPr>
        <w:t>job quality</w:t>
      </w:r>
      <w:r w:rsidRPr="00114020">
        <w:rPr>
          <w:rFonts w:ascii="Book Antiqua" w:hAnsi="Book Antiqua"/>
        </w:rPr>
        <w:t xml:space="preserve">, </w:t>
      </w:r>
      <w:r w:rsidRPr="00114020">
        <w:rPr>
          <w:rFonts w:ascii="Book Antiqua" w:hAnsi="Book Antiqua"/>
          <w:b/>
        </w:rPr>
        <w:t>education</w:t>
      </w:r>
      <w:r w:rsidRPr="00114020">
        <w:rPr>
          <w:rFonts w:ascii="Book Antiqua" w:hAnsi="Book Antiqua"/>
        </w:rPr>
        <w:t xml:space="preserve">al needs, </w:t>
      </w:r>
      <w:proofErr w:type="gramStart"/>
      <w:r w:rsidRPr="00114020">
        <w:rPr>
          <w:rFonts w:ascii="Book Antiqua" w:hAnsi="Book Antiqua"/>
        </w:rPr>
        <w:t>changes</w:t>
      </w:r>
      <w:proofErr w:type="gramEnd"/>
      <w:r w:rsidRPr="00114020">
        <w:rPr>
          <w:rFonts w:ascii="Book Antiqua" w:hAnsi="Book Antiqua"/>
        </w:rPr>
        <w:t xml:space="preserve"> in the organisation of production and in the employment structure. Regarding relevant policies, research in this group assesses the impact of changes in </w:t>
      </w:r>
      <w:r w:rsidRPr="00114020">
        <w:rPr>
          <w:rFonts w:ascii="Book Antiqua" w:hAnsi="Book Antiqua"/>
          <w:b/>
        </w:rPr>
        <w:t>family composition</w:t>
      </w:r>
      <w:r w:rsidRPr="00114020">
        <w:rPr>
          <w:rFonts w:ascii="Book Antiqua" w:hAnsi="Book Antiqua"/>
        </w:rPr>
        <w:t xml:space="preserve">, the effect of </w:t>
      </w:r>
      <w:r w:rsidRPr="00114020">
        <w:rPr>
          <w:rFonts w:ascii="Book Antiqua" w:hAnsi="Book Antiqua"/>
          <w:b/>
        </w:rPr>
        <w:t>labour relations</w:t>
      </w:r>
      <w:r w:rsidRPr="00114020">
        <w:rPr>
          <w:rFonts w:ascii="Book Antiqua" w:hAnsi="Book Antiqua"/>
        </w:rPr>
        <w:t xml:space="preserve"> and the issue of financing transition in an era of budget constraints. The regional dimension is taken into account, also in relation to </w:t>
      </w:r>
      <w:r w:rsidRPr="00114020">
        <w:rPr>
          <w:rFonts w:ascii="Book Antiqua" w:hAnsi="Book Antiqua"/>
          <w:b/>
        </w:rPr>
        <w:t>migration</w:t>
      </w:r>
      <w:r w:rsidRPr="00114020">
        <w:rPr>
          <w:rFonts w:ascii="Book Antiqua" w:hAnsi="Book Antiqua"/>
        </w:rPr>
        <w:t xml:space="preserve"> flows. </w:t>
      </w:r>
    </w:p>
    <w:p w:rsidR="00D11669" w:rsidRPr="00114020" w:rsidRDefault="00D11669" w:rsidP="00D11669">
      <w:pPr>
        <w:pStyle w:val="ListParagraph"/>
        <w:numPr>
          <w:ilvl w:val="0"/>
          <w:numId w:val="16"/>
        </w:numPr>
        <w:spacing w:after="200"/>
        <w:contextualSpacing/>
        <w:jc w:val="both"/>
        <w:rPr>
          <w:rFonts w:ascii="Book Antiqua" w:hAnsi="Book Antiqua"/>
        </w:rPr>
      </w:pPr>
      <w:r w:rsidRPr="00114020">
        <w:rPr>
          <w:rFonts w:ascii="Book Antiqua" w:hAnsi="Book Antiqua"/>
          <w:b/>
        </w:rPr>
        <w:t>Group 3</w:t>
      </w:r>
      <w:r w:rsidRPr="00114020">
        <w:rPr>
          <w:rFonts w:ascii="Book Antiqua" w:hAnsi="Book Antiqua"/>
        </w:rPr>
        <w:t xml:space="preserve"> models economic and employment development on the basis of the inputs provided in the previous work packages. </w:t>
      </w:r>
    </w:p>
    <w:p w:rsidR="00D11669" w:rsidRPr="00114020" w:rsidRDefault="00D11669" w:rsidP="00D11669">
      <w:pPr>
        <w:pStyle w:val="ListParagraph"/>
        <w:numPr>
          <w:ilvl w:val="0"/>
          <w:numId w:val="16"/>
        </w:numPr>
        <w:spacing w:after="200"/>
        <w:contextualSpacing/>
        <w:jc w:val="both"/>
        <w:rPr>
          <w:rFonts w:ascii="Book Antiqua" w:hAnsi="Book Antiqua"/>
        </w:rPr>
      </w:pPr>
      <w:r w:rsidRPr="00114020">
        <w:rPr>
          <w:rFonts w:ascii="Book Antiqua" w:hAnsi="Book Antiqua"/>
          <w:b/>
        </w:rPr>
        <w:t>Group 4</w:t>
      </w:r>
      <w:r w:rsidRPr="00114020">
        <w:rPr>
          <w:rFonts w:ascii="Book Antiqua" w:hAnsi="Book Antiqua"/>
        </w:rPr>
        <w:t xml:space="preserve"> examines possible employment trends in key sectors of the economy in the light of the transition processes: energy, health care and goods/services for the </w:t>
      </w:r>
      <w:r w:rsidRPr="00114020">
        <w:rPr>
          <w:rFonts w:ascii="Book Antiqua" w:hAnsi="Book Antiqua"/>
          <w:b/>
        </w:rPr>
        <w:t>ageing</w:t>
      </w:r>
      <w:r w:rsidRPr="00114020">
        <w:rPr>
          <w:rFonts w:ascii="Book Antiqua" w:hAnsi="Book Antiqua"/>
        </w:rPr>
        <w:t xml:space="preserve"> population, </w:t>
      </w:r>
      <w:r w:rsidRPr="00114020">
        <w:rPr>
          <w:rFonts w:ascii="Book Antiqua" w:hAnsi="Book Antiqua"/>
          <w:b/>
        </w:rPr>
        <w:t>care services</w:t>
      </w:r>
      <w:r w:rsidRPr="00114020">
        <w:rPr>
          <w:rFonts w:ascii="Book Antiqua" w:hAnsi="Book Antiqua"/>
        </w:rPr>
        <w:t xml:space="preserve">, housing and transport. </w:t>
      </w:r>
    </w:p>
    <w:p w:rsidR="00D11669" w:rsidRPr="00114020" w:rsidRDefault="00D11669" w:rsidP="00D11669">
      <w:pPr>
        <w:pStyle w:val="ListParagraph"/>
        <w:numPr>
          <w:ilvl w:val="0"/>
          <w:numId w:val="16"/>
        </w:numPr>
        <w:spacing w:after="200"/>
        <w:contextualSpacing/>
        <w:jc w:val="both"/>
        <w:rPr>
          <w:rFonts w:ascii="Book Antiqua" w:hAnsi="Book Antiqua"/>
        </w:rPr>
      </w:pPr>
      <w:r w:rsidRPr="00114020">
        <w:rPr>
          <w:rFonts w:ascii="Book Antiqua" w:hAnsi="Book Antiqua"/>
          <w:b/>
        </w:rPr>
        <w:t>Group 5</w:t>
      </w:r>
      <w:r w:rsidRPr="00114020">
        <w:rPr>
          <w:rFonts w:ascii="Book Antiqua" w:hAnsi="Book Antiqua"/>
        </w:rPr>
        <w:t xml:space="preserve"> focuses on impact groups, namely those vital for employment growth in the EU: </w:t>
      </w:r>
      <w:r w:rsidRPr="00114020">
        <w:rPr>
          <w:rFonts w:ascii="Book Antiqua" w:hAnsi="Book Antiqua"/>
          <w:b/>
        </w:rPr>
        <w:t>women</w:t>
      </w:r>
      <w:r w:rsidRPr="00114020">
        <w:rPr>
          <w:rFonts w:ascii="Book Antiqua" w:hAnsi="Book Antiqua"/>
        </w:rPr>
        <w:t xml:space="preserve">, the </w:t>
      </w:r>
      <w:r w:rsidRPr="00114020">
        <w:rPr>
          <w:rFonts w:ascii="Book Antiqua" w:hAnsi="Book Antiqua"/>
          <w:b/>
        </w:rPr>
        <w:t>elderly</w:t>
      </w:r>
      <w:r w:rsidRPr="00114020">
        <w:rPr>
          <w:rFonts w:ascii="Book Antiqua" w:hAnsi="Book Antiqua"/>
        </w:rPr>
        <w:t xml:space="preserve">, immigrants and </w:t>
      </w:r>
      <w:r w:rsidRPr="00114020">
        <w:rPr>
          <w:rFonts w:ascii="Book Antiqua" w:hAnsi="Book Antiqua"/>
          <w:b/>
        </w:rPr>
        <w:t>Roma</w:t>
      </w:r>
      <w:r w:rsidRPr="00114020">
        <w:rPr>
          <w:rFonts w:ascii="Book Antiqua" w:hAnsi="Book Antiqua"/>
        </w:rPr>
        <w:t xml:space="preserve">. </w:t>
      </w:r>
    </w:p>
    <w:p w:rsidR="00D11669" w:rsidRPr="00114020" w:rsidRDefault="00D11669" w:rsidP="00D11669">
      <w:pPr>
        <w:pStyle w:val="ListParagraph"/>
        <w:numPr>
          <w:ilvl w:val="0"/>
          <w:numId w:val="16"/>
        </w:numPr>
        <w:spacing w:after="200"/>
        <w:contextualSpacing/>
        <w:jc w:val="both"/>
        <w:rPr>
          <w:rFonts w:ascii="Book Antiqua" w:hAnsi="Book Antiqua"/>
        </w:rPr>
      </w:pPr>
      <w:r w:rsidRPr="00114020">
        <w:rPr>
          <w:rFonts w:ascii="Book Antiqua" w:hAnsi="Book Antiqua"/>
          <w:b/>
        </w:rPr>
        <w:t>Group 6</w:t>
      </w:r>
      <w:r w:rsidRPr="00114020">
        <w:rPr>
          <w:rFonts w:ascii="Book Antiqua" w:hAnsi="Book Antiqua"/>
        </w:rPr>
        <w:t xml:space="preserve"> is composed of transversal work packages: implications NEUJOBS findings for EU policy-making, dissemination, management and coordination.</w:t>
      </w:r>
    </w:p>
    <w:p w:rsidR="00D11669" w:rsidRPr="00114020" w:rsidRDefault="00D11669" w:rsidP="00D11669">
      <w:r w:rsidRPr="00114020">
        <w:t xml:space="preserve">For more information, visit: </w:t>
      </w:r>
      <w:hyperlink r:id="rId32" w:history="1">
        <w:r w:rsidRPr="00114020">
          <w:rPr>
            <w:rStyle w:val="Hyperlink"/>
          </w:rPr>
          <w:t>www.neujobs.eu</w:t>
        </w:r>
      </w:hyperlink>
      <w:r w:rsidRPr="00114020">
        <w:t xml:space="preserve"> </w:t>
      </w:r>
    </w:p>
    <w:p w:rsidR="000A219A" w:rsidRDefault="00D11669" w:rsidP="00D11669">
      <w:pPr>
        <w:rPr>
          <w:rFonts w:eastAsia="Times New Roman" w:cs="Times New Roman"/>
          <w:b/>
          <w:color w:val="76923C" w:themeColor="accent3" w:themeShade="BF"/>
          <w:sz w:val="16"/>
          <w:szCs w:val="16"/>
          <w:lang w:eastAsia="it-IT"/>
        </w:rPr>
      </w:pPr>
      <w:r w:rsidRPr="00114020">
        <w:t>Project coordinator: Miroslav Beblavý</w:t>
      </w:r>
      <w:r>
        <w:t xml:space="preserve"> (</w:t>
      </w:r>
      <w:hyperlink r:id="rId33" w:history="1">
        <w:r w:rsidRPr="00597BFE">
          <w:rPr>
            <w:rStyle w:val="Hyperlink"/>
          </w:rPr>
          <w:t>Miroslav.Beblavy@ext.ceps.eu</w:t>
        </w:r>
      </w:hyperlink>
      <w:r>
        <w:t>)</w:t>
      </w:r>
      <w:r>
        <w:rPr>
          <w:rFonts w:eastAsia="Times New Roman" w:cs="Times New Roman"/>
          <w:b/>
          <w:color w:val="76923C" w:themeColor="accent3" w:themeShade="BF"/>
          <w:sz w:val="16"/>
          <w:szCs w:val="16"/>
          <w:lang w:eastAsia="it-IT"/>
        </w:rPr>
        <w:t xml:space="preserve"> </w:t>
      </w:r>
    </w:p>
    <w:sectPr w:rsidR="000A219A" w:rsidSect="00632DC3">
      <w:pgSz w:w="11907" w:h="16840" w:code="9"/>
      <w:pgMar w:top="1701" w:right="1701" w:bottom="1701" w:left="1701" w:header="1418"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A5" w:rsidRDefault="00FC5AA5" w:rsidP="00B661AC">
      <w:pPr>
        <w:spacing w:after="0"/>
      </w:pPr>
      <w:r>
        <w:separator/>
      </w:r>
    </w:p>
  </w:endnote>
  <w:endnote w:type="continuationSeparator" w:id="0">
    <w:p w:rsidR="00FC5AA5" w:rsidRDefault="00FC5AA5" w:rsidP="00B66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dvPA183">
    <w:panose1 w:val="00000000000000000000"/>
    <w:charset w:val="00"/>
    <w:family w:val="swiss"/>
    <w:notTrueType/>
    <w:pitch w:val="default"/>
    <w:sig w:usb0="00000003" w:usb1="00000000" w:usb2="00000000" w:usb3="00000000" w:csb0="00000001" w:csb1="00000000"/>
  </w:font>
  <w:font w:name="AdvPA189">
    <w:panose1 w:val="00000000000000000000"/>
    <w:charset w:val="00"/>
    <w:family w:val="swiss"/>
    <w:notTrueType/>
    <w:pitch w:val="default"/>
    <w:sig w:usb0="00000003" w:usb1="00000000" w:usb2="00000000" w:usb3="00000000" w:csb0="00000001" w:csb1="00000000"/>
  </w:font>
  <w:font w:name="AdvPA186">
    <w:panose1 w:val="00000000000000000000"/>
    <w:charset w:val="00"/>
    <w:family w:val="swiss"/>
    <w:notTrueType/>
    <w:pitch w:val="default"/>
    <w:sig w:usb0="00000003" w:usb1="00000000" w:usb2="00000000" w:usb3="00000000" w:csb0="00000001" w:csb1="00000000"/>
  </w:font>
  <w:font w:name="TTdcr10">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A5" w:rsidRDefault="00FC5AA5" w:rsidP="00B661AC">
    <w:pPr>
      <w:pStyle w:val="Footer"/>
      <w:jc w:val="center"/>
    </w:pPr>
    <w:r w:rsidRPr="00B661AC">
      <w:rPr>
        <w:noProof/>
        <w:lang w:eastAsia="en-GB"/>
      </w:rPr>
      <w:drawing>
        <wp:inline distT="0" distB="0" distL="0" distR="0" wp14:anchorId="06F249A2" wp14:editId="17FF8BB1">
          <wp:extent cx="1657350" cy="616520"/>
          <wp:effectExtent l="19050" t="0" r="0" b="0"/>
          <wp:docPr id="5" name="Picture 1" descr="NEUJOBSLOGO_defin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JOBSLOGO_definitive.JPG"/>
                  <pic:cNvPicPr/>
                </pic:nvPicPr>
                <pic:blipFill>
                  <a:blip r:embed="rId1"/>
                  <a:srcRect t="11321" b="8491"/>
                  <a:stretch>
                    <a:fillRect/>
                  </a:stretch>
                </pic:blipFill>
                <pic:spPr>
                  <a:xfrm>
                    <a:off x="0" y="0"/>
                    <a:ext cx="1660493" cy="61768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A5" w:rsidRDefault="00FC5AA5" w:rsidP="00B661AC">
    <w:pPr>
      <w:pStyle w:val="Footer"/>
      <w:jc w:val="center"/>
    </w:pPr>
    <w:r w:rsidRPr="00B661AC">
      <w:rPr>
        <w:noProof/>
        <w:lang w:eastAsia="en-GB"/>
      </w:rPr>
      <w:drawing>
        <wp:inline distT="0" distB="0" distL="0" distR="0" wp14:anchorId="419ED5D9" wp14:editId="057EC9CA">
          <wp:extent cx="1619250" cy="602347"/>
          <wp:effectExtent l="19050" t="0" r="0" b="0"/>
          <wp:docPr id="6" name="Picture 1" descr="NEUJOBSLOGO_defin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JOBSLOGO_definitive.JPG"/>
                  <pic:cNvPicPr/>
                </pic:nvPicPr>
                <pic:blipFill>
                  <a:blip r:embed="rId1"/>
                  <a:srcRect t="11321" b="8491"/>
                  <a:stretch>
                    <a:fillRect/>
                  </a:stretch>
                </pic:blipFill>
                <pic:spPr>
                  <a:xfrm>
                    <a:off x="0" y="0"/>
                    <a:ext cx="1622321" cy="60348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A5" w:rsidRDefault="00FC5AA5" w:rsidP="00B37F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A5" w:rsidRDefault="00FC5AA5" w:rsidP="00B661AC">
      <w:pPr>
        <w:spacing w:after="0"/>
      </w:pPr>
      <w:r>
        <w:separator/>
      </w:r>
    </w:p>
  </w:footnote>
  <w:footnote w:type="continuationSeparator" w:id="0">
    <w:p w:rsidR="00FC5AA5" w:rsidRDefault="00FC5AA5" w:rsidP="00B661AC">
      <w:pPr>
        <w:spacing w:after="0"/>
      </w:pPr>
      <w:r>
        <w:continuationSeparator/>
      </w:r>
    </w:p>
  </w:footnote>
  <w:footnote w:id="1">
    <w:p w:rsidR="00FC5AA5" w:rsidRPr="000C6E2E" w:rsidRDefault="00FC5AA5">
      <w:pPr>
        <w:pStyle w:val="FootnoteText"/>
        <w:rPr>
          <w:lang w:val="en-US"/>
        </w:rPr>
      </w:pPr>
      <w:r>
        <w:rPr>
          <w:rStyle w:val="FootnoteReference"/>
        </w:rPr>
        <w:footnoteRef/>
      </w:r>
      <w:r>
        <w:t xml:space="preserve"> These </w:t>
      </w:r>
      <w:r>
        <w:rPr>
          <w:lang w:val="en-US"/>
        </w:rPr>
        <w:t xml:space="preserve">job multipliers are expressed in jobs created per million euros of investment or per million euros of energy savings. </w:t>
      </w:r>
    </w:p>
  </w:footnote>
  <w:footnote w:id="2">
    <w:p w:rsidR="00FC5AA5" w:rsidRPr="00255C88" w:rsidRDefault="00FC5AA5" w:rsidP="00255C88">
      <w:pPr>
        <w:pStyle w:val="FootnoteText"/>
        <w:rPr>
          <w:lang w:val="en-US"/>
        </w:rPr>
      </w:pPr>
      <w:r>
        <w:rPr>
          <w:rStyle w:val="FootnoteReference"/>
        </w:rPr>
        <w:footnoteRef/>
      </w:r>
      <w:r>
        <w:t xml:space="preserve"> </w:t>
      </w:r>
      <w:hyperlink r:id="rId1" w:history="1">
        <w:r w:rsidRPr="000640A7">
          <w:rPr>
            <w:rStyle w:val="Hyperlink"/>
            <w:lang w:val="en-US"/>
          </w:rPr>
          <w:t>http://ec.europa.eu/transport/themes/urban/urban_mobility/</w:t>
        </w:r>
      </w:hyperlink>
    </w:p>
  </w:footnote>
  <w:footnote w:id="3">
    <w:p w:rsidR="00FC5AA5" w:rsidRPr="00C75109" w:rsidRDefault="00FC5AA5">
      <w:pPr>
        <w:pStyle w:val="FootnoteText"/>
      </w:pPr>
      <w:r>
        <w:rPr>
          <w:rStyle w:val="FootnoteReference"/>
        </w:rPr>
        <w:footnoteRef/>
      </w:r>
      <w:r>
        <w:t xml:space="preserve"> This case was not discussed above, but is known as a successful case of implementing a road charge. </w:t>
      </w:r>
    </w:p>
  </w:footnote>
  <w:footnote w:id="4">
    <w:p w:rsidR="00FC5AA5" w:rsidRPr="00C75109" w:rsidRDefault="00FC5AA5" w:rsidP="000F5EA2">
      <w:pPr>
        <w:pStyle w:val="FootnoteText"/>
      </w:pPr>
      <w:r>
        <w:rPr>
          <w:rStyle w:val="FootnoteReference"/>
        </w:rPr>
        <w:footnoteRef/>
      </w:r>
      <w:r>
        <w:t xml:space="preserve"> Though in all honesty, in neither of these cases, the incumbent mayor authorizing the scheme was voted back into office after elections. </w:t>
      </w:r>
    </w:p>
  </w:footnote>
  <w:footnote w:id="5">
    <w:p w:rsidR="00FC5AA5" w:rsidRPr="00F72B94" w:rsidRDefault="00FC5AA5">
      <w:pPr>
        <w:pStyle w:val="FootnoteText"/>
      </w:pPr>
      <w:r>
        <w:rPr>
          <w:rStyle w:val="FootnoteReference"/>
        </w:rPr>
        <w:footnoteRef/>
      </w:r>
      <w:r>
        <w:t xml:space="preserve"> This is not placed under point 6) as this type of regulation will increase, rather than decrease the cost for freight transporters within the city. </w:t>
      </w:r>
    </w:p>
  </w:footnote>
  <w:footnote w:id="6">
    <w:p w:rsidR="00FC5AA5" w:rsidRPr="00D95ED2" w:rsidRDefault="00FC5AA5" w:rsidP="00D95ED2">
      <w:pPr>
        <w:pStyle w:val="FootnoteText"/>
        <w:rPr>
          <w:lang w:val="en-US"/>
        </w:rPr>
      </w:pPr>
      <w:r>
        <w:rPr>
          <w:rStyle w:val="FootnoteReference"/>
        </w:rPr>
        <w:footnoteRef/>
      </w:r>
      <w:r>
        <w:t xml:space="preserve"> </w:t>
      </w:r>
      <w:r>
        <w:rPr>
          <w:lang w:val="en-US"/>
        </w:rPr>
        <w:t>27 jobs / million euro, using an exchange rate of 1.3 dollars / euro</w:t>
      </w:r>
    </w:p>
  </w:footnote>
  <w:footnote w:id="7">
    <w:p w:rsidR="00FC5AA5" w:rsidRPr="00CA2F55" w:rsidRDefault="00FC5AA5" w:rsidP="00AD7262">
      <w:pPr>
        <w:pStyle w:val="FootnoteText"/>
        <w:rPr>
          <w:lang w:val="en-US"/>
        </w:rPr>
      </w:pPr>
      <w:r>
        <w:rPr>
          <w:rStyle w:val="FootnoteReference"/>
        </w:rPr>
        <w:footnoteRef/>
      </w:r>
      <w:r>
        <w:t xml:space="preserve"> </w:t>
      </w:r>
      <w:proofErr w:type="spellStart"/>
      <w:r>
        <w:rPr>
          <w:lang w:val="en-US"/>
        </w:rPr>
        <w:t>Unweighted</w:t>
      </w:r>
      <w:proofErr w:type="spellEnd"/>
      <w:r>
        <w:rPr>
          <w:lang w:val="en-US"/>
        </w:rPr>
        <w:t xml:space="preserve"> (!) average of all countries</w:t>
      </w:r>
    </w:p>
  </w:footnote>
  <w:footnote w:id="8">
    <w:p w:rsidR="00FC5AA5" w:rsidRPr="00BB0C26" w:rsidRDefault="00FC5AA5">
      <w:pPr>
        <w:pStyle w:val="FootnoteText"/>
        <w:rPr>
          <w:lang w:val="en-US"/>
        </w:rPr>
      </w:pPr>
      <w:r>
        <w:rPr>
          <w:rStyle w:val="FootnoteReference"/>
        </w:rPr>
        <w:footnoteRef/>
      </w:r>
      <w:r>
        <w:t xml:space="preserve"> </w:t>
      </w:r>
      <w:r>
        <w:rPr>
          <w:lang w:val="en-US"/>
        </w:rPr>
        <w:t>About 6.7 liters / 100 kilometers</w:t>
      </w:r>
    </w:p>
  </w:footnote>
  <w:footnote w:id="9">
    <w:p w:rsidR="00FC5AA5" w:rsidRPr="007251A3" w:rsidRDefault="00FC5AA5">
      <w:pPr>
        <w:pStyle w:val="FootnoteText"/>
        <w:rPr>
          <w:lang w:val="en-US"/>
        </w:rPr>
      </w:pPr>
      <w:r>
        <w:rPr>
          <w:rStyle w:val="FootnoteReference"/>
        </w:rPr>
        <w:footnoteRef/>
      </w:r>
      <w:r>
        <w:t xml:space="preserve"> </w:t>
      </w:r>
      <w:r>
        <w:rPr>
          <w:lang w:val="en-US"/>
        </w:rPr>
        <w:t xml:space="preserve">See also </w:t>
      </w:r>
      <w:r>
        <w:t xml:space="preserve">Meijer, </w:t>
      </w:r>
      <w:proofErr w:type="spellStart"/>
      <w:r>
        <w:t>Vischer</w:t>
      </w:r>
      <w:proofErr w:type="spellEnd"/>
      <w:r>
        <w:t xml:space="preserve"> et al (2012)</w:t>
      </w:r>
    </w:p>
  </w:footnote>
  <w:footnote w:id="10">
    <w:p w:rsidR="00FC5AA5" w:rsidRPr="00CA2F55" w:rsidRDefault="00FC5AA5" w:rsidP="00E912ED">
      <w:pPr>
        <w:pStyle w:val="FootnoteText"/>
        <w:rPr>
          <w:lang w:val="en-US"/>
        </w:rPr>
      </w:pPr>
      <w:r>
        <w:rPr>
          <w:rStyle w:val="FootnoteReference"/>
        </w:rPr>
        <w:footnoteRef/>
      </w:r>
      <w:r>
        <w:t xml:space="preserve"> </w:t>
      </w:r>
      <w:proofErr w:type="spellStart"/>
      <w:r>
        <w:rPr>
          <w:lang w:val="en-US"/>
        </w:rPr>
        <w:t>Unweighted</w:t>
      </w:r>
      <w:proofErr w:type="spellEnd"/>
      <w:r>
        <w:rPr>
          <w:lang w:val="en-US"/>
        </w:rPr>
        <w:t xml:space="preserve"> (!) average of all countries</w:t>
      </w:r>
    </w:p>
  </w:footnote>
  <w:footnote w:id="11">
    <w:p w:rsidR="00FC5AA5" w:rsidRPr="00CA2F55" w:rsidRDefault="00FC5AA5" w:rsidP="00AD669B">
      <w:pPr>
        <w:pStyle w:val="FootnoteText"/>
        <w:rPr>
          <w:lang w:val="en-US"/>
        </w:rPr>
      </w:pPr>
      <w:r>
        <w:rPr>
          <w:rStyle w:val="FootnoteReference"/>
        </w:rPr>
        <w:footnoteRef/>
      </w:r>
      <w:r>
        <w:t xml:space="preserve"> </w:t>
      </w:r>
      <w:proofErr w:type="spellStart"/>
      <w:r>
        <w:rPr>
          <w:lang w:val="en-US"/>
        </w:rPr>
        <w:t>Unweighted</w:t>
      </w:r>
      <w:proofErr w:type="spellEnd"/>
      <w:r>
        <w:rPr>
          <w:lang w:val="en-US"/>
        </w:rPr>
        <w:t xml:space="preserve"> (!) average of all countries</w:t>
      </w:r>
    </w:p>
  </w:footnote>
  <w:footnote w:id="12">
    <w:p w:rsidR="00FC5AA5" w:rsidRPr="00276297" w:rsidRDefault="00FC5AA5">
      <w:pPr>
        <w:pStyle w:val="FootnoteText"/>
        <w:rPr>
          <w:lang w:val="en-US"/>
        </w:rPr>
      </w:pPr>
      <w:r>
        <w:rPr>
          <w:rStyle w:val="FootnoteReference"/>
        </w:rPr>
        <w:footnoteRef/>
      </w:r>
      <w:r>
        <w:t xml:space="preserve"> </w:t>
      </w:r>
      <w:r>
        <w:rPr>
          <w:lang w:val="en-US"/>
        </w:rPr>
        <w:t xml:space="preserve">This is a consumption bundle, containing both expenditures on fixed costs (vehicle, insurance, network tax) and variable costs (fuel, maintenance). </w:t>
      </w:r>
    </w:p>
  </w:footnote>
  <w:footnote w:id="13">
    <w:p w:rsidR="00FC5AA5" w:rsidRPr="00CA2F55" w:rsidRDefault="00FC5AA5" w:rsidP="002138A9">
      <w:pPr>
        <w:pStyle w:val="FootnoteText"/>
        <w:rPr>
          <w:lang w:val="en-US"/>
        </w:rPr>
      </w:pPr>
      <w:r>
        <w:rPr>
          <w:rStyle w:val="FootnoteReference"/>
        </w:rPr>
        <w:footnoteRef/>
      </w:r>
      <w:r>
        <w:t xml:space="preserve"> </w:t>
      </w:r>
      <w:proofErr w:type="spellStart"/>
      <w:r>
        <w:rPr>
          <w:lang w:val="en-US"/>
        </w:rPr>
        <w:t>Unweighted</w:t>
      </w:r>
      <w:proofErr w:type="spellEnd"/>
      <w:r>
        <w:rPr>
          <w:lang w:val="en-US"/>
        </w:rPr>
        <w:t xml:space="preserve"> (!) average of all countries</w:t>
      </w:r>
    </w:p>
  </w:footnote>
  <w:footnote w:id="14">
    <w:p w:rsidR="00FC5AA5" w:rsidRPr="0099684D" w:rsidRDefault="00FC5AA5">
      <w:pPr>
        <w:pStyle w:val="FootnoteText"/>
        <w:rPr>
          <w:lang w:val="en-US"/>
        </w:rPr>
      </w:pPr>
      <w:r>
        <w:rPr>
          <w:rStyle w:val="FootnoteReference"/>
        </w:rPr>
        <w:footnoteRef/>
      </w:r>
      <w:r>
        <w:t xml:space="preserve"> </w:t>
      </w:r>
      <w:hyperlink r:id="rId2" w:history="1">
        <w:r w:rsidRPr="0074750E">
          <w:rPr>
            <w:rStyle w:val="Hyperlink"/>
          </w:rPr>
          <w:t>http://www.tmleuven.be/project/efreight/home.htm</w:t>
        </w:r>
      </w:hyperlink>
      <w:r>
        <w:t xml:space="preserve">. </w:t>
      </w:r>
      <w:r>
        <w:rPr>
          <w:lang w:val="en-US"/>
        </w:rPr>
        <w:t xml:space="preserve">The full report is unfortunately confidential, however we used a scaled down and simplified version of the scenario in D15.2. </w:t>
      </w:r>
    </w:p>
  </w:footnote>
  <w:footnote w:id="15">
    <w:p w:rsidR="00FC5AA5" w:rsidRPr="00CA2F55" w:rsidRDefault="00FC5AA5" w:rsidP="00940ECE">
      <w:pPr>
        <w:pStyle w:val="FootnoteText"/>
        <w:rPr>
          <w:lang w:val="en-US"/>
        </w:rPr>
      </w:pPr>
      <w:r>
        <w:rPr>
          <w:rStyle w:val="FootnoteReference"/>
        </w:rPr>
        <w:footnoteRef/>
      </w:r>
      <w:r>
        <w:t xml:space="preserve"> </w:t>
      </w:r>
      <w:proofErr w:type="spellStart"/>
      <w:r>
        <w:rPr>
          <w:lang w:val="en-US"/>
        </w:rPr>
        <w:t>Unweighted</w:t>
      </w:r>
      <w:proofErr w:type="spellEnd"/>
      <w:r>
        <w:rPr>
          <w:lang w:val="en-US"/>
        </w:rPr>
        <w:t xml:space="preserve"> (!) average of all countries</w:t>
      </w:r>
    </w:p>
  </w:footnote>
  <w:footnote w:id="16">
    <w:p w:rsidR="00FC5AA5" w:rsidRPr="00CA2F55" w:rsidRDefault="00FC5AA5" w:rsidP="00ED2776">
      <w:pPr>
        <w:pStyle w:val="FootnoteText"/>
        <w:rPr>
          <w:lang w:val="en-US"/>
        </w:rPr>
      </w:pPr>
      <w:r>
        <w:rPr>
          <w:rStyle w:val="FootnoteReference"/>
        </w:rPr>
        <w:footnoteRef/>
      </w:r>
      <w:r>
        <w:t xml:space="preserve"> </w:t>
      </w:r>
      <w:proofErr w:type="spellStart"/>
      <w:r>
        <w:rPr>
          <w:lang w:val="en-US"/>
        </w:rPr>
        <w:t>Unweighted</w:t>
      </w:r>
      <w:proofErr w:type="spellEnd"/>
      <w:r>
        <w:rPr>
          <w:lang w:val="en-US"/>
        </w:rPr>
        <w:t xml:space="preserve"> (!) average of all countries</w:t>
      </w:r>
    </w:p>
  </w:footnote>
  <w:footnote w:id="17">
    <w:p w:rsidR="00FC5AA5" w:rsidRPr="00330F2D" w:rsidRDefault="00FC5AA5">
      <w:pPr>
        <w:pStyle w:val="FootnoteText"/>
      </w:pPr>
      <w:r>
        <w:rPr>
          <w:rStyle w:val="FootnoteReference"/>
        </w:rPr>
        <w:footnoteRef/>
      </w:r>
      <w:r>
        <w:t xml:space="preserve"> Please note that the size of the auxiliary transport sector correlates strongly with the size of the land transport sector, such that both graphs look similar. </w:t>
      </w:r>
    </w:p>
  </w:footnote>
  <w:footnote w:id="18">
    <w:p w:rsidR="00FC5AA5" w:rsidRPr="007251A3" w:rsidRDefault="00FC5AA5" w:rsidP="00C72CD1">
      <w:pPr>
        <w:pStyle w:val="FootnoteText"/>
        <w:rPr>
          <w:lang w:val="en-US"/>
        </w:rPr>
      </w:pPr>
      <w:r>
        <w:rPr>
          <w:rStyle w:val="FootnoteReference"/>
        </w:rPr>
        <w:footnoteRef/>
      </w:r>
      <w:r>
        <w:t xml:space="preserve"> </w:t>
      </w:r>
      <w:r>
        <w:rPr>
          <w:lang w:val="en-US"/>
        </w:rPr>
        <w:t xml:space="preserve">See also </w:t>
      </w:r>
      <w:r>
        <w:t xml:space="preserve">Meijer, </w:t>
      </w:r>
      <w:proofErr w:type="spellStart"/>
      <w:r>
        <w:t>Vischer</w:t>
      </w:r>
      <w:proofErr w:type="spellEnd"/>
      <w:r>
        <w:t xml:space="preserve"> et al (2012)</w:t>
      </w:r>
    </w:p>
  </w:footnote>
  <w:footnote w:id="19">
    <w:p w:rsidR="00FC5AA5" w:rsidRPr="003324BE" w:rsidRDefault="00FC5AA5">
      <w:pPr>
        <w:pStyle w:val="FootnoteText"/>
        <w:rPr>
          <w:lang w:val="en-US"/>
        </w:rPr>
      </w:pPr>
      <w:r>
        <w:rPr>
          <w:rStyle w:val="FootnoteReference"/>
        </w:rPr>
        <w:footnoteRef/>
      </w:r>
      <w:r>
        <w:t xml:space="preserve"> </w:t>
      </w:r>
      <w:r>
        <w:rPr>
          <w:lang w:val="en-US"/>
        </w:rPr>
        <w:t>The values from American studies (in million dollars) were transformed with an exchange rate of 0.77 euros / dollar (1.3 dollars/ euro)</w:t>
      </w:r>
    </w:p>
  </w:footnote>
  <w:footnote w:id="20">
    <w:p w:rsidR="00FC5AA5" w:rsidRPr="00687498" w:rsidRDefault="00FC5AA5">
      <w:pPr>
        <w:pStyle w:val="FootnoteText"/>
        <w:rPr>
          <w:lang w:val="en-US"/>
        </w:rPr>
      </w:pPr>
      <w:r>
        <w:rPr>
          <w:rStyle w:val="FootnoteReference"/>
        </w:rPr>
        <w:footnoteRef/>
      </w:r>
      <w:r>
        <w:t xml:space="preserve"> </w:t>
      </w:r>
      <w:r>
        <w:rPr>
          <w:lang w:val="en-US"/>
        </w:rPr>
        <w:t>In millions of euros of value added</w:t>
      </w:r>
    </w:p>
  </w:footnote>
  <w:footnote w:id="21">
    <w:p w:rsidR="00FC5AA5" w:rsidRPr="00AB56B1" w:rsidRDefault="00FC5AA5">
      <w:pPr>
        <w:pStyle w:val="FootnoteText"/>
      </w:pPr>
      <w:r>
        <w:rPr>
          <w:rStyle w:val="FootnoteReference"/>
        </w:rPr>
        <w:footnoteRef/>
      </w:r>
      <w:r>
        <w:t xml:space="preserve"> Based on the draft impact assessment for airlines</w:t>
      </w:r>
    </w:p>
  </w:footnote>
  <w:footnote w:id="22">
    <w:p w:rsidR="00FC5AA5" w:rsidRPr="00907EF1" w:rsidRDefault="00FC5AA5">
      <w:pPr>
        <w:pStyle w:val="FootnoteText"/>
      </w:pPr>
      <w:r>
        <w:rPr>
          <w:rStyle w:val="FootnoteReference"/>
        </w:rPr>
        <w:footnoteRef/>
      </w:r>
      <w:r>
        <w:t xml:space="preserve"> This represents values used in NEUJOBS D14.2 (</w:t>
      </w:r>
      <w:r w:rsidRPr="00D57C57">
        <w:t xml:space="preserve">Meijer, </w:t>
      </w:r>
      <w:proofErr w:type="spellStart"/>
      <w:r w:rsidRPr="00D57C57">
        <w:t>Vischer</w:t>
      </w:r>
      <w:proofErr w:type="spellEnd"/>
      <w:r w:rsidRPr="00D57C57">
        <w:t xml:space="preserve"> et al (2012)</w:t>
      </w:r>
      <w:r>
        <w:t>)</w:t>
      </w:r>
    </w:p>
  </w:footnote>
  <w:footnote w:id="23">
    <w:p w:rsidR="00FC5AA5" w:rsidRPr="00523D7A" w:rsidRDefault="00FC5AA5">
      <w:pPr>
        <w:pStyle w:val="FootnoteText"/>
        <w:rPr>
          <w:lang w:val="en-US"/>
        </w:rPr>
      </w:pPr>
      <w:r>
        <w:rPr>
          <w:rStyle w:val="FootnoteReference"/>
        </w:rPr>
        <w:footnoteRef/>
      </w:r>
      <w:r>
        <w:t xml:space="preserve"> </w:t>
      </w:r>
      <w:r>
        <w:rPr>
          <w:lang w:val="en-US"/>
        </w:rPr>
        <w:t>These represent the averages by group, calculated in the previous section. Please note that the inter country variation is large and that these numbers are only taken as indicative.</w:t>
      </w:r>
    </w:p>
  </w:footnote>
  <w:footnote w:id="24">
    <w:p w:rsidR="00FC5AA5" w:rsidRPr="003324BE" w:rsidRDefault="00FC5AA5" w:rsidP="00B14C52">
      <w:pPr>
        <w:pStyle w:val="FootnoteText"/>
        <w:rPr>
          <w:lang w:val="en-US"/>
        </w:rPr>
      </w:pPr>
    </w:p>
  </w:footnote>
  <w:footnote w:id="25">
    <w:p w:rsidR="00FC5AA5" w:rsidRPr="00523D7A" w:rsidRDefault="00FC5AA5" w:rsidP="00635395">
      <w:pPr>
        <w:pStyle w:val="FootnoteText"/>
        <w:rPr>
          <w:lang w:val="en-US"/>
        </w:rPr>
      </w:pPr>
      <w:r>
        <w:rPr>
          <w:rStyle w:val="FootnoteReference"/>
        </w:rPr>
        <w:footnoteRef/>
      </w:r>
      <w:r>
        <w:t xml:space="preserve"> </w:t>
      </w:r>
      <w:r>
        <w:rPr>
          <w:lang w:val="en-US"/>
        </w:rPr>
        <w:t>These represent the averages by group, calculated in the previous section. Please note that the inter country variation is large and that these numbers are only taken as indicative.</w:t>
      </w:r>
    </w:p>
  </w:footnote>
  <w:footnote w:id="26">
    <w:p w:rsidR="00FC5AA5" w:rsidRPr="00642EB8" w:rsidRDefault="00FC5AA5">
      <w:pPr>
        <w:pStyle w:val="FootnoteText"/>
        <w:rPr>
          <w:lang w:val="en-US"/>
        </w:rPr>
      </w:pPr>
      <w:r>
        <w:rPr>
          <w:rStyle w:val="FootnoteReference"/>
        </w:rPr>
        <w:footnoteRef/>
      </w:r>
      <w:r>
        <w:t xml:space="preserve"> </w:t>
      </w:r>
      <w:r>
        <w:rPr>
          <w:lang w:val="en-US"/>
        </w:rPr>
        <w:t xml:space="preserve">With this, we indicate that the result can </w:t>
      </w:r>
      <w:proofErr w:type="gramStart"/>
      <w:r>
        <w:rPr>
          <w:lang w:val="en-US"/>
        </w:rPr>
        <w:t>either be</w:t>
      </w:r>
      <w:proofErr w:type="gramEnd"/>
      <w:r>
        <w:rPr>
          <w:lang w:val="en-US"/>
        </w:rPr>
        <w:t xml:space="preserve"> positive, negative or unequally distributed.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sz w:val="20"/>
        <w:szCs w:val="20"/>
      </w:rPr>
      <w:id w:val="21931118"/>
      <w:docPartObj>
        <w:docPartGallery w:val="Page Numbers (Top of Page)"/>
        <w:docPartUnique/>
      </w:docPartObj>
    </w:sdtPr>
    <w:sdtContent>
      <w:p w:rsidR="00FC5AA5" w:rsidRPr="00B661AC" w:rsidRDefault="00FC5AA5" w:rsidP="00B661AC">
        <w:pPr>
          <w:pStyle w:val="Header"/>
          <w:spacing w:line="720" w:lineRule="auto"/>
          <w:rPr>
            <w:smallCaps/>
            <w:sz w:val="20"/>
            <w:szCs w:val="20"/>
          </w:rPr>
        </w:pPr>
        <w:r w:rsidRPr="00B661AC">
          <w:rPr>
            <w:smallCaps/>
            <w:sz w:val="20"/>
            <w:szCs w:val="20"/>
          </w:rPr>
          <w:fldChar w:fldCharType="begin"/>
        </w:r>
        <w:r w:rsidRPr="00B661AC">
          <w:rPr>
            <w:smallCaps/>
            <w:sz w:val="20"/>
            <w:szCs w:val="20"/>
          </w:rPr>
          <w:instrText xml:space="preserve"> PAGE   \* MERGEFORMAT </w:instrText>
        </w:r>
        <w:r w:rsidRPr="00B661AC">
          <w:rPr>
            <w:smallCaps/>
            <w:sz w:val="20"/>
            <w:szCs w:val="20"/>
          </w:rPr>
          <w:fldChar w:fldCharType="separate"/>
        </w:r>
        <w:r w:rsidR="003F7A4C">
          <w:rPr>
            <w:smallCaps/>
            <w:noProof/>
            <w:sz w:val="20"/>
            <w:szCs w:val="20"/>
          </w:rPr>
          <w:t>44</w:t>
        </w:r>
        <w:r w:rsidRPr="00B661AC">
          <w:rPr>
            <w:smallCaps/>
            <w:sz w:val="20"/>
            <w:szCs w:val="20"/>
          </w:rPr>
          <w:fldChar w:fldCharType="end"/>
        </w:r>
        <w:r w:rsidRPr="00B661AC">
          <w:rPr>
            <w:smallCaps/>
            <w:sz w:val="20"/>
            <w:szCs w:val="20"/>
          </w:rPr>
          <w:t xml:space="preserve"> </w:t>
        </w:r>
        <w:r w:rsidRPr="00B661AC">
          <w:rPr>
            <w:smallCaps/>
            <w:sz w:val="20"/>
            <w:szCs w:val="20"/>
          </w:rPr>
          <w:sym w:font="Symbol" w:char="F07C"/>
        </w:r>
        <w:r w:rsidRPr="00B661AC">
          <w:rPr>
            <w:smallCaps/>
            <w:sz w:val="20"/>
            <w:szCs w:val="20"/>
          </w:rPr>
          <w:t xml:space="preserve"> </w:t>
        </w:r>
        <w:r>
          <w:rPr>
            <w:smallCaps/>
            <w:sz w:val="20"/>
            <w:szCs w:val="20"/>
          </w:rPr>
          <w:t xml:space="preserve">C. </w:t>
        </w:r>
        <w:proofErr w:type="gramStart"/>
        <w:r>
          <w:rPr>
            <w:smallCaps/>
            <w:sz w:val="20"/>
            <w:szCs w:val="20"/>
          </w:rPr>
          <w:t>Heyndrickx ,</w:t>
        </w:r>
        <w:proofErr w:type="gramEnd"/>
        <w:r>
          <w:rPr>
            <w:smallCaps/>
            <w:sz w:val="20"/>
            <w:szCs w:val="20"/>
          </w:rPr>
          <w:t xml:space="preserve"> R. Frederix &amp; J. Purwanto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sz w:val="20"/>
        <w:szCs w:val="20"/>
      </w:rPr>
      <w:id w:val="21931127"/>
      <w:docPartObj>
        <w:docPartGallery w:val="Page Numbers (Top of Page)"/>
        <w:docPartUnique/>
      </w:docPartObj>
    </w:sdtPr>
    <w:sdtContent>
      <w:p w:rsidR="00FC5AA5" w:rsidRPr="00B661AC" w:rsidRDefault="00FC5AA5" w:rsidP="00B661AC">
        <w:pPr>
          <w:pStyle w:val="Header"/>
          <w:spacing w:line="720" w:lineRule="auto"/>
          <w:jc w:val="right"/>
          <w:rPr>
            <w:smallCaps/>
            <w:sz w:val="20"/>
            <w:szCs w:val="20"/>
          </w:rPr>
        </w:pPr>
        <w:r>
          <w:rPr>
            <w:smallCaps/>
            <w:sz w:val="20"/>
            <w:szCs w:val="20"/>
          </w:rPr>
          <w:t>The main socio-ecological transitions facing the transport sector</w:t>
        </w:r>
        <w:r w:rsidRPr="00B661AC">
          <w:rPr>
            <w:smallCaps/>
            <w:sz w:val="20"/>
            <w:szCs w:val="20"/>
          </w:rPr>
          <w:t xml:space="preserve"> </w:t>
        </w:r>
        <w:r w:rsidRPr="00B661AC">
          <w:rPr>
            <w:smallCaps/>
            <w:sz w:val="20"/>
            <w:szCs w:val="20"/>
          </w:rPr>
          <w:sym w:font="Symbol" w:char="F07C"/>
        </w:r>
        <w:r>
          <w:rPr>
            <w:smallCaps/>
            <w:sz w:val="20"/>
            <w:szCs w:val="20"/>
          </w:rPr>
          <w:t xml:space="preserve"> </w:t>
        </w:r>
        <w:r w:rsidRPr="00B661AC">
          <w:rPr>
            <w:smallCaps/>
            <w:sz w:val="20"/>
            <w:szCs w:val="20"/>
          </w:rPr>
          <w:fldChar w:fldCharType="begin"/>
        </w:r>
        <w:r w:rsidRPr="00B661AC">
          <w:rPr>
            <w:smallCaps/>
            <w:sz w:val="20"/>
            <w:szCs w:val="20"/>
          </w:rPr>
          <w:instrText xml:space="preserve"> PAGE   \* MERGEFORMAT </w:instrText>
        </w:r>
        <w:r w:rsidRPr="00B661AC">
          <w:rPr>
            <w:smallCaps/>
            <w:sz w:val="20"/>
            <w:szCs w:val="20"/>
          </w:rPr>
          <w:fldChar w:fldCharType="separate"/>
        </w:r>
        <w:r w:rsidR="007D1DB8">
          <w:rPr>
            <w:smallCaps/>
            <w:noProof/>
            <w:sz w:val="20"/>
            <w:szCs w:val="20"/>
          </w:rPr>
          <w:t>3</w:t>
        </w:r>
        <w:r w:rsidRPr="00B661AC">
          <w:rPr>
            <w:smallCaps/>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A5" w:rsidRDefault="00FC5AA5" w:rsidP="00B661A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A5" w:rsidRPr="00B37F3E" w:rsidRDefault="00FC5AA5" w:rsidP="00B37F3E">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sz w:val="20"/>
        <w:szCs w:val="20"/>
      </w:rPr>
      <w:id w:val="-1554155352"/>
      <w:docPartObj>
        <w:docPartGallery w:val="Page Numbers (Top of Page)"/>
        <w:docPartUnique/>
      </w:docPartObj>
    </w:sdtPr>
    <w:sdtContent>
      <w:p w:rsidR="00FC5AA5" w:rsidRPr="00B661AC" w:rsidRDefault="00FC5AA5" w:rsidP="00B661AC">
        <w:pPr>
          <w:pStyle w:val="Header"/>
          <w:spacing w:line="720" w:lineRule="auto"/>
          <w:jc w:val="right"/>
          <w:rPr>
            <w:smallCaps/>
            <w:sz w:val="20"/>
            <w:szCs w:val="20"/>
          </w:rPr>
        </w:pPr>
        <w:r>
          <w:rPr>
            <w:smallCaps/>
            <w:sz w:val="20"/>
            <w:szCs w:val="20"/>
          </w:rPr>
          <w:t>Title</w:t>
        </w:r>
        <w:r w:rsidRPr="00B661AC">
          <w:rPr>
            <w:smallCaps/>
            <w:sz w:val="20"/>
            <w:szCs w:val="20"/>
          </w:rPr>
          <w:t xml:space="preserve"> </w:t>
        </w:r>
        <w:r w:rsidRPr="00B661AC">
          <w:rPr>
            <w:smallCaps/>
            <w:sz w:val="20"/>
            <w:szCs w:val="20"/>
          </w:rPr>
          <w:sym w:font="Symbol" w:char="F07C"/>
        </w:r>
        <w:r>
          <w:rPr>
            <w:smallCaps/>
            <w:sz w:val="20"/>
            <w:szCs w:val="20"/>
          </w:rPr>
          <w:t xml:space="preserve"> </w:t>
        </w:r>
        <w:r w:rsidRPr="00B661AC">
          <w:rPr>
            <w:smallCaps/>
            <w:sz w:val="20"/>
            <w:szCs w:val="20"/>
          </w:rPr>
          <w:fldChar w:fldCharType="begin"/>
        </w:r>
        <w:r w:rsidRPr="00B661AC">
          <w:rPr>
            <w:smallCaps/>
            <w:sz w:val="20"/>
            <w:szCs w:val="20"/>
          </w:rPr>
          <w:instrText xml:space="preserve"> PAGE   \* MERGEFORMAT </w:instrText>
        </w:r>
        <w:r w:rsidRPr="00B661AC">
          <w:rPr>
            <w:smallCaps/>
            <w:sz w:val="20"/>
            <w:szCs w:val="20"/>
          </w:rPr>
          <w:fldChar w:fldCharType="separate"/>
        </w:r>
        <w:r w:rsidR="003F7A4C">
          <w:rPr>
            <w:smallCaps/>
            <w:noProof/>
            <w:sz w:val="20"/>
            <w:szCs w:val="20"/>
          </w:rPr>
          <w:t>45</w:t>
        </w:r>
        <w:r w:rsidRPr="00B661AC">
          <w:rPr>
            <w:smallCap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4B9"/>
    <w:multiLevelType w:val="hybridMultilevel"/>
    <w:tmpl w:val="9E469060"/>
    <w:lvl w:ilvl="0" w:tplc="0813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54D46"/>
    <w:multiLevelType w:val="hybridMultilevel"/>
    <w:tmpl w:val="74A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4579B"/>
    <w:multiLevelType w:val="multilevel"/>
    <w:tmpl w:val="4A46CF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2917E9B"/>
    <w:multiLevelType w:val="hybridMultilevel"/>
    <w:tmpl w:val="C270BA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12A2733A"/>
    <w:multiLevelType w:val="multilevel"/>
    <w:tmpl w:val="1DDCFF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46B03DD"/>
    <w:multiLevelType w:val="hybridMultilevel"/>
    <w:tmpl w:val="BBCC2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DE0787"/>
    <w:multiLevelType w:val="multilevel"/>
    <w:tmpl w:val="51E66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E107572"/>
    <w:multiLevelType w:val="hybridMultilevel"/>
    <w:tmpl w:val="ED2E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0837E2"/>
    <w:multiLevelType w:val="hybridMultilevel"/>
    <w:tmpl w:val="88DAA686"/>
    <w:lvl w:ilvl="0" w:tplc="042A1D7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0FE59B3"/>
    <w:multiLevelType w:val="hybridMultilevel"/>
    <w:tmpl w:val="E45C4C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3541443"/>
    <w:multiLevelType w:val="hybridMultilevel"/>
    <w:tmpl w:val="F842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B36DAC"/>
    <w:multiLevelType w:val="hybridMultilevel"/>
    <w:tmpl w:val="F81C07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5403A9"/>
    <w:multiLevelType w:val="hybridMultilevel"/>
    <w:tmpl w:val="3732FD28"/>
    <w:lvl w:ilvl="0" w:tplc="B170CA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9262C"/>
    <w:multiLevelType w:val="hybridMultilevel"/>
    <w:tmpl w:val="3BF82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4145E2"/>
    <w:multiLevelType w:val="multilevel"/>
    <w:tmpl w:val="767E52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981575E"/>
    <w:multiLevelType w:val="hybridMultilevel"/>
    <w:tmpl w:val="6B8656C0"/>
    <w:lvl w:ilvl="0" w:tplc="2A74FB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3A8B1FBB"/>
    <w:multiLevelType w:val="hybridMultilevel"/>
    <w:tmpl w:val="FAB4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5E6B81"/>
    <w:multiLevelType w:val="hybridMultilevel"/>
    <w:tmpl w:val="35323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571"/>
    <w:multiLevelType w:val="multilevel"/>
    <w:tmpl w:val="55DE85B0"/>
    <w:lvl w:ilvl="0">
      <w:start w:val="1"/>
      <w:numFmt w:val="decima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upperLetter"/>
      <w:suff w:val="space"/>
      <w:lvlText w:val="%4"/>
      <w:lvlJc w:val="left"/>
      <w:pPr>
        <w:ind w:left="0" w:firstLine="0"/>
      </w:pPr>
      <w:rPr>
        <w:rFonts w:hint="default"/>
      </w:rPr>
    </w:lvl>
    <w:lvl w:ilvl="4">
      <w:start w:val="1"/>
      <w:numFmt w:val="lowerLetter"/>
      <w:lvlRestart w:val="0"/>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suff w:val="space"/>
      <w:lvlText w:val="%5.%6.%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left"/>
      <w:pPr>
        <w:ind w:left="0" w:firstLine="0"/>
      </w:pPr>
      <w:rPr>
        <w:rFonts w:hint="default"/>
      </w:rPr>
    </w:lvl>
  </w:abstractNum>
  <w:abstractNum w:abstractNumId="19">
    <w:nsid w:val="424C2D7E"/>
    <w:multiLevelType w:val="hybridMultilevel"/>
    <w:tmpl w:val="CA7E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A76F41"/>
    <w:multiLevelType w:val="multilevel"/>
    <w:tmpl w:val="54E8B8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9AC7D67"/>
    <w:multiLevelType w:val="hybridMultilevel"/>
    <w:tmpl w:val="6C82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BF7906"/>
    <w:multiLevelType w:val="multilevel"/>
    <w:tmpl w:val="7596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EF22D8"/>
    <w:multiLevelType w:val="hybridMultilevel"/>
    <w:tmpl w:val="DC86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11447E"/>
    <w:multiLevelType w:val="hybridMultilevel"/>
    <w:tmpl w:val="6BAC45E2"/>
    <w:lvl w:ilvl="0" w:tplc="0813001B">
      <w:start w:val="1"/>
      <w:numFmt w:val="low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D556C42"/>
    <w:multiLevelType w:val="hybridMultilevel"/>
    <w:tmpl w:val="2088665A"/>
    <w:lvl w:ilvl="0" w:tplc="324293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4D61509D"/>
    <w:multiLevelType w:val="hybridMultilevel"/>
    <w:tmpl w:val="DF4A9B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2D6433"/>
    <w:multiLevelType w:val="hybridMultilevel"/>
    <w:tmpl w:val="A68A7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72485E"/>
    <w:multiLevelType w:val="multilevel"/>
    <w:tmpl w:val="E66AED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B982154"/>
    <w:multiLevelType w:val="multilevel"/>
    <w:tmpl w:val="0D34FB8E"/>
    <w:styleLink w:val="berschriftenlist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Letter"/>
      <w:lvlText w:val="%6"/>
      <w:lvlJc w:val="left"/>
      <w:pPr>
        <w:tabs>
          <w:tab w:val="num" w:pos="0"/>
        </w:tabs>
        <w:ind w:left="0" w:firstLine="0"/>
      </w:pPr>
      <w:rPr>
        <w:rFonts w:hint="default"/>
      </w:rPr>
    </w:lvl>
    <w:lvl w:ilvl="6">
      <w:start w:val="1"/>
      <w:numFmt w:val="decimal"/>
      <w:lvlText w:val="%6.%7"/>
      <w:lvlJc w:val="left"/>
      <w:pPr>
        <w:tabs>
          <w:tab w:val="num" w:pos="1134"/>
        </w:tabs>
        <w:ind w:left="1134" w:hanging="1134"/>
      </w:pPr>
      <w:rPr>
        <w:rFonts w:hint="default"/>
      </w:rPr>
    </w:lvl>
    <w:lvl w:ilvl="7">
      <w:start w:val="1"/>
      <w:numFmt w:val="decimal"/>
      <w:lvlText w:val="%6.%7.%8"/>
      <w:lvlJc w:val="left"/>
      <w:pPr>
        <w:tabs>
          <w:tab w:val="num" w:pos="1134"/>
        </w:tabs>
        <w:ind w:left="1134" w:hanging="1134"/>
      </w:pPr>
      <w:rPr>
        <w:rFonts w:hint="default"/>
      </w:rPr>
    </w:lvl>
    <w:lvl w:ilvl="8">
      <w:start w:val="1"/>
      <w:numFmt w:val="decimal"/>
      <w:lvlText w:val="%6.%7.%8.%9"/>
      <w:lvlJc w:val="left"/>
      <w:pPr>
        <w:tabs>
          <w:tab w:val="num" w:pos="1134"/>
        </w:tabs>
        <w:ind w:left="1134" w:hanging="1134"/>
      </w:pPr>
      <w:rPr>
        <w:rFonts w:hint="default"/>
      </w:rPr>
    </w:lvl>
  </w:abstractNum>
  <w:abstractNum w:abstractNumId="30">
    <w:nsid w:val="618F6856"/>
    <w:multiLevelType w:val="multilevel"/>
    <w:tmpl w:val="08130025"/>
    <w:lvl w:ilvl="0">
      <w:start w:val="1"/>
      <w:numFmt w:val="decimal"/>
      <w:pStyle w:val="Heading1"/>
      <w:lvlText w:val="%1"/>
      <w:lvlJc w:val="left"/>
      <w:pPr>
        <w:ind w:left="114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62E77492"/>
    <w:multiLevelType w:val="hybridMultilevel"/>
    <w:tmpl w:val="A462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EF147B"/>
    <w:multiLevelType w:val="hybridMultilevel"/>
    <w:tmpl w:val="E432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433580"/>
    <w:multiLevelType w:val="hybridMultilevel"/>
    <w:tmpl w:val="39A4D61E"/>
    <w:lvl w:ilvl="0" w:tplc="0813001B">
      <w:start w:val="1"/>
      <w:numFmt w:val="low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65F9470A"/>
    <w:multiLevelType w:val="hybridMultilevel"/>
    <w:tmpl w:val="3A30CE66"/>
    <w:lvl w:ilvl="0" w:tplc="337ECC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6B816F4E"/>
    <w:multiLevelType w:val="hybridMultilevel"/>
    <w:tmpl w:val="83C474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nsid w:val="715216C8"/>
    <w:multiLevelType w:val="hybridMultilevel"/>
    <w:tmpl w:val="384C2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F6142E"/>
    <w:multiLevelType w:val="multilevel"/>
    <w:tmpl w:val="64E4157E"/>
    <w:lvl w:ilvl="0">
      <w:start w:val="1"/>
      <w:numFmt w:val="decimal"/>
      <w:suff w:val="nothing"/>
      <w:lvlText w:val="%1."/>
      <w:lvlJc w:val="left"/>
      <w:pPr>
        <w:ind w:left="360" w:hanging="360"/>
      </w:pPr>
    </w:lvl>
    <w:lvl w:ilvl="1">
      <w:start w:val="1"/>
      <w:numFmt w:val="decimal"/>
      <w:suff w:val="nothing"/>
      <w:lvlText w:val="%1.%2."/>
      <w:lvlJc w:val="left"/>
      <w:pPr>
        <w:ind w:left="792" w:hanging="79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4B75329"/>
    <w:multiLevelType w:val="hybridMultilevel"/>
    <w:tmpl w:val="2CF8A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A723DA"/>
    <w:multiLevelType w:val="hybridMultilevel"/>
    <w:tmpl w:val="5846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E3758C"/>
    <w:multiLevelType w:val="hybridMultilevel"/>
    <w:tmpl w:val="27904406"/>
    <w:lvl w:ilvl="0" w:tplc="7F3A42EE">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2"/>
  </w:num>
  <w:num w:numId="4">
    <w:abstractNumId w:val="3"/>
  </w:num>
  <w:num w:numId="5">
    <w:abstractNumId w:val="19"/>
  </w:num>
  <w:num w:numId="6">
    <w:abstractNumId w:val="31"/>
  </w:num>
  <w:num w:numId="7">
    <w:abstractNumId w:val="9"/>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num>
  <w:num w:numId="11">
    <w:abstractNumId w:val="24"/>
  </w:num>
  <w:num w:numId="12">
    <w:abstractNumId w:val="15"/>
  </w:num>
  <w:num w:numId="13">
    <w:abstractNumId w:val="34"/>
  </w:num>
  <w:num w:numId="14">
    <w:abstractNumId w:val="8"/>
  </w:num>
  <w:num w:numId="15">
    <w:abstractNumId w:val="12"/>
  </w:num>
  <w:num w:numId="16">
    <w:abstractNumId w:val="1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0"/>
  </w:num>
  <w:num w:numId="20">
    <w:abstractNumId w:val="14"/>
  </w:num>
  <w:num w:numId="21">
    <w:abstractNumId w:val="20"/>
  </w:num>
  <w:num w:numId="22">
    <w:abstractNumId w:val="28"/>
  </w:num>
  <w:num w:numId="23">
    <w:abstractNumId w:val="2"/>
  </w:num>
  <w:num w:numId="24">
    <w:abstractNumId w:val="4"/>
  </w:num>
  <w:num w:numId="25">
    <w:abstractNumId w:val="1"/>
  </w:num>
  <w:num w:numId="26">
    <w:abstractNumId w:val="7"/>
  </w:num>
  <w:num w:numId="27">
    <w:abstractNumId w:val="10"/>
  </w:num>
  <w:num w:numId="28">
    <w:abstractNumId w:val="16"/>
  </w:num>
  <w:num w:numId="29">
    <w:abstractNumId w:val="39"/>
  </w:num>
  <w:num w:numId="30">
    <w:abstractNumId w:val="6"/>
  </w:num>
  <w:num w:numId="31">
    <w:abstractNumId w:val="0"/>
  </w:num>
  <w:num w:numId="32">
    <w:abstractNumId w:val="30"/>
  </w:num>
  <w:num w:numId="33">
    <w:abstractNumId w:val="27"/>
  </w:num>
  <w:num w:numId="34">
    <w:abstractNumId w:val="22"/>
  </w:num>
  <w:num w:numId="35">
    <w:abstractNumId w:val="5"/>
  </w:num>
  <w:num w:numId="36">
    <w:abstractNumId w:val="23"/>
  </w:num>
  <w:num w:numId="37">
    <w:abstractNumId w:val="38"/>
  </w:num>
  <w:num w:numId="38">
    <w:abstractNumId w:val="21"/>
  </w:num>
  <w:num w:numId="39">
    <w:abstractNumId w:val="36"/>
  </w:num>
  <w:num w:numId="40">
    <w:abstractNumId w:val="26"/>
  </w:num>
  <w:num w:numId="41">
    <w:abstractNumId w:val="1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2"/>
    <w:rsid w:val="00002F0E"/>
    <w:rsid w:val="00006624"/>
    <w:rsid w:val="000102B2"/>
    <w:rsid w:val="000105C9"/>
    <w:rsid w:val="00013F4F"/>
    <w:rsid w:val="000243DC"/>
    <w:rsid w:val="00024F2A"/>
    <w:rsid w:val="00031539"/>
    <w:rsid w:val="00035486"/>
    <w:rsid w:val="000376FA"/>
    <w:rsid w:val="000413B3"/>
    <w:rsid w:val="00043A09"/>
    <w:rsid w:val="00044ED6"/>
    <w:rsid w:val="00045424"/>
    <w:rsid w:val="00045523"/>
    <w:rsid w:val="000458F3"/>
    <w:rsid w:val="00047391"/>
    <w:rsid w:val="00056CD4"/>
    <w:rsid w:val="00066EAE"/>
    <w:rsid w:val="00070041"/>
    <w:rsid w:val="00072E4F"/>
    <w:rsid w:val="000842D2"/>
    <w:rsid w:val="00087BDC"/>
    <w:rsid w:val="0009412D"/>
    <w:rsid w:val="0009633A"/>
    <w:rsid w:val="000A0AA9"/>
    <w:rsid w:val="000A178F"/>
    <w:rsid w:val="000A1EAE"/>
    <w:rsid w:val="000A219A"/>
    <w:rsid w:val="000A34E2"/>
    <w:rsid w:val="000A761E"/>
    <w:rsid w:val="000A7EDB"/>
    <w:rsid w:val="000B5C50"/>
    <w:rsid w:val="000B6E37"/>
    <w:rsid w:val="000B70DD"/>
    <w:rsid w:val="000C6A1A"/>
    <w:rsid w:val="000C6E2E"/>
    <w:rsid w:val="000C765A"/>
    <w:rsid w:val="000D22D3"/>
    <w:rsid w:val="000D53F6"/>
    <w:rsid w:val="000E0F37"/>
    <w:rsid w:val="000E14AF"/>
    <w:rsid w:val="000F3A48"/>
    <w:rsid w:val="000F5EA2"/>
    <w:rsid w:val="00101C3E"/>
    <w:rsid w:val="00110254"/>
    <w:rsid w:val="00111FB3"/>
    <w:rsid w:val="00115B5F"/>
    <w:rsid w:val="0011627C"/>
    <w:rsid w:val="00120264"/>
    <w:rsid w:val="00121FCC"/>
    <w:rsid w:val="0012204D"/>
    <w:rsid w:val="00127F58"/>
    <w:rsid w:val="00130A41"/>
    <w:rsid w:val="00132671"/>
    <w:rsid w:val="0013270A"/>
    <w:rsid w:val="001360C2"/>
    <w:rsid w:val="001445E3"/>
    <w:rsid w:val="00150BF9"/>
    <w:rsid w:val="00152402"/>
    <w:rsid w:val="00155492"/>
    <w:rsid w:val="00165405"/>
    <w:rsid w:val="00165B93"/>
    <w:rsid w:val="0016701E"/>
    <w:rsid w:val="00167B8C"/>
    <w:rsid w:val="00170E24"/>
    <w:rsid w:val="0017104F"/>
    <w:rsid w:val="001744CB"/>
    <w:rsid w:val="001749ED"/>
    <w:rsid w:val="00175994"/>
    <w:rsid w:val="0018327B"/>
    <w:rsid w:val="00183FCA"/>
    <w:rsid w:val="001873C6"/>
    <w:rsid w:val="00192DD8"/>
    <w:rsid w:val="00196B5A"/>
    <w:rsid w:val="001A1774"/>
    <w:rsid w:val="001A2A5A"/>
    <w:rsid w:val="001A6764"/>
    <w:rsid w:val="001C5428"/>
    <w:rsid w:val="001C6AAE"/>
    <w:rsid w:val="001D2ADF"/>
    <w:rsid w:val="001D2D01"/>
    <w:rsid w:val="001E006C"/>
    <w:rsid w:val="001E0204"/>
    <w:rsid w:val="001E6435"/>
    <w:rsid w:val="001E6ACA"/>
    <w:rsid w:val="001F2AE4"/>
    <w:rsid w:val="00203CAA"/>
    <w:rsid w:val="002051A8"/>
    <w:rsid w:val="002110E5"/>
    <w:rsid w:val="002138A9"/>
    <w:rsid w:val="00215E54"/>
    <w:rsid w:val="00223286"/>
    <w:rsid w:val="0022471B"/>
    <w:rsid w:val="002257E7"/>
    <w:rsid w:val="002323EF"/>
    <w:rsid w:val="00232BF1"/>
    <w:rsid w:val="00233E02"/>
    <w:rsid w:val="002343CF"/>
    <w:rsid w:val="0023570E"/>
    <w:rsid w:val="002438BE"/>
    <w:rsid w:val="0024472B"/>
    <w:rsid w:val="0025394C"/>
    <w:rsid w:val="002548F7"/>
    <w:rsid w:val="00254F7B"/>
    <w:rsid w:val="00255C88"/>
    <w:rsid w:val="002627E9"/>
    <w:rsid w:val="00267DB9"/>
    <w:rsid w:val="00272F05"/>
    <w:rsid w:val="00273211"/>
    <w:rsid w:val="002734DD"/>
    <w:rsid w:val="00276297"/>
    <w:rsid w:val="002776FA"/>
    <w:rsid w:val="00282AC0"/>
    <w:rsid w:val="0028326F"/>
    <w:rsid w:val="0028411D"/>
    <w:rsid w:val="002848E9"/>
    <w:rsid w:val="00290A18"/>
    <w:rsid w:val="00291792"/>
    <w:rsid w:val="002925A0"/>
    <w:rsid w:val="002975E8"/>
    <w:rsid w:val="00297E11"/>
    <w:rsid w:val="002A14F7"/>
    <w:rsid w:val="002A439F"/>
    <w:rsid w:val="002A4841"/>
    <w:rsid w:val="002A78E2"/>
    <w:rsid w:val="002B2EC5"/>
    <w:rsid w:val="002B6B69"/>
    <w:rsid w:val="002C1692"/>
    <w:rsid w:val="002C3094"/>
    <w:rsid w:val="002D10FA"/>
    <w:rsid w:val="002D2ABD"/>
    <w:rsid w:val="002D3991"/>
    <w:rsid w:val="002E3CED"/>
    <w:rsid w:val="002E4DFF"/>
    <w:rsid w:val="002E4F01"/>
    <w:rsid w:val="002F28F7"/>
    <w:rsid w:val="002F4B5E"/>
    <w:rsid w:val="002F58A8"/>
    <w:rsid w:val="002F7BA3"/>
    <w:rsid w:val="00303934"/>
    <w:rsid w:val="0030441B"/>
    <w:rsid w:val="0030451C"/>
    <w:rsid w:val="00306B08"/>
    <w:rsid w:val="00312331"/>
    <w:rsid w:val="00312C61"/>
    <w:rsid w:val="003173ED"/>
    <w:rsid w:val="00323810"/>
    <w:rsid w:val="00324892"/>
    <w:rsid w:val="00330F2D"/>
    <w:rsid w:val="00331022"/>
    <w:rsid w:val="00331CEC"/>
    <w:rsid w:val="0033200A"/>
    <w:rsid w:val="003324BE"/>
    <w:rsid w:val="00334FDE"/>
    <w:rsid w:val="003515C5"/>
    <w:rsid w:val="00354E70"/>
    <w:rsid w:val="00363FFA"/>
    <w:rsid w:val="00376B5B"/>
    <w:rsid w:val="00381E89"/>
    <w:rsid w:val="00387085"/>
    <w:rsid w:val="00387855"/>
    <w:rsid w:val="00387903"/>
    <w:rsid w:val="00391B56"/>
    <w:rsid w:val="00394BE3"/>
    <w:rsid w:val="003A1CB8"/>
    <w:rsid w:val="003A514A"/>
    <w:rsid w:val="003B5B21"/>
    <w:rsid w:val="003C5E29"/>
    <w:rsid w:val="003D028E"/>
    <w:rsid w:val="003D2540"/>
    <w:rsid w:val="003D3C09"/>
    <w:rsid w:val="003D70AF"/>
    <w:rsid w:val="003E17F7"/>
    <w:rsid w:val="003E2AC1"/>
    <w:rsid w:val="003F0B53"/>
    <w:rsid w:val="003F2D00"/>
    <w:rsid w:val="003F4804"/>
    <w:rsid w:val="003F596B"/>
    <w:rsid w:val="003F6033"/>
    <w:rsid w:val="003F7A4C"/>
    <w:rsid w:val="00403298"/>
    <w:rsid w:val="00404CFF"/>
    <w:rsid w:val="00405625"/>
    <w:rsid w:val="0040770A"/>
    <w:rsid w:val="004166E7"/>
    <w:rsid w:val="00416820"/>
    <w:rsid w:val="00417564"/>
    <w:rsid w:val="00421A52"/>
    <w:rsid w:val="0042233A"/>
    <w:rsid w:val="00422FA3"/>
    <w:rsid w:val="0042674E"/>
    <w:rsid w:val="00427A09"/>
    <w:rsid w:val="00430305"/>
    <w:rsid w:val="00430A57"/>
    <w:rsid w:val="0043371A"/>
    <w:rsid w:val="00433845"/>
    <w:rsid w:val="00436565"/>
    <w:rsid w:val="00437665"/>
    <w:rsid w:val="00437FAF"/>
    <w:rsid w:val="004427C6"/>
    <w:rsid w:val="00444415"/>
    <w:rsid w:val="004466E3"/>
    <w:rsid w:val="00461405"/>
    <w:rsid w:val="00465A31"/>
    <w:rsid w:val="004753D2"/>
    <w:rsid w:val="004772D0"/>
    <w:rsid w:val="00480F8E"/>
    <w:rsid w:val="00482009"/>
    <w:rsid w:val="004844E9"/>
    <w:rsid w:val="00484EC7"/>
    <w:rsid w:val="004857CD"/>
    <w:rsid w:val="00494EA2"/>
    <w:rsid w:val="00496FC0"/>
    <w:rsid w:val="004972DA"/>
    <w:rsid w:val="004A6A57"/>
    <w:rsid w:val="004A6C4D"/>
    <w:rsid w:val="004B04FD"/>
    <w:rsid w:val="004B08DA"/>
    <w:rsid w:val="004B3A48"/>
    <w:rsid w:val="004B6701"/>
    <w:rsid w:val="004C2E08"/>
    <w:rsid w:val="004C4A52"/>
    <w:rsid w:val="004C626B"/>
    <w:rsid w:val="004C67F0"/>
    <w:rsid w:val="004C6D0B"/>
    <w:rsid w:val="004D0FF5"/>
    <w:rsid w:val="004D1756"/>
    <w:rsid w:val="004D5E1A"/>
    <w:rsid w:val="004D627D"/>
    <w:rsid w:val="004D686B"/>
    <w:rsid w:val="004D6AE0"/>
    <w:rsid w:val="004E674A"/>
    <w:rsid w:val="004E7FFA"/>
    <w:rsid w:val="004F43D5"/>
    <w:rsid w:val="004F571C"/>
    <w:rsid w:val="004F6E89"/>
    <w:rsid w:val="00503CE6"/>
    <w:rsid w:val="005112FA"/>
    <w:rsid w:val="00523D7A"/>
    <w:rsid w:val="00525ED0"/>
    <w:rsid w:val="005339BD"/>
    <w:rsid w:val="00533D7C"/>
    <w:rsid w:val="00536E88"/>
    <w:rsid w:val="005423C1"/>
    <w:rsid w:val="0054364B"/>
    <w:rsid w:val="0054436E"/>
    <w:rsid w:val="00545A80"/>
    <w:rsid w:val="00545C1B"/>
    <w:rsid w:val="00552A00"/>
    <w:rsid w:val="00564835"/>
    <w:rsid w:val="005736E3"/>
    <w:rsid w:val="0057486A"/>
    <w:rsid w:val="00576F86"/>
    <w:rsid w:val="00580497"/>
    <w:rsid w:val="00582657"/>
    <w:rsid w:val="005846DB"/>
    <w:rsid w:val="00586400"/>
    <w:rsid w:val="005933E9"/>
    <w:rsid w:val="00593B26"/>
    <w:rsid w:val="00596CBA"/>
    <w:rsid w:val="005976A1"/>
    <w:rsid w:val="005A0C93"/>
    <w:rsid w:val="005A4283"/>
    <w:rsid w:val="005A61CB"/>
    <w:rsid w:val="005A6DA0"/>
    <w:rsid w:val="005B48BC"/>
    <w:rsid w:val="005B7AB5"/>
    <w:rsid w:val="005C67BB"/>
    <w:rsid w:val="005C6BB5"/>
    <w:rsid w:val="005D267C"/>
    <w:rsid w:val="005D7571"/>
    <w:rsid w:val="005E28E2"/>
    <w:rsid w:val="005F0A31"/>
    <w:rsid w:val="005F1D63"/>
    <w:rsid w:val="005F5BE8"/>
    <w:rsid w:val="00601BDB"/>
    <w:rsid w:val="006042F5"/>
    <w:rsid w:val="006119AF"/>
    <w:rsid w:val="00614941"/>
    <w:rsid w:val="006210AD"/>
    <w:rsid w:val="00622C19"/>
    <w:rsid w:val="006325B2"/>
    <w:rsid w:val="00632DC3"/>
    <w:rsid w:val="00635395"/>
    <w:rsid w:val="00635A93"/>
    <w:rsid w:val="006413C9"/>
    <w:rsid w:val="00642EB8"/>
    <w:rsid w:val="00645D3D"/>
    <w:rsid w:val="00646ED8"/>
    <w:rsid w:val="00651564"/>
    <w:rsid w:val="0065310D"/>
    <w:rsid w:val="00653B42"/>
    <w:rsid w:val="0065613B"/>
    <w:rsid w:val="00660344"/>
    <w:rsid w:val="006632E3"/>
    <w:rsid w:val="0066479F"/>
    <w:rsid w:val="00665D2C"/>
    <w:rsid w:val="00673EAC"/>
    <w:rsid w:val="006768FF"/>
    <w:rsid w:val="00677402"/>
    <w:rsid w:val="00677B6C"/>
    <w:rsid w:val="006835C9"/>
    <w:rsid w:val="00687498"/>
    <w:rsid w:val="00690345"/>
    <w:rsid w:val="00693676"/>
    <w:rsid w:val="00695062"/>
    <w:rsid w:val="00695E94"/>
    <w:rsid w:val="006A0724"/>
    <w:rsid w:val="006A099D"/>
    <w:rsid w:val="006A140C"/>
    <w:rsid w:val="006A5C17"/>
    <w:rsid w:val="006A7E1A"/>
    <w:rsid w:val="006B4082"/>
    <w:rsid w:val="006B45B4"/>
    <w:rsid w:val="006B5450"/>
    <w:rsid w:val="006B6327"/>
    <w:rsid w:val="006B7A96"/>
    <w:rsid w:val="006C070B"/>
    <w:rsid w:val="006C40F8"/>
    <w:rsid w:val="006D09E5"/>
    <w:rsid w:val="006D19FA"/>
    <w:rsid w:val="006E3F30"/>
    <w:rsid w:val="006E581D"/>
    <w:rsid w:val="006E7B9E"/>
    <w:rsid w:val="006F2868"/>
    <w:rsid w:val="006F2E52"/>
    <w:rsid w:val="006F40DA"/>
    <w:rsid w:val="006F4AD9"/>
    <w:rsid w:val="0070074D"/>
    <w:rsid w:val="00703C5D"/>
    <w:rsid w:val="007079ED"/>
    <w:rsid w:val="007109EA"/>
    <w:rsid w:val="00714FCA"/>
    <w:rsid w:val="007250A9"/>
    <w:rsid w:val="007251A3"/>
    <w:rsid w:val="00734583"/>
    <w:rsid w:val="00736194"/>
    <w:rsid w:val="00736631"/>
    <w:rsid w:val="00737819"/>
    <w:rsid w:val="00740953"/>
    <w:rsid w:val="00745769"/>
    <w:rsid w:val="007473E5"/>
    <w:rsid w:val="00752473"/>
    <w:rsid w:val="00754927"/>
    <w:rsid w:val="00756C2D"/>
    <w:rsid w:val="00757D88"/>
    <w:rsid w:val="00764AFE"/>
    <w:rsid w:val="00766700"/>
    <w:rsid w:val="00767EE7"/>
    <w:rsid w:val="007711E8"/>
    <w:rsid w:val="0077508B"/>
    <w:rsid w:val="007870E4"/>
    <w:rsid w:val="00787979"/>
    <w:rsid w:val="00794FEA"/>
    <w:rsid w:val="007A0D0E"/>
    <w:rsid w:val="007A63C7"/>
    <w:rsid w:val="007A6CDC"/>
    <w:rsid w:val="007B1993"/>
    <w:rsid w:val="007B1CDF"/>
    <w:rsid w:val="007B559E"/>
    <w:rsid w:val="007B69EE"/>
    <w:rsid w:val="007B6A77"/>
    <w:rsid w:val="007C2B80"/>
    <w:rsid w:val="007C61FD"/>
    <w:rsid w:val="007D129E"/>
    <w:rsid w:val="007D1DB8"/>
    <w:rsid w:val="007D45E7"/>
    <w:rsid w:val="007D4D57"/>
    <w:rsid w:val="007D6162"/>
    <w:rsid w:val="007D6233"/>
    <w:rsid w:val="007E13C2"/>
    <w:rsid w:val="007E49A7"/>
    <w:rsid w:val="007F2A5E"/>
    <w:rsid w:val="007F439C"/>
    <w:rsid w:val="00801031"/>
    <w:rsid w:val="008023D1"/>
    <w:rsid w:val="00803E99"/>
    <w:rsid w:val="00806229"/>
    <w:rsid w:val="00807614"/>
    <w:rsid w:val="00810D8A"/>
    <w:rsid w:val="008113CB"/>
    <w:rsid w:val="008143AE"/>
    <w:rsid w:val="008153A2"/>
    <w:rsid w:val="00823A29"/>
    <w:rsid w:val="00834B98"/>
    <w:rsid w:val="00837766"/>
    <w:rsid w:val="00840906"/>
    <w:rsid w:val="008465F6"/>
    <w:rsid w:val="008476D8"/>
    <w:rsid w:val="008504C1"/>
    <w:rsid w:val="00855D23"/>
    <w:rsid w:val="008567F0"/>
    <w:rsid w:val="008574C8"/>
    <w:rsid w:val="00862A7C"/>
    <w:rsid w:val="0087365A"/>
    <w:rsid w:val="008743A6"/>
    <w:rsid w:val="00874AAC"/>
    <w:rsid w:val="00877CDA"/>
    <w:rsid w:val="00880CC7"/>
    <w:rsid w:val="00881132"/>
    <w:rsid w:val="00883B09"/>
    <w:rsid w:val="0088657F"/>
    <w:rsid w:val="00892BAF"/>
    <w:rsid w:val="008A44E6"/>
    <w:rsid w:val="008A6B0B"/>
    <w:rsid w:val="008A7E53"/>
    <w:rsid w:val="008B11C1"/>
    <w:rsid w:val="008B14EB"/>
    <w:rsid w:val="008B1BF3"/>
    <w:rsid w:val="008B44DD"/>
    <w:rsid w:val="008B5499"/>
    <w:rsid w:val="008C03F9"/>
    <w:rsid w:val="008C61AD"/>
    <w:rsid w:val="008D1963"/>
    <w:rsid w:val="008D508E"/>
    <w:rsid w:val="008D5FA1"/>
    <w:rsid w:val="008D6518"/>
    <w:rsid w:val="008E1A7B"/>
    <w:rsid w:val="008E452A"/>
    <w:rsid w:val="008E632C"/>
    <w:rsid w:val="008E6E26"/>
    <w:rsid w:val="008F5964"/>
    <w:rsid w:val="008F7A1A"/>
    <w:rsid w:val="00903B2D"/>
    <w:rsid w:val="00907EF1"/>
    <w:rsid w:val="00914087"/>
    <w:rsid w:val="00914DE0"/>
    <w:rsid w:val="009167CD"/>
    <w:rsid w:val="00916A71"/>
    <w:rsid w:val="00924ACC"/>
    <w:rsid w:val="009333C6"/>
    <w:rsid w:val="00933F62"/>
    <w:rsid w:val="00937F57"/>
    <w:rsid w:val="00940ECE"/>
    <w:rsid w:val="009413F3"/>
    <w:rsid w:val="0094479D"/>
    <w:rsid w:val="0094508D"/>
    <w:rsid w:val="00956A48"/>
    <w:rsid w:val="009576C8"/>
    <w:rsid w:val="009713B0"/>
    <w:rsid w:val="009719D3"/>
    <w:rsid w:val="00980782"/>
    <w:rsid w:val="0098096E"/>
    <w:rsid w:val="00981235"/>
    <w:rsid w:val="00987F7E"/>
    <w:rsid w:val="00990E5E"/>
    <w:rsid w:val="00993398"/>
    <w:rsid w:val="009939E3"/>
    <w:rsid w:val="0099559C"/>
    <w:rsid w:val="0099684D"/>
    <w:rsid w:val="009B13AD"/>
    <w:rsid w:val="009B2BCE"/>
    <w:rsid w:val="009B4BE6"/>
    <w:rsid w:val="009B5B74"/>
    <w:rsid w:val="009B62BA"/>
    <w:rsid w:val="009B7E7C"/>
    <w:rsid w:val="009C12BA"/>
    <w:rsid w:val="009C193A"/>
    <w:rsid w:val="009C3DE3"/>
    <w:rsid w:val="009D0B19"/>
    <w:rsid w:val="009D1B9D"/>
    <w:rsid w:val="009D1CD6"/>
    <w:rsid w:val="009D559B"/>
    <w:rsid w:val="009D7966"/>
    <w:rsid w:val="009E0CF6"/>
    <w:rsid w:val="009E4F6E"/>
    <w:rsid w:val="009E6C23"/>
    <w:rsid w:val="009F022E"/>
    <w:rsid w:val="009F5D90"/>
    <w:rsid w:val="00A01DFA"/>
    <w:rsid w:val="00A02FD5"/>
    <w:rsid w:val="00A053E8"/>
    <w:rsid w:val="00A11F20"/>
    <w:rsid w:val="00A14F76"/>
    <w:rsid w:val="00A2047D"/>
    <w:rsid w:val="00A24606"/>
    <w:rsid w:val="00A25699"/>
    <w:rsid w:val="00A32DB4"/>
    <w:rsid w:val="00A3587D"/>
    <w:rsid w:val="00A36BE3"/>
    <w:rsid w:val="00A4322F"/>
    <w:rsid w:val="00A44AB1"/>
    <w:rsid w:val="00A47E44"/>
    <w:rsid w:val="00A60374"/>
    <w:rsid w:val="00A62372"/>
    <w:rsid w:val="00A629BC"/>
    <w:rsid w:val="00A65417"/>
    <w:rsid w:val="00A670C7"/>
    <w:rsid w:val="00A7019A"/>
    <w:rsid w:val="00A71A83"/>
    <w:rsid w:val="00A736AF"/>
    <w:rsid w:val="00A7471A"/>
    <w:rsid w:val="00A75A75"/>
    <w:rsid w:val="00A776AD"/>
    <w:rsid w:val="00A804E2"/>
    <w:rsid w:val="00A810D2"/>
    <w:rsid w:val="00A870A5"/>
    <w:rsid w:val="00A9055A"/>
    <w:rsid w:val="00A92F36"/>
    <w:rsid w:val="00A96502"/>
    <w:rsid w:val="00A96B81"/>
    <w:rsid w:val="00A971F4"/>
    <w:rsid w:val="00A977E3"/>
    <w:rsid w:val="00AA0099"/>
    <w:rsid w:val="00AA06A3"/>
    <w:rsid w:val="00AA0EE2"/>
    <w:rsid w:val="00AB37F5"/>
    <w:rsid w:val="00AB56B1"/>
    <w:rsid w:val="00AD669B"/>
    <w:rsid w:val="00AD7262"/>
    <w:rsid w:val="00AE7AAA"/>
    <w:rsid w:val="00AF2BDA"/>
    <w:rsid w:val="00AF7115"/>
    <w:rsid w:val="00B01834"/>
    <w:rsid w:val="00B02815"/>
    <w:rsid w:val="00B0618E"/>
    <w:rsid w:val="00B14C52"/>
    <w:rsid w:val="00B2092F"/>
    <w:rsid w:val="00B2412E"/>
    <w:rsid w:val="00B2651D"/>
    <w:rsid w:val="00B268AA"/>
    <w:rsid w:val="00B3716D"/>
    <w:rsid w:val="00B3784E"/>
    <w:rsid w:val="00B37F3E"/>
    <w:rsid w:val="00B412F5"/>
    <w:rsid w:val="00B4511F"/>
    <w:rsid w:val="00B500D2"/>
    <w:rsid w:val="00B5112A"/>
    <w:rsid w:val="00B513DC"/>
    <w:rsid w:val="00B5278B"/>
    <w:rsid w:val="00B5384F"/>
    <w:rsid w:val="00B53A81"/>
    <w:rsid w:val="00B62689"/>
    <w:rsid w:val="00B6270A"/>
    <w:rsid w:val="00B661AC"/>
    <w:rsid w:val="00B70C5E"/>
    <w:rsid w:val="00B7689D"/>
    <w:rsid w:val="00B772EA"/>
    <w:rsid w:val="00B80EC2"/>
    <w:rsid w:val="00B83CF0"/>
    <w:rsid w:val="00B8403C"/>
    <w:rsid w:val="00B85624"/>
    <w:rsid w:val="00B91CD0"/>
    <w:rsid w:val="00B948BB"/>
    <w:rsid w:val="00BA0B23"/>
    <w:rsid w:val="00BA0E3A"/>
    <w:rsid w:val="00BA1C0C"/>
    <w:rsid w:val="00BA5E11"/>
    <w:rsid w:val="00BA66D1"/>
    <w:rsid w:val="00BB0C26"/>
    <w:rsid w:val="00BB1059"/>
    <w:rsid w:val="00BB217D"/>
    <w:rsid w:val="00BB33B0"/>
    <w:rsid w:val="00BB5FA5"/>
    <w:rsid w:val="00BB70B2"/>
    <w:rsid w:val="00BB73F3"/>
    <w:rsid w:val="00BB750E"/>
    <w:rsid w:val="00BC1E12"/>
    <w:rsid w:val="00BD22D1"/>
    <w:rsid w:val="00BD6486"/>
    <w:rsid w:val="00BD7990"/>
    <w:rsid w:val="00BE100E"/>
    <w:rsid w:val="00BF0299"/>
    <w:rsid w:val="00BF1200"/>
    <w:rsid w:val="00BF17D7"/>
    <w:rsid w:val="00BF4831"/>
    <w:rsid w:val="00C005B8"/>
    <w:rsid w:val="00C00CE7"/>
    <w:rsid w:val="00C04230"/>
    <w:rsid w:val="00C04EE6"/>
    <w:rsid w:val="00C10E51"/>
    <w:rsid w:val="00C17852"/>
    <w:rsid w:val="00C250AB"/>
    <w:rsid w:val="00C327A6"/>
    <w:rsid w:val="00C35589"/>
    <w:rsid w:val="00C35C16"/>
    <w:rsid w:val="00C42832"/>
    <w:rsid w:val="00C434D4"/>
    <w:rsid w:val="00C47845"/>
    <w:rsid w:val="00C504F9"/>
    <w:rsid w:val="00C50F24"/>
    <w:rsid w:val="00C54C0D"/>
    <w:rsid w:val="00C5756C"/>
    <w:rsid w:val="00C60BD2"/>
    <w:rsid w:val="00C63B97"/>
    <w:rsid w:val="00C67664"/>
    <w:rsid w:val="00C71964"/>
    <w:rsid w:val="00C722D7"/>
    <w:rsid w:val="00C72CD1"/>
    <w:rsid w:val="00C74479"/>
    <w:rsid w:val="00C75109"/>
    <w:rsid w:val="00C80A03"/>
    <w:rsid w:val="00C817C2"/>
    <w:rsid w:val="00C85654"/>
    <w:rsid w:val="00C85973"/>
    <w:rsid w:val="00C9053A"/>
    <w:rsid w:val="00C939AA"/>
    <w:rsid w:val="00C94806"/>
    <w:rsid w:val="00C95452"/>
    <w:rsid w:val="00C95758"/>
    <w:rsid w:val="00C96334"/>
    <w:rsid w:val="00C9697E"/>
    <w:rsid w:val="00CA2F55"/>
    <w:rsid w:val="00CA36B3"/>
    <w:rsid w:val="00CA6969"/>
    <w:rsid w:val="00CA6F40"/>
    <w:rsid w:val="00CB3A51"/>
    <w:rsid w:val="00CC5B23"/>
    <w:rsid w:val="00CC6EF8"/>
    <w:rsid w:val="00CC71F7"/>
    <w:rsid w:val="00CC78D2"/>
    <w:rsid w:val="00CE1C13"/>
    <w:rsid w:val="00CE763C"/>
    <w:rsid w:val="00CF0153"/>
    <w:rsid w:val="00CF5903"/>
    <w:rsid w:val="00D055B3"/>
    <w:rsid w:val="00D11669"/>
    <w:rsid w:val="00D137BB"/>
    <w:rsid w:val="00D224A7"/>
    <w:rsid w:val="00D230BA"/>
    <w:rsid w:val="00D24716"/>
    <w:rsid w:val="00D27D2E"/>
    <w:rsid w:val="00D315B6"/>
    <w:rsid w:val="00D32746"/>
    <w:rsid w:val="00D37BE6"/>
    <w:rsid w:val="00D37E12"/>
    <w:rsid w:val="00D42A72"/>
    <w:rsid w:val="00D47164"/>
    <w:rsid w:val="00D52066"/>
    <w:rsid w:val="00D526E4"/>
    <w:rsid w:val="00D52ED2"/>
    <w:rsid w:val="00D550DF"/>
    <w:rsid w:val="00D5673D"/>
    <w:rsid w:val="00D56DCD"/>
    <w:rsid w:val="00D57C57"/>
    <w:rsid w:val="00D610DD"/>
    <w:rsid w:val="00D63574"/>
    <w:rsid w:val="00D643FA"/>
    <w:rsid w:val="00D6580F"/>
    <w:rsid w:val="00D72117"/>
    <w:rsid w:val="00D75415"/>
    <w:rsid w:val="00D777FA"/>
    <w:rsid w:val="00D809E8"/>
    <w:rsid w:val="00D839E8"/>
    <w:rsid w:val="00D83B51"/>
    <w:rsid w:val="00D861A8"/>
    <w:rsid w:val="00D91F81"/>
    <w:rsid w:val="00D94E86"/>
    <w:rsid w:val="00D95ED2"/>
    <w:rsid w:val="00D96929"/>
    <w:rsid w:val="00DA51B9"/>
    <w:rsid w:val="00DA5DA8"/>
    <w:rsid w:val="00DA74DA"/>
    <w:rsid w:val="00DB13D3"/>
    <w:rsid w:val="00DB246B"/>
    <w:rsid w:val="00DB66EC"/>
    <w:rsid w:val="00DC1D8E"/>
    <w:rsid w:val="00DD7530"/>
    <w:rsid w:val="00DE2F7E"/>
    <w:rsid w:val="00DF2E3A"/>
    <w:rsid w:val="00DF52E6"/>
    <w:rsid w:val="00E03A80"/>
    <w:rsid w:val="00E11015"/>
    <w:rsid w:val="00E1402B"/>
    <w:rsid w:val="00E15985"/>
    <w:rsid w:val="00E254DF"/>
    <w:rsid w:val="00E35701"/>
    <w:rsid w:val="00E479E4"/>
    <w:rsid w:val="00E5186B"/>
    <w:rsid w:val="00E559E3"/>
    <w:rsid w:val="00E579F8"/>
    <w:rsid w:val="00E634B7"/>
    <w:rsid w:val="00E65256"/>
    <w:rsid w:val="00E666DF"/>
    <w:rsid w:val="00E8756B"/>
    <w:rsid w:val="00E8775E"/>
    <w:rsid w:val="00E87953"/>
    <w:rsid w:val="00E912ED"/>
    <w:rsid w:val="00E94878"/>
    <w:rsid w:val="00E95C24"/>
    <w:rsid w:val="00E96EF1"/>
    <w:rsid w:val="00EA2D25"/>
    <w:rsid w:val="00EA33E6"/>
    <w:rsid w:val="00EA60F9"/>
    <w:rsid w:val="00EB3D04"/>
    <w:rsid w:val="00EB473F"/>
    <w:rsid w:val="00EB6852"/>
    <w:rsid w:val="00EC19C9"/>
    <w:rsid w:val="00EC73C5"/>
    <w:rsid w:val="00ED2776"/>
    <w:rsid w:val="00EE18B3"/>
    <w:rsid w:val="00EE428A"/>
    <w:rsid w:val="00EE7DC6"/>
    <w:rsid w:val="00EF2A41"/>
    <w:rsid w:val="00EF7773"/>
    <w:rsid w:val="00EF7CD1"/>
    <w:rsid w:val="00F01651"/>
    <w:rsid w:val="00F01BD9"/>
    <w:rsid w:val="00F04B28"/>
    <w:rsid w:val="00F05704"/>
    <w:rsid w:val="00F05E79"/>
    <w:rsid w:val="00F11225"/>
    <w:rsid w:val="00F13C39"/>
    <w:rsid w:val="00F160AA"/>
    <w:rsid w:val="00F17B9C"/>
    <w:rsid w:val="00F2192A"/>
    <w:rsid w:val="00F22F84"/>
    <w:rsid w:val="00F2357D"/>
    <w:rsid w:val="00F239DE"/>
    <w:rsid w:val="00F31223"/>
    <w:rsid w:val="00F325F3"/>
    <w:rsid w:val="00F337AC"/>
    <w:rsid w:val="00F361E1"/>
    <w:rsid w:val="00F364D1"/>
    <w:rsid w:val="00F41926"/>
    <w:rsid w:val="00F45388"/>
    <w:rsid w:val="00F5445B"/>
    <w:rsid w:val="00F54F04"/>
    <w:rsid w:val="00F56B86"/>
    <w:rsid w:val="00F60088"/>
    <w:rsid w:val="00F72B94"/>
    <w:rsid w:val="00F7423C"/>
    <w:rsid w:val="00F8380B"/>
    <w:rsid w:val="00F84789"/>
    <w:rsid w:val="00F92311"/>
    <w:rsid w:val="00F92345"/>
    <w:rsid w:val="00F92DB6"/>
    <w:rsid w:val="00F93A4D"/>
    <w:rsid w:val="00F94453"/>
    <w:rsid w:val="00FA2FC8"/>
    <w:rsid w:val="00FA3A02"/>
    <w:rsid w:val="00FA43F4"/>
    <w:rsid w:val="00FA5A09"/>
    <w:rsid w:val="00FA6E53"/>
    <w:rsid w:val="00FB33C3"/>
    <w:rsid w:val="00FB4683"/>
    <w:rsid w:val="00FB55ED"/>
    <w:rsid w:val="00FB5DC4"/>
    <w:rsid w:val="00FC0DB5"/>
    <w:rsid w:val="00FC1089"/>
    <w:rsid w:val="00FC5AA5"/>
    <w:rsid w:val="00FC7024"/>
    <w:rsid w:val="00FD5931"/>
    <w:rsid w:val="00FE244A"/>
    <w:rsid w:val="00FF0DBF"/>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70" w:after="120"/>
        <w:ind w:left="850" w:right="9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E2"/>
    <w:pPr>
      <w:spacing w:before="0"/>
      <w:ind w:left="0" w:right="0"/>
    </w:pPr>
    <w:rPr>
      <w:rFonts w:ascii="Book Antiqua" w:hAnsi="Book Antiqua"/>
      <w:lang w:val="en-GB"/>
    </w:rPr>
  </w:style>
  <w:style w:type="paragraph" w:styleId="Heading1">
    <w:name w:val="heading 1"/>
    <w:basedOn w:val="Normal"/>
    <w:next w:val="Normal"/>
    <w:link w:val="Heading1Char"/>
    <w:uiPriority w:val="9"/>
    <w:qFormat/>
    <w:rsid w:val="000A219A"/>
    <w:pPr>
      <w:keepNext/>
      <w:numPr>
        <w:numId w:val="32"/>
      </w:numPr>
      <w:spacing w:line="276" w:lineRule="auto"/>
      <w:ind w:left="432"/>
      <w:jc w:val="left"/>
      <w:outlineLvl w:val="0"/>
    </w:pPr>
    <w:rPr>
      <w:rFonts w:ascii="Calibri" w:eastAsia="Times New Roman" w:hAnsi="Calibri" w:cs="Arial"/>
      <w:b/>
      <w:bCs/>
      <w:i/>
      <w:color w:val="333300"/>
      <w:sz w:val="48"/>
      <w:szCs w:val="32"/>
    </w:rPr>
  </w:style>
  <w:style w:type="paragraph" w:styleId="Heading2">
    <w:name w:val="heading 2"/>
    <w:basedOn w:val="Heading1"/>
    <w:next w:val="Normal"/>
    <w:link w:val="Heading2Char"/>
    <w:uiPriority w:val="9"/>
    <w:qFormat/>
    <w:rsid w:val="000A219A"/>
    <w:pPr>
      <w:numPr>
        <w:ilvl w:val="1"/>
      </w:numPr>
      <w:outlineLvl w:val="1"/>
    </w:pPr>
    <w:rPr>
      <w:bCs w:val="0"/>
      <w:iCs/>
      <w:sz w:val="28"/>
      <w:szCs w:val="28"/>
    </w:rPr>
  </w:style>
  <w:style w:type="paragraph" w:styleId="Heading3">
    <w:name w:val="heading 3"/>
    <w:basedOn w:val="Heading2"/>
    <w:next w:val="Normal"/>
    <w:link w:val="Heading3Char"/>
    <w:qFormat/>
    <w:rsid w:val="000A219A"/>
    <w:pPr>
      <w:numPr>
        <w:ilvl w:val="2"/>
      </w:numPr>
      <w:outlineLvl w:val="2"/>
    </w:pPr>
    <w:rPr>
      <w:bCs/>
      <w:sz w:val="24"/>
      <w:szCs w:val="24"/>
    </w:rPr>
  </w:style>
  <w:style w:type="paragraph" w:styleId="Heading4">
    <w:name w:val="heading 4"/>
    <w:basedOn w:val="Heading3"/>
    <w:next w:val="Normal"/>
    <w:link w:val="Heading4Char"/>
    <w:qFormat/>
    <w:rsid w:val="000A219A"/>
    <w:pPr>
      <w:numPr>
        <w:ilvl w:val="3"/>
      </w:numPr>
      <w:spacing w:after="60"/>
      <w:outlineLvl w:val="3"/>
    </w:pPr>
    <w:rPr>
      <w:bCs w:val="0"/>
      <w:sz w:val="22"/>
      <w:szCs w:val="22"/>
    </w:rPr>
  </w:style>
  <w:style w:type="paragraph" w:styleId="Heading5">
    <w:name w:val="heading 5"/>
    <w:basedOn w:val="Normal"/>
    <w:next w:val="Normal"/>
    <w:link w:val="Heading5Char"/>
    <w:qFormat/>
    <w:rsid w:val="000A219A"/>
    <w:pPr>
      <w:numPr>
        <w:ilvl w:val="4"/>
        <w:numId w:val="32"/>
      </w:numPr>
      <w:spacing w:line="276" w:lineRule="auto"/>
      <w:jc w:val="left"/>
      <w:outlineLvl w:val="4"/>
    </w:pPr>
    <w:rPr>
      <w:rFonts w:ascii="Calibri" w:eastAsia="Times New Roman" w:hAnsi="Calibri" w:cs="Times New Roman"/>
      <w:b/>
      <w:bCs/>
      <w:iCs/>
      <w:szCs w:val="20"/>
      <w:lang w:eastAsia="nl-NL"/>
    </w:rPr>
  </w:style>
  <w:style w:type="paragraph" w:styleId="Heading6">
    <w:name w:val="heading 6"/>
    <w:basedOn w:val="Normal"/>
    <w:next w:val="Normal"/>
    <w:link w:val="Heading6Char"/>
    <w:qFormat/>
    <w:rsid w:val="000A219A"/>
    <w:pPr>
      <w:numPr>
        <w:ilvl w:val="5"/>
        <w:numId w:val="32"/>
      </w:numPr>
      <w:spacing w:line="276" w:lineRule="auto"/>
      <w:jc w:val="left"/>
      <w:outlineLvl w:val="5"/>
    </w:pPr>
    <w:rPr>
      <w:rFonts w:ascii="Calibri" w:eastAsia="Times New Roman" w:hAnsi="Calibri" w:cs="Times New Roman"/>
      <w:bCs/>
      <w:szCs w:val="28"/>
      <w:lang w:eastAsia="nl-NL"/>
    </w:rPr>
  </w:style>
  <w:style w:type="paragraph" w:styleId="Heading7">
    <w:name w:val="heading 7"/>
    <w:basedOn w:val="Normal"/>
    <w:next w:val="Normal"/>
    <w:link w:val="Heading7Char"/>
    <w:qFormat/>
    <w:rsid w:val="000A219A"/>
    <w:pPr>
      <w:numPr>
        <w:ilvl w:val="6"/>
        <w:numId w:val="32"/>
      </w:numPr>
      <w:spacing w:line="276" w:lineRule="auto"/>
      <w:jc w:val="left"/>
      <w:outlineLvl w:val="6"/>
    </w:pPr>
    <w:rPr>
      <w:rFonts w:ascii="Calibri" w:eastAsia="Times New Roman" w:hAnsi="Calibri" w:cs="Times New Roman"/>
      <w:szCs w:val="24"/>
      <w:lang w:eastAsia="nl-NL"/>
    </w:rPr>
  </w:style>
  <w:style w:type="paragraph" w:styleId="Heading8">
    <w:name w:val="heading 8"/>
    <w:basedOn w:val="Heading7"/>
    <w:next w:val="Normal"/>
    <w:link w:val="Heading8Char"/>
    <w:qFormat/>
    <w:rsid w:val="000A219A"/>
    <w:pPr>
      <w:numPr>
        <w:ilvl w:val="7"/>
      </w:numPr>
      <w:outlineLvl w:val="7"/>
    </w:pPr>
    <w:rPr>
      <w:iCs/>
      <w:szCs w:val="22"/>
    </w:rPr>
  </w:style>
  <w:style w:type="paragraph" w:styleId="Heading9">
    <w:name w:val="heading 9"/>
    <w:basedOn w:val="Normal"/>
    <w:next w:val="Normal"/>
    <w:link w:val="Heading9Char"/>
    <w:qFormat/>
    <w:rsid w:val="000A219A"/>
    <w:pPr>
      <w:numPr>
        <w:ilvl w:val="8"/>
        <w:numId w:val="32"/>
      </w:numPr>
      <w:spacing w:line="276" w:lineRule="auto"/>
      <w:jc w:val="left"/>
      <w:outlineLvl w:val="8"/>
    </w:pPr>
    <w:rPr>
      <w:rFonts w:ascii="Calibri" w:eastAsia="Times New Roman" w:hAnsi="Calibri" w:cs="Times New Roman"/>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05625"/>
    <w:pPr>
      <w:spacing w:after="0"/>
    </w:pPr>
    <w:rPr>
      <w:rFonts w:ascii="Tahoma" w:hAnsi="Tahoma" w:cs="Tahoma"/>
      <w:sz w:val="16"/>
      <w:szCs w:val="16"/>
    </w:rPr>
  </w:style>
  <w:style w:type="character" w:customStyle="1" w:styleId="BalloonTextChar">
    <w:name w:val="Balloon Text Char"/>
    <w:basedOn w:val="DefaultParagraphFont"/>
    <w:link w:val="BalloonText"/>
    <w:rsid w:val="00405625"/>
    <w:rPr>
      <w:rFonts w:ascii="Tahoma" w:hAnsi="Tahoma" w:cs="Tahoma"/>
      <w:sz w:val="16"/>
      <w:szCs w:val="16"/>
      <w:lang w:val="de-DE"/>
    </w:rPr>
  </w:style>
  <w:style w:type="paragraph" w:styleId="Header">
    <w:name w:val="header"/>
    <w:basedOn w:val="Normal"/>
    <w:link w:val="HeaderChar"/>
    <w:uiPriority w:val="99"/>
    <w:unhideWhenUsed/>
    <w:rsid w:val="00B661AC"/>
    <w:pPr>
      <w:tabs>
        <w:tab w:val="center" w:pos="4680"/>
        <w:tab w:val="right" w:pos="9360"/>
      </w:tabs>
      <w:spacing w:after="0"/>
    </w:pPr>
  </w:style>
  <w:style w:type="character" w:customStyle="1" w:styleId="HeaderChar">
    <w:name w:val="Header Char"/>
    <w:basedOn w:val="DefaultParagraphFont"/>
    <w:link w:val="Header"/>
    <w:uiPriority w:val="99"/>
    <w:rsid w:val="00B661AC"/>
    <w:rPr>
      <w:rFonts w:ascii="Book Antiqua" w:hAnsi="Book Antiqua"/>
      <w:lang w:val="de-DE"/>
    </w:rPr>
  </w:style>
  <w:style w:type="paragraph" w:styleId="Footer">
    <w:name w:val="footer"/>
    <w:basedOn w:val="Normal"/>
    <w:link w:val="FooterChar"/>
    <w:uiPriority w:val="99"/>
    <w:unhideWhenUsed/>
    <w:rsid w:val="00B661AC"/>
    <w:pPr>
      <w:tabs>
        <w:tab w:val="center" w:pos="4680"/>
        <w:tab w:val="right" w:pos="9360"/>
      </w:tabs>
      <w:spacing w:after="0"/>
    </w:pPr>
  </w:style>
  <w:style w:type="character" w:customStyle="1" w:styleId="FooterChar">
    <w:name w:val="Footer Char"/>
    <w:basedOn w:val="DefaultParagraphFont"/>
    <w:link w:val="Footer"/>
    <w:uiPriority w:val="99"/>
    <w:rsid w:val="00B661AC"/>
    <w:rPr>
      <w:rFonts w:ascii="Book Antiqua" w:hAnsi="Book Antiqua"/>
      <w:lang w:val="de-DE"/>
    </w:rPr>
  </w:style>
  <w:style w:type="paragraph" w:styleId="FootnoteText">
    <w:name w:val="footnote text"/>
    <w:aliases w:val="Schriftart: 9 pt,Schriftart: 10 pt,Schriftart: 8 pt,WB-Fußnotentext,fn,Footnotes,Footnote ak"/>
    <w:basedOn w:val="Normal"/>
    <w:link w:val="FootnoteTextChar"/>
    <w:unhideWhenUsed/>
    <w:rsid w:val="00C35C16"/>
    <w:pPr>
      <w:spacing w:after="0"/>
    </w:pPr>
    <w:rPr>
      <w:sz w:val="20"/>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C35C16"/>
    <w:rPr>
      <w:rFonts w:ascii="Book Antiqua" w:hAnsi="Book Antiqua"/>
      <w:sz w:val="20"/>
      <w:szCs w:val="20"/>
      <w:lang w:val="de-DE"/>
    </w:rPr>
  </w:style>
  <w:style w:type="character" w:styleId="FootnoteReference">
    <w:name w:val="footnote reference"/>
    <w:basedOn w:val="DefaultParagraphFont"/>
    <w:unhideWhenUsed/>
    <w:rsid w:val="00C35C16"/>
    <w:rPr>
      <w:vertAlign w:val="superscript"/>
    </w:rPr>
  </w:style>
  <w:style w:type="character" w:customStyle="1" w:styleId="Heading1Char">
    <w:name w:val="Heading 1 Char"/>
    <w:basedOn w:val="DefaultParagraphFont"/>
    <w:link w:val="Heading1"/>
    <w:uiPriority w:val="9"/>
    <w:rsid w:val="000A219A"/>
    <w:rPr>
      <w:rFonts w:ascii="Calibri" w:eastAsia="Times New Roman" w:hAnsi="Calibri" w:cs="Arial"/>
      <w:b/>
      <w:bCs/>
      <w:i/>
      <w:color w:val="333300"/>
      <w:sz w:val="48"/>
      <w:szCs w:val="32"/>
      <w:lang w:val="en-GB"/>
    </w:rPr>
  </w:style>
  <w:style w:type="character" w:customStyle="1" w:styleId="Heading2Char">
    <w:name w:val="Heading 2 Char"/>
    <w:basedOn w:val="DefaultParagraphFont"/>
    <w:link w:val="Heading2"/>
    <w:rsid w:val="000A219A"/>
    <w:rPr>
      <w:rFonts w:ascii="Calibri" w:eastAsia="Times New Roman" w:hAnsi="Calibri" w:cs="Arial"/>
      <w:b/>
      <w:i/>
      <w:iCs/>
      <w:color w:val="333300"/>
      <w:sz w:val="28"/>
      <w:szCs w:val="28"/>
      <w:lang w:val="en-GB"/>
    </w:rPr>
  </w:style>
  <w:style w:type="character" w:customStyle="1" w:styleId="Heading3Char">
    <w:name w:val="Heading 3 Char"/>
    <w:basedOn w:val="DefaultParagraphFont"/>
    <w:link w:val="Heading3"/>
    <w:rsid w:val="000A219A"/>
    <w:rPr>
      <w:rFonts w:ascii="Calibri" w:eastAsia="Times New Roman" w:hAnsi="Calibri" w:cs="Arial"/>
      <w:b/>
      <w:bCs/>
      <w:i/>
      <w:iCs/>
      <w:color w:val="333300"/>
      <w:sz w:val="24"/>
      <w:szCs w:val="24"/>
      <w:lang w:val="en-GB"/>
    </w:rPr>
  </w:style>
  <w:style w:type="character" w:customStyle="1" w:styleId="Heading4Char">
    <w:name w:val="Heading 4 Char"/>
    <w:basedOn w:val="DefaultParagraphFont"/>
    <w:link w:val="Heading4"/>
    <w:rsid w:val="000A219A"/>
    <w:rPr>
      <w:rFonts w:ascii="Calibri" w:eastAsia="Times New Roman" w:hAnsi="Calibri" w:cs="Arial"/>
      <w:b/>
      <w:i/>
      <w:iCs/>
      <w:color w:val="333300"/>
      <w:lang w:val="en-GB"/>
    </w:rPr>
  </w:style>
  <w:style w:type="character" w:customStyle="1" w:styleId="Heading5Char">
    <w:name w:val="Heading 5 Char"/>
    <w:basedOn w:val="DefaultParagraphFont"/>
    <w:link w:val="Heading5"/>
    <w:rsid w:val="000A219A"/>
    <w:rPr>
      <w:rFonts w:ascii="Calibri" w:eastAsia="Times New Roman" w:hAnsi="Calibri" w:cs="Times New Roman"/>
      <w:b/>
      <w:bCs/>
      <w:iCs/>
      <w:szCs w:val="20"/>
      <w:lang w:val="en-GB" w:eastAsia="nl-NL"/>
    </w:rPr>
  </w:style>
  <w:style w:type="character" w:customStyle="1" w:styleId="Heading6Char">
    <w:name w:val="Heading 6 Char"/>
    <w:basedOn w:val="DefaultParagraphFont"/>
    <w:link w:val="Heading6"/>
    <w:rsid w:val="000A219A"/>
    <w:rPr>
      <w:rFonts w:ascii="Calibri" w:eastAsia="Times New Roman" w:hAnsi="Calibri" w:cs="Times New Roman"/>
      <w:bCs/>
      <w:szCs w:val="28"/>
      <w:lang w:val="en-GB" w:eastAsia="nl-NL"/>
    </w:rPr>
  </w:style>
  <w:style w:type="character" w:customStyle="1" w:styleId="Heading7Char">
    <w:name w:val="Heading 7 Char"/>
    <w:basedOn w:val="DefaultParagraphFont"/>
    <w:link w:val="Heading7"/>
    <w:rsid w:val="000A219A"/>
    <w:rPr>
      <w:rFonts w:ascii="Calibri" w:eastAsia="Times New Roman" w:hAnsi="Calibri" w:cs="Times New Roman"/>
      <w:szCs w:val="24"/>
      <w:lang w:val="en-GB" w:eastAsia="nl-NL"/>
    </w:rPr>
  </w:style>
  <w:style w:type="character" w:customStyle="1" w:styleId="Heading8Char">
    <w:name w:val="Heading 8 Char"/>
    <w:basedOn w:val="DefaultParagraphFont"/>
    <w:link w:val="Heading8"/>
    <w:rsid w:val="000A219A"/>
    <w:rPr>
      <w:rFonts w:ascii="Calibri" w:eastAsia="Times New Roman" w:hAnsi="Calibri" w:cs="Times New Roman"/>
      <w:iCs/>
      <w:lang w:val="en-GB" w:eastAsia="nl-NL"/>
    </w:rPr>
  </w:style>
  <w:style w:type="character" w:customStyle="1" w:styleId="Heading9Char">
    <w:name w:val="Heading 9 Char"/>
    <w:basedOn w:val="DefaultParagraphFont"/>
    <w:link w:val="Heading9"/>
    <w:rsid w:val="000A219A"/>
    <w:rPr>
      <w:rFonts w:ascii="Calibri" w:eastAsia="Times New Roman" w:hAnsi="Calibri" w:cs="Times New Roman"/>
      <w:szCs w:val="20"/>
      <w:lang w:val="en-GB" w:eastAsia="nl-NL"/>
    </w:rPr>
  </w:style>
  <w:style w:type="paragraph" w:styleId="TOC5">
    <w:name w:val="toc 5"/>
    <w:basedOn w:val="Normal"/>
    <w:next w:val="Normal"/>
    <w:autoRedefine/>
    <w:semiHidden/>
    <w:rsid w:val="000A219A"/>
    <w:pPr>
      <w:spacing w:line="276" w:lineRule="auto"/>
      <w:ind w:left="880"/>
      <w:jc w:val="left"/>
    </w:pPr>
    <w:rPr>
      <w:rFonts w:ascii="Calibri" w:eastAsia="Times New Roman" w:hAnsi="Calibri" w:cs="Times New Roman"/>
      <w:sz w:val="18"/>
      <w:szCs w:val="24"/>
    </w:rPr>
  </w:style>
  <w:style w:type="paragraph" w:styleId="DocumentMap">
    <w:name w:val="Document Map"/>
    <w:basedOn w:val="Normal"/>
    <w:link w:val="DocumentMapChar"/>
    <w:semiHidden/>
    <w:rsid w:val="000A219A"/>
    <w:pPr>
      <w:shd w:val="clear" w:color="auto" w:fill="000080"/>
      <w:spacing w:line="276" w:lineRule="auto"/>
      <w:jc w:val="left"/>
    </w:pPr>
    <w:rPr>
      <w:rFonts w:ascii="Tahoma" w:eastAsia="Times New Roman" w:hAnsi="Tahoma" w:cs="Tahoma"/>
      <w:szCs w:val="20"/>
      <w:lang w:eastAsia="nl-NL"/>
    </w:rPr>
  </w:style>
  <w:style w:type="character" w:customStyle="1" w:styleId="DocumentMapChar">
    <w:name w:val="Document Map Char"/>
    <w:basedOn w:val="DefaultParagraphFont"/>
    <w:link w:val="DocumentMap"/>
    <w:semiHidden/>
    <w:rsid w:val="000A219A"/>
    <w:rPr>
      <w:rFonts w:ascii="Tahoma" w:eastAsia="Times New Roman" w:hAnsi="Tahoma" w:cs="Tahoma"/>
      <w:szCs w:val="20"/>
      <w:shd w:val="clear" w:color="auto" w:fill="000080"/>
      <w:lang w:val="en-GB" w:eastAsia="nl-NL"/>
    </w:rPr>
  </w:style>
  <w:style w:type="paragraph" w:styleId="TOC2">
    <w:name w:val="toc 2"/>
    <w:basedOn w:val="Normal"/>
    <w:next w:val="Normal"/>
    <w:autoRedefine/>
    <w:uiPriority w:val="39"/>
    <w:rsid w:val="000A219A"/>
    <w:pPr>
      <w:spacing w:line="276" w:lineRule="auto"/>
      <w:ind w:left="220"/>
      <w:jc w:val="left"/>
    </w:pPr>
    <w:rPr>
      <w:rFonts w:ascii="Calibri" w:eastAsia="Times New Roman" w:hAnsi="Calibri" w:cs="Times New Roman"/>
      <w:smallCaps/>
      <w:sz w:val="20"/>
      <w:szCs w:val="24"/>
    </w:rPr>
  </w:style>
  <w:style w:type="paragraph" w:styleId="Title">
    <w:name w:val="Title"/>
    <w:basedOn w:val="Heading1"/>
    <w:link w:val="TitleChar"/>
    <w:qFormat/>
    <w:rsid w:val="000A219A"/>
    <w:pPr>
      <w:numPr>
        <w:numId w:val="0"/>
      </w:numPr>
      <w:jc w:val="center"/>
    </w:pPr>
    <w:rPr>
      <w:bCs w:val="0"/>
      <w:i w:val="0"/>
      <w:kern w:val="28"/>
    </w:rPr>
  </w:style>
  <w:style w:type="character" w:customStyle="1" w:styleId="TitleChar">
    <w:name w:val="Title Char"/>
    <w:basedOn w:val="DefaultParagraphFont"/>
    <w:link w:val="Title"/>
    <w:rsid w:val="000A219A"/>
    <w:rPr>
      <w:rFonts w:ascii="Calibri" w:eastAsia="Times New Roman" w:hAnsi="Calibri" w:cs="Arial"/>
      <w:b/>
      <w:color w:val="333300"/>
      <w:kern w:val="28"/>
      <w:sz w:val="48"/>
      <w:szCs w:val="32"/>
      <w:lang w:val="en-GB"/>
    </w:rPr>
  </w:style>
  <w:style w:type="paragraph" w:styleId="TOC1">
    <w:name w:val="toc 1"/>
    <w:basedOn w:val="Normal"/>
    <w:next w:val="Normal"/>
    <w:autoRedefine/>
    <w:uiPriority w:val="39"/>
    <w:rsid w:val="000A219A"/>
    <w:pPr>
      <w:tabs>
        <w:tab w:val="left" w:pos="440"/>
        <w:tab w:val="right" w:leader="dot" w:pos="8460"/>
      </w:tabs>
      <w:spacing w:before="120" w:line="276" w:lineRule="auto"/>
      <w:jc w:val="left"/>
    </w:pPr>
    <w:rPr>
      <w:rFonts w:ascii="Calibri" w:eastAsia="Times New Roman" w:hAnsi="Calibri" w:cs="Times New Roman"/>
      <w:b/>
      <w:caps/>
      <w:sz w:val="20"/>
      <w:szCs w:val="24"/>
    </w:rPr>
  </w:style>
  <w:style w:type="paragraph" w:styleId="TOC3">
    <w:name w:val="toc 3"/>
    <w:basedOn w:val="Normal"/>
    <w:next w:val="Normal"/>
    <w:autoRedefine/>
    <w:uiPriority w:val="39"/>
    <w:rsid w:val="000A219A"/>
    <w:pPr>
      <w:spacing w:line="276" w:lineRule="auto"/>
      <w:ind w:left="440"/>
      <w:jc w:val="left"/>
    </w:pPr>
    <w:rPr>
      <w:rFonts w:ascii="Calibri" w:eastAsia="Times New Roman" w:hAnsi="Calibri" w:cs="Times New Roman"/>
      <w:i/>
      <w:sz w:val="20"/>
      <w:szCs w:val="24"/>
    </w:rPr>
  </w:style>
  <w:style w:type="paragraph" w:styleId="TOC4">
    <w:name w:val="toc 4"/>
    <w:basedOn w:val="Normal"/>
    <w:next w:val="Normal"/>
    <w:autoRedefine/>
    <w:semiHidden/>
    <w:rsid w:val="000A219A"/>
    <w:pPr>
      <w:spacing w:line="276" w:lineRule="auto"/>
      <w:ind w:left="660"/>
      <w:jc w:val="left"/>
    </w:pPr>
    <w:rPr>
      <w:rFonts w:ascii="Calibri" w:eastAsia="Times New Roman" w:hAnsi="Calibri" w:cs="Times New Roman"/>
      <w:sz w:val="18"/>
      <w:szCs w:val="24"/>
    </w:rPr>
  </w:style>
  <w:style w:type="paragraph" w:customStyle="1" w:styleId="Confidential">
    <w:name w:val="Confidential"/>
    <w:basedOn w:val="Normal"/>
    <w:next w:val="Normal"/>
    <w:rsid w:val="000A219A"/>
    <w:pPr>
      <w:spacing w:before="120"/>
    </w:pPr>
    <w:rPr>
      <w:rFonts w:ascii="Calibri" w:eastAsia="Times New Roman" w:hAnsi="Calibri" w:cs="Times New Roman"/>
      <w:b/>
      <w:caps/>
      <w:color w:val="FF0000"/>
      <w:lang w:eastAsia="nl-NL"/>
    </w:rPr>
  </w:style>
  <w:style w:type="paragraph" w:styleId="Caption">
    <w:name w:val="caption"/>
    <w:aliases w:val="Inscription,Beschriftung Char,Beschriftung Char Char Char Car"/>
    <w:basedOn w:val="Normal"/>
    <w:next w:val="Normal"/>
    <w:uiPriority w:val="35"/>
    <w:qFormat/>
    <w:rsid w:val="000A219A"/>
    <w:pPr>
      <w:keepNext/>
      <w:spacing w:line="276" w:lineRule="auto"/>
      <w:jc w:val="left"/>
    </w:pPr>
    <w:rPr>
      <w:rFonts w:ascii="Calibri" w:eastAsia="Times New Roman" w:hAnsi="Calibri" w:cs="Times New Roman"/>
      <w:b/>
      <w:bCs/>
      <w:sz w:val="20"/>
      <w:szCs w:val="20"/>
      <w:lang w:eastAsia="nl-NL"/>
    </w:rPr>
  </w:style>
  <w:style w:type="paragraph" w:styleId="TOC6">
    <w:name w:val="toc 6"/>
    <w:basedOn w:val="Normal"/>
    <w:next w:val="Normal"/>
    <w:autoRedefine/>
    <w:semiHidden/>
    <w:rsid w:val="000A219A"/>
    <w:pPr>
      <w:spacing w:before="120"/>
      <w:ind w:left="1200"/>
    </w:pPr>
    <w:rPr>
      <w:rFonts w:ascii="Times New Roman" w:eastAsia="Times New Roman" w:hAnsi="Times New Roman" w:cs="Times New Roman"/>
      <w:sz w:val="24"/>
      <w:szCs w:val="20"/>
      <w:lang w:val="it-IT" w:eastAsia="it-IT"/>
    </w:rPr>
  </w:style>
  <w:style w:type="table" w:styleId="TableGrid">
    <w:name w:val="Table Grid"/>
    <w:aliases w:val="Check(v)"/>
    <w:basedOn w:val="TableNormal"/>
    <w:uiPriority w:val="59"/>
    <w:rsid w:val="000A219A"/>
    <w:pPr>
      <w:spacing w:before="0" w:after="0"/>
      <w:ind w:left="0" w:right="0"/>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Values">
    <w:name w:val="References (Values)"/>
    <w:basedOn w:val="Normal"/>
    <w:rsid w:val="000A219A"/>
    <w:pPr>
      <w:spacing w:line="276" w:lineRule="auto"/>
      <w:jc w:val="left"/>
    </w:pPr>
    <w:rPr>
      <w:rFonts w:ascii="Calibri" w:eastAsia="Times New Roman" w:hAnsi="Calibri" w:cs="Times New Roman"/>
      <w:szCs w:val="20"/>
      <w:lang w:eastAsia="nl-NL"/>
    </w:rPr>
  </w:style>
  <w:style w:type="paragraph" w:customStyle="1" w:styleId="ReferencesKeys">
    <w:name w:val="References (Keys)"/>
    <w:basedOn w:val="Normal"/>
    <w:rsid w:val="000A219A"/>
    <w:pPr>
      <w:spacing w:line="276" w:lineRule="auto"/>
      <w:jc w:val="right"/>
    </w:pPr>
    <w:rPr>
      <w:rFonts w:ascii="Calibri" w:eastAsia="Times New Roman" w:hAnsi="Calibri" w:cs="Times New Roman"/>
      <w:szCs w:val="20"/>
      <w:lang w:eastAsia="nl-NL"/>
    </w:rPr>
  </w:style>
  <w:style w:type="paragraph" w:styleId="TOC7">
    <w:name w:val="toc 7"/>
    <w:basedOn w:val="Normal"/>
    <w:next w:val="Normal"/>
    <w:autoRedefine/>
    <w:semiHidden/>
    <w:rsid w:val="000A219A"/>
    <w:pPr>
      <w:spacing w:before="120"/>
      <w:ind w:left="1440"/>
    </w:pPr>
    <w:rPr>
      <w:rFonts w:ascii="Times New Roman" w:eastAsia="Times New Roman" w:hAnsi="Times New Roman" w:cs="Times New Roman"/>
      <w:sz w:val="24"/>
      <w:szCs w:val="20"/>
      <w:lang w:val="it-IT" w:eastAsia="it-IT"/>
    </w:rPr>
  </w:style>
  <w:style w:type="paragraph" w:styleId="TOC8">
    <w:name w:val="toc 8"/>
    <w:basedOn w:val="Normal"/>
    <w:next w:val="Normal"/>
    <w:autoRedefine/>
    <w:semiHidden/>
    <w:rsid w:val="000A219A"/>
    <w:pPr>
      <w:spacing w:before="120"/>
      <w:ind w:left="1680"/>
    </w:pPr>
    <w:rPr>
      <w:rFonts w:ascii="Times New Roman" w:eastAsia="Times New Roman" w:hAnsi="Times New Roman" w:cs="Times New Roman"/>
      <w:sz w:val="24"/>
      <w:szCs w:val="20"/>
      <w:lang w:val="it-IT" w:eastAsia="it-IT"/>
    </w:rPr>
  </w:style>
  <w:style w:type="paragraph" w:styleId="TOC9">
    <w:name w:val="toc 9"/>
    <w:basedOn w:val="Normal"/>
    <w:next w:val="Normal"/>
    <w:autoRedefine/>
    <w:semiHidden/>
    <w:rsid w:val="000A219A"/>
    <w:pPr>
      <w:spacing w:before="120"/>
      <w:ind w:left="1920"/>
    </w:pPr>
    <w:rPr>
      <w:rFonts w:ascii="Times New Roman" w:eastAsia="Times New Roman" w:hAnsi="Times New Roman" w:cs="Times New Roman"/>
      <w:sz w:val="24"/>
      <w:szCs w:val="20"/>
      <w:lang w:val="it-IT" w:eastAsia="it-IT"/>
    </w:rPr>
  </w:style>
  <w:style w:type="paragraph" w:styleId="ListBullet">
    <w:name w:val="List Bullet"/>
    <w:basedOn w:val="Normal"/>
    <w:rsid w:val="000A219A"/>
    <w:pPr>
      <w:tabs>
        <w:tab w:val="num" w:pos="360"/>
      </w:tabs>
      <w:ind w:left="360" w:hanging="360"/>
      <w:jc w:val="left"/>
    </w:pPr>
    <w:rPr>
      <w:rFonts w:ascii="Times New Roman" w:eastAsia="SimSun" w:hAnsi="Times New Roman" w:cs="Times New Roman"/>
      <w:sz w:val="24"/>
      <w:szCs w:val="24"/>
      <w:lang w:val="en-US" w:eastAsia="zh-CN"/>
    </w:rPr>
  </w:style>
  <w:style w:type="character" w:styleId="Hyperlink">
    <w:name w:val="Hyperlink"/>
    <w:uiPriority w:val="99"/>
    <w:rsid w:val="000A219A"/>
    <w:rPr>
      <w:color w:val="0000FF"/>
      <w:u w:val="single"/>
    </w:rPr>
  </w:style>
  <w:style w:type="paragraph" w:styleId="ListParagraph">
    <w:name w:val="List Paragraph"/>
    <w:basedOn w:val="Normal"/>
    <w:uiPriority w:val="34"/>
    <w:qFormat/>
    <w:rsid w:val="000A219A"/>
    <w:pPr>
      <w:spacing w:line="276" w:lineRule="auto"/>
      <w:ind w:left="708"/>
      <w:jc w:val="left"/>
    </w:pPr>
    <w:rPr>
      <w:rFonts w:ascii="Calibri" w:eastAsia="Times New Roman" w:hAnsi="Calibri" w:cs="Times New Roman"/>
      <w:szCs w:val="20"/>
      <w:lang w:eastAsia="nl-NL"/>
    </w:rPr>
  </w:style>
  <w:style w:type="character" w:styleId="FollowedHyperlink">
    <w:name w:val="FollowedHyperlink"/>
    <w:rsid w:val="000A219A"/>
    <w:rPr>
      <w:color w:val="800080"/>
      <w:u w:val="single"/>
    </w:rPr>
  </w:style>
  <w:style w:type="character" w:styleId="CommentReference">
    <w:name w:val="annotation reference"/>
    <w:basedOn w:val="DefaultParagraphFont"/>
    <w:uiPriority w:val="99"/>
    <w:rsid w:val="000A219A"/>
    <w:rPr>
      <w:sz w:val="16"/>
      <w:szCs w:val="16"/>
    </w:rPr>
  </w:style>
  <w:style w:type="paragraph" w:styleId="CommentText">
    <w:name w:val="annotation text"/>
    <w:basedOn w:val="Normal"/>
    <w:link w:val="CommentTextChar"/>
    <w:uiPriority w:val="99"/>
    <w:rsid w:val="000A219A"/>
    <w:pPr>
      <w:jc w:val="left"/>
    </w:pPr>
    <w:rPr>
      <w:rFonts w:ascii="Calibri" w:eastAsia="Times New Roman" w:hAnsi="Calibri" w:cs="Times New Roman"/>
      <w:sz w:val="20"/>
      <w:szCs w:val="20"/>
      <w:lang w:eastAsia="nl-NL"/>
    </w:rPr>
  </w:style>
  <w:style w:type="character" w:customStyle="1" w:styleId="CommentTextChar">
    <w:name w:val="Comment Text Char"/>
    <w:basedOn w:val="DefaultParagraphFont"/>
    <w:link w:val="CommentText"/>
    <w:uiPriority w:val="99"/>
    <w:rsid w:val="000A219A"/>
    <w:rPr>
      <w:rFonts w:ascii="Calibri" w:eastAsia="Times New Roman" w:hAnsi="Calibri" w:cs="Times New Roman"/>
      <w:sz w:val="20"/>
      <w:szCs w:val="20"/>
      <w:lang w:val="en-GB" w:eastAsia="nl-NL"/>
    </w:rPr>
  </w:style>
  <w:style w:type="paragraph" w:styleId="CommentSubject">
    <w:name w:val="annotation subject"/>
    <w:basedOn w:val="CommentText"/>
    <w:next w:val="CommentText"/>
    <w:link w:val="CommentSubjectChar"/>
    <w:rsid w:val="000A219A"/>
    <w:rPr>
      <w:b/>
      <w:bCs/>
    </w:rPr>
  </w:style>
  <w:style w:type="character" w:customStyle="1" w:styleId="CommentSubjectChar">
    <w:name w:val="Comment Subject Char"/>
    <w:basedOn w:val="CommentTextChar"/>
    <w:link w:val="CommentSubject"/>
    <w:rsid w:val="000A219A"/>
    <w:rPr>
      <w:rFonts w:ascii="Calibri" w:eastAsia="Times New Roman" w:hAnsi="Calibri" w:cs="Times New Roman"/>
      <w:b/>
      <w:bCs/>
      <w:sz w:val="20"/>
      <w:szCs w:val="20"/>
      <w:lang w:val="en-GB" w:eastAsia="nl-NL"/>
    </w:rPr>
  </w:style>
  <w:style w:type="paragraph" w:styleId="TableofFigures">
    <w:name w:val="table of figures"/>
    <w:basedOn w:val="Normal"/>
    <w:next w:val="Normal"/>
    <w:uiPriority w:val="99"/>
    <w:rsid w:val="000A219A"/>
    <w:pPr>
      <w:spacing w:line="276" w:lineRule="auto"/>
      <w:jc w:val="left"/>
    </w:pPr>
    <w:rPr>
      <w:rFonts w:ascii="Calibri" w:eastAsia="Times New Roman" w:hAnsi="Calibri" w:cs="Times New Roman"/>
      <w:szCs w:val="20"/>
      <w:lang w:eastAsia="nl-NL"/>
    </w:rPr>
  </w:style>
  <w:style w:type="paragraph" w:styleId="Subtitle">
    <w:name w:val="Subtitle"/>
    <w:basedOn w:val="Normal"/>
    <w:next w:val="Normal"/>
    <w:link w:val="SubtitleChar"/>
    <w:qFormat/>
    <w:rsid w:val="000A219A"/>
    <w:pPr>
      <w:numPr>
        <w:ilvl w:val="1"/>
      </w:numPr>
      <w:spacing w:line="276" w:lineRule="auto"/>
      <w:jc w:val="left"/>
    </w:pPr>
    <w:rPr>
      <w:rFonts w:ascii="Calibri" w:eastAsiaTheme="majorEastAsia" w:hAnsi="Calibri" w:cstheme="majorBidi"/>
      <w:i/>
      <w:iCs/>
      <w:color w:val="333300"/>
      <w:spacing w:val="15"/>
      <w:sz w:val="24"/>
      <w:szCs w:val="24"/>
      <w:lang w:eastAsia="nl-NL"/>
    </w:rPr>
  </w:style>
  <w:style w:type="character" w:customStyle="1" w:styleId="SubtitleChar">
    <w:name w:val="Subtitle Char"/>
    <w:basedOn w:val="DefaultParagraphFont"/>
    <w:link w:val="Subtitle"/>
    <w:rsid w:val="000A219A"/>
    <w:rPr>
      <w:rFonts w:ascii="Calibri" w:eastAsiaTheme="majorEastAsia" w:hAnsi="Calibri" w:cstheme="majorBidi"/>
      <w:i/>
      <w:iCs/>
      <w:color w:val="333300"/>
      <w:spacing w:val="15"/>
      <w:sz w:val="24"/>
      <w:szCs w:val="24"/>
      <w:lang w:val="en-GB" w:eastAsia="nl-NL"/>
    </w:rPr>
  </w:style>
  <w:style w:type="character" w:styleId="Emphasis">
    <w:name w:val="Emphasis"/>
    <w:basedOn w:val="DefaultParagraphFont"/>
    <w:uiPriority w:val="20"/>
    <w:qFormat/>
    <w:rsid w:val="000A219A"/>
    <w:rPr>
      <w:i/>
      <w:iCs/>
    </w:rPr>
  </w:style>
  <w:style w:type="paragraph" w:customStyle="1" w:styleId="BeschriftungAbbildung">
    <w:name w:val="BeschriftungAbbildung"/>
    <w:basedOn w:val="Caption"/>
    <w:next w:val="Normal"/>
    <w:rsid w:val="000A219A"/>
    <w:pPr>
      <w:keepLines/>
      <w:spacing w:before="290" w:after="180" w:line="290" w:lineRule="atLeast"/>
      <w:ind w:left="1871" w:hanging="1871"/>
    </w:pPr>
    <w:rPr>
      <w:rFonts w:ascii="Arial" w:hAnsi="Arial"/>
      <w:b w:val="0"/>
      <w:bCs w:val="0"/>
      <w:sz w:val="22"/>
      <w:szCs w:val="22"/>
      <w:lang w:eastAsia="de-DE"/>
    </w:rPr>
  </w:style>
  <w:style w:type="numbering" w:customStyle="1" w:styleId="berschriftenliste">
    <w:name w:val="Überschriftenliste"/>
    <w:basedOn w:val="NoList"/>
    <w:rsid w:val="000A219A"/>
    <w:pPr>
      <w:numPr>
        <w:numId w:val="2"/>
      </w:numPr>
    </w:pPr>
  </w:style>
  <w:style w:type="paragraph" w:customStyle="1" w:styleId="QuelleAbbildung">
    <w:name w:val="QuelleAbbildung"/>
    <w:basedOn w:val="Normal"/>
    <w:link w:val="QuelleAbbildungZchn"/>
    <w:qFormat/>
    <w:rsid w:val="000A219A"/>
    <w:pPr>
      <w:keepLines/>
      <w:spacing w:before="60" w:after="0"/>
      <w:jc w:val="left"/>
    </w:pPr>
    <w:rPr>
      <w:rFonts w:ascii="Arial" w:eastAsia="Times New Roman" w:hAnsi="Arial" w:cs="Times New Roman"/>
      <w:i/>
      <w:sz w:val="18"/>
      <w:lang w:eastAsia="de-DE"/>
    </w:rPr>
  </w:style>
  <w:style w:type="character" w:customStyle="1" w:styleId="QuelleAbbildungZchn">
    <w:name w:val="QuelleAbbildung Zchn"/>
    <w:basedOn w:val="DefaultParagraphFont"/>
    <w:link w:val="QuelleAbbildung"/>
    <w:rsid w:val="000A219A"/>
    <w:rPr>
      <w:rFonts w:ascii="Arial" w:eastAsia="Times New Roman" w:hAnsi="Arial" w:cs="Times New Roman"/>
      <w:i/>
      <w:sz w:val="18"/>
      <w:lang w:val="en-GB" w:eastAsia="de-DE"/>
    </w:rPr>
  </w:style>
  <w:style w:type="paragraph" w:customStyle="1" w:styleId="ADAMNormal">
    <w:name w:val="ADAM_Normal"/>
    <w:basedOn w:val="Normal"/>
    <w:rsid w:val="000A219A"/>
    <w:pPr>
      <w:spacing w:before="120" w:line="360" w:lineRule="atLeast"/>
    </w:pPr>
    <w:rPr>
      <w:rFonts w:ascii="Times New Roman" w:eastAsia="Times New Roman" w:hAnsi="Times New Roman" w:cs="Times New Roman"/>
      <w:lang w:eastAsia="en-GB"/>
    </w:rPr>
  </w:style>
  <w:style w:type="paragraph" w:customStyle="1" w:styleId="Tabelle">
    <w:name w:val="Tabelle"/>
    <w:basedOn w:val="Normal"/>
    <w:rsid w:val="000A219A"/>
    <w:pPr>
      <w:keepLines/>
      <w:spacing w:before="60" w:after="60"/>
      <w:jc w:val="left"/>
    </w:pPr>
    <w:rPr>
      <w:rFonts w:ascii="Arial" w:eastAsia="Times New Roman" w:hAnsi="Arial" w:cs="Times New Roman"/>
      <w:sz w:val="20"/>
      <w:szCs w:val="18"/>
      <w:lang w:eastAsia="de-DE"/>
    </w:rPr>
  </w:style>
  <w:style w:type="character" w:styleId="Strong">
    <w:name w:val="Strong"/>
    <w:basedOn w:val="DefaultParagraphFont"/>
    <w:uiPriority w:val="22"/>
    <w:qFormat/>
    <w:rsid w:val="000A219A"/>
    <w:rPr>
      <w:b/>
      <w:bCs/>
    </w:rPr>
  </w:style>
  <w:style w:type="paragraph" w:customStyle="1" w:styleId="BodyText1">
    <w:name w:val="Body Text1"/>
    <w:basedOn w:val="BodyText"/>
    <w:link w:val="BodytextChar"/>
    <w:qFormat/>
    <w:rsid w:val="000A219A"/>
    <w:pPr>
      <w:spacing w:after="0" w:line="300" w:lineRule="atLeast"/>
      <w:jc w:val="both"/>
    </w:pPr>
    <w:rPr>
      <w:rFonts w:ascii="Arial" w:hAnsi="Arial" w:cs="Arial"/>
      <w:bCs/>
      <w:szCs w:val="22"/>
      <w:lang w:eastAsia="en-US"/>
    </w:rPr>
  </w:style>
  <w:style w:type="character" w:customStyle="1" w:styleId="BodytextChar">
    <w:name w:val="Body text Char"/>
    <w:link w:val="BodyText1"/>
    <w:rsid w:val="000A219A"/>
    <w:rPr>
      <w:rFonts w:ascii="Arial" w:eastAsia="Times New Roman" w:hAnsi="Arial" w:cs="Arial"/>
      <w:bCs/>
      <w:lang w:val="en-GB"/>
    </w:rPr>
  </w:style>
  <w:style w:type="paragraph" w:styleId="BodyText">
    <w:name w:val="Body Text"/>
    <w:basedOn w:val="Normal"/>
    <w:link w:val="BodyTextChar0"/>
    <w:rsid w:val="000A219A"/>
    <w:pPr>
      <w:spacing w:line="276" w:lineRule="auto"/>
      <w:jc w:val="left"/>
    </w:pPr>
    <w:rPr>
      <w:rFonts w:ascii="Calibri" w:eastAsia="Times New Roman" w:hAnsi="Calibri" w:cs="Times New Roman"/>
      <w:szCs w:val="20"/>
      <w:lang w:eastAsia="nl-NL"/>
    </w:rPr>
  </w:style>
  <w:style w:type="character" w:customStyle="1" w:styleId="BodyTextChar0">
    <w:name w:val="Body Text Char"/>
    <w:basedOn w:val="DefaultParagraphFont"/>
    <w:link w:val="BodyText"/>
    <w:rsid w:val="000A219A"/>
    <w:rPr>
      <w:rFonts w:ascii="Calibri" w:eastAsia="Times New Roman" w:hAnsi="Calibri" w:cs="Times New Roman"/>
      <w:szCs w:val="20"/>
      <w:lang w:val="en-GB" w:eastAsia="nl-NL"/>
    </w:rPr>
  </w:style>
  <w:style w:type="paragraph" w:customStyle="1" w:styleId="Default">
    <w:name w:val="Default"/>
    <w:rsid w:val="000A219A"/>
    <w:pPr>
      <w:autoSpaceDE w:val="0"/>
      <w:autoSpaceDN w:val="0"/>
      <w:adjustRightInd w:val="0"/>
      <w:spacing w:before="0" w:after="0"/>
      <w:ind w:left="0" w:right="0"/>
      <w:jc w:val="left"/>
    </w:pPr>
    <w:rPr>
      <w:rFonts w:ascii="Arial" w:eastAsia="Times New Roman" w:hAnsi="Arial" w:cs="Arial"/>
      <w:color w:val="000000"/>
      <w:sz w:val="24"/>
      <w:szCs w:val="24"/>
      <w:lang w:val="nl-BE" w:eastAsia="en-GB"/>
    </w:rPr>
  </w:style>
  <w:style w:type="paragraph" w:styleId="Revision">
    <w:name w:val="Revision"/>
    <w:hidden/>
    <w:uiPriority w:val="99"/>
    <w:semiHidden/>
    <w:rsid w:val="000A219A"/>
    <w:pPr>
      <w:spacing w:before="0" w:after="0"/>
      <w:ind w:left="0" w:right="0"/>
      <w:jc w:val="left"/>
    </w:pPr>
    <w:rPr>
      <w:rFonts w:ascii="Calibri" w:eastAsia="Times New Roman" w:hAnsi="Calibri" w:cs="Times New Roman"/>
      <w:szCs w:val="20"/>
      <w:lang w:val="en-GB" w:eastAsia="nl-NL"/>
    </w:rPr>
  </w:style>
  <w:style w:type="paragraph" w:styleId="TOCHeading">
    <w:name w:val="TOC Heading"/>
    <w:basedOn w:val="Heading1"/>
    <w:next w:val="Normal"/>
    <w:uiPriority w:val="39"/>
    <w:unhideWhenUsed/>
    <w:qFormat/>
    <w:rsid w:val="00D37E12"/>
    <w:pPr>
      <w:keepLines/>
      <w:numPr>
        <w:numId w:val="0"/>
      </w:numPr>
      <w:spacing w:before="480" w:after="0"/>
      <w:outlineLvl w:val="9"/>
    </w:pPr>
    <w:rPr>
      <w:rFonts w:asciiTheme="majorHAnsi" w:eastAsiaTheme="majorEastAsia" w:hAnsiTheme="majorHAnsi" w:cstheme="majorBidi"/>
      <w:i w:val="0"/>
      <w:color w:val="365F91" w:themeColor="accent1" w:themeShade="BF"/>
      <w:sz w:val="28"/>
      <w:szCs w:val="28"/>
      <w:lang w:val="en-US" w:eastAsia="ja-JP"/>
    </w:rPr>
  </w:style>
  <w:style w:type="character" w:styleId="PlaceholderText">
    <w:name w:val="Placeholder Text"/>
    <w:basedOn w:val="DefaultParagraphFont"/>
    <w:uiPriority w:val="99"/>
    <w:semiHidden/>
    <w:rsid w:val="00CA6F40"/>
    <w:rPr>
      <w:color w:val="808080"/>
    </w:rPr>
  </w:style>
  <w:style w:type="paragraph" w:customStyle="1" w:styleId="text">
    <w:name w:val="text"/>
    <w:basedOn w:val="Normal"/>
    <w:rsid w:val="008D508E"/>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D508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2734DD"/>
  </w:style>
  <w:style w:type="character" w:customStyle="1" w:styleId="st">
    <w:name w:val="st"/>
    <w:basedOn w:val="DefaultParagraphFont"/>
    <w:rsid w:val="00642EB8"/>
  </w:style>
  <w:style w:type="character" w:customStyle="1" w:styleId="slug-metadata-note">
    <w:name w:val="slug-metadata-note"/>
    <w:basedOn w:val="DefaultParagraphFont"/>
    <w:rsid w:val="007D1DB8"/>
  </w:style>
  <w:style w:type="character" w:customStyle="1" w:styleId="slug-doi">
    <w:name w:val="slug-doi"/>
    <w:basedOn w:val="DefaultParagraphFont"/>
    <w:rsid w:val="007D1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70" w:after="120"/>
        <w:ind w:left="850" w:right="9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E2"/>
    <w:pPr>
      <w:spacing w:before="0"/>
      <w:ind w:left="0" w:right="0"/>
    </w:pPr>
    <w:rPr>
      <w:rFonts w:ascii="Book Antiqua" w:hAnsi="Book Antiqua"/>
      <w:lang w:val="en-GB"/>
    </w:rPr>
  </w:style>
  <w:style w:type="paragraph" w:styleId="Heading1">
    <w:name w:val="heading 1"/>
    <w:basedOn w:val="Normal"/>
    <w:next w:val="Normal"/>
    <w:link w:val="Heading1Char"/>
    <w:uiPriority w:val="9"/>
    <w:qFormat/>
    <w:rsid w:val="000A219A"/>
    <w:pPr>
      <w:keepNext/>
      <w:numPr>
        <w:numId w:val="32"/>
      </w:numPr>
      <w:spacing w:line="276" w:lineRule="auto"/>
      <w:ind w:left="432"/>
      <w:jc w:val="left"/>
      <w:outlineLvl w:val="0"/>
    </w:pPr>
    <w:rPr>
      <w:rFonts w:ascii="Calibri" w:eastAsia="Times New Roman" w:hAnsi="Calibri" w:cs="Arial"/>
      <w:b/>
      <w:bCs/>
      <w:i/>
      <w:color w:val="333300"/>
      <w:sz w:val="48"/>
      <w:szCs w:val="32"/>
    </w:rPr>
  </w:style>
  <w:style w:type="paragraph" w:styleId="Heading2">
    <w:name w:val="heading 2"/>
    <w:basedOn w:val="Heading1"/>
    <w:next w:val="Normal"/>
    <w:link w:val="Heading2Char"/>
    <w:uiPriority w:val="9"/>
    <w:qFormat/>
    <w:rsid w:val="000A219A"/>
    <w:pPr>
      <w:numPr>
        <w:ilvl w:val="1"/>
      </w:numPr>
      <w:outlineLvl w:val="1"/>
    </w:pPr>
    <w:rPr>
      <w:bCs w:val="0"/>
      <w:iCs/>
      <w:sz w:val="28"/>
      <w:szCs w:val="28"/>
    </w:rPr>
  </w:style>
  <w:style w:type="paragraph" w:styleId="Heading3">
    <w:name w:val="heading 3"/>
    <w:basedOn w:val="Heading2"/>
    <w:next w:val="Normal"/>
    <w:link w:val="Heading3Char"/>
    <w:qFormat/>
    <w:rsid w:val="000A219A"/>
    <w:pPr>
      <w:numPr>
        <w:ilvl w:val="2"/>
      </w:numPr>
      <w:outlineLvl w:val="2"/>
    </w:pPr>
    <w:rPr>
      <w:bCs/>
      <w:sz w:val="24"/>
      <w:szCs w:val="24"/>
    </w:rPr>
  </w:style>
  <w:style w:type="paragraph" w:styleId="Heading4">
    <w:name w:val="heading 4"/>
    <w:basedOn w:val="Heading3"/>
    <w:next w:val="Normal"/>
    <w:link w:val="Heading4Char"/>
    <w:qFormat/>
    <w:rsid w:val="000A219A"/>
    <w:pPr>
      <w:numPr>
        <w:ilvl w:val="3"/>
      </w:numPr>
      <w:spacing w:after="60"/>
      <w:outlineLvl w:val="3"/>
    </w:pPr>
    <w:rPr>
      <w:bCs w:val="0"/>
      <w:sz w:val="22"/>
      <w:szCs w:val="22"/>
    </w:rPr>
  </w:style>
  <w:style w:type="paragraph" w:styleId="Heading5">
    <w:name w:val="heading 5"/>
    <w:basedOn w:val="Normal"/>
    <w:next w:val="Normal"/>
    <w:link w:val="Heading5Char"/>
    <w:qFormat/>
    <w:rsid w:val="000A219A"/>
    <w:pPr>
      <w:numPr>
        <w:ilvl w:val="4"/>
        <w:numId w:val="32"/>
      </w:numPr>
      <w:spacing w:line="276" w:lineRule="auto"/>
      <w:jc w:val="left"/>
      <w:outlineLvl w:val="4"/>
    </w:pPr>
    <w:rPr>
      <w:rFonts w:ascii="Calibri" w:eastAsia="Times New Roman" w:hAnsi="Calibri" w:cs="Times New Roman"/>
      <w:b/>
      <w:bCs/>
      <w:iCs/>
      <w:szCs w:val="20"/>
      <w:lang w:eastAsia="nl-NL"/>
    </w:rPr>
  </w:style>
  <w:style w:type="paragraph" w:styleId="Heading6">
    <w:name w:val="heading 6"/>
    <w:basedOn w:val="Normal"/>
    <w:next w:val="Normal"/>
    <w:link w:val="Heading6Char"/>
    <w:qFormat/>
    <w:rsid w:val="000A219A"/>
    <w:pPr>
      <w:numPr>
        <w:ilvl w:val="5"/>
        <w:numId w:val="32"/>
      </w:numPr>
      <w:spacing w:line="276" w:lineRule="auto"/>
      <w:jc w:val="left"/>
      <w:outlineLvl w:val="5"/>
    </w:pPr>
    <w:rPr>
      <w:rFonts w:ascii="Calibri" w:eastAsia="Times New Roman" w:hAnsi="Calibri" w:cs="Times New Roman"/>
      <w:bCs/>
      <w:szCs w:val="28"/>
      <w:lang w:eastAsia="nl-NL"/>
    </w:rPr>
  </w:style>
  <w:style w:type="paragraph" w:styleId="Heading7">
    <w:name w:val="heading 7"/>
    <w:basedOn w:val="Normal"/>
    <w:next w:val="Normal"/>
    <w:link w:val="Heading7Char"/>
    <w:qFormat/>
    <w:rsid w:val="000A219A"/>
    <w:pPr>
      <w:numPr>
        <w:ilvl w:val="6"/>
        <w:numId w:val="32"/>
      </w:numPr>
      <w:spacing w:line="276" w:lineRule="auto"/>
      <w:jc w:val="left"/>
      <w:outlineLvl w:val="6"/>
    </w:pPr>
    <w:rPr>
      <w:rFonts w:ascii="Calibri" w:eastAsia="Times New Roman" w:hAnsi="Calibri" w:cs="Times New Roman"/>
      <w:szCs w:val="24"/>
      <w:lang w:eastAsia="nl-NL"/>
    </w:rPr>
  </w:style>
  <w:style w:type="paragraph" w:styleId="Heading8">
    <w:name w:val="heading 8"/>
    <w:basedOn w:val="Heading7"/>
    <w:next w:val="Normal"/>
    <w:link w:val="Heading8Char"/>
    <w:qFormat/>
    <w:rsid w:val="000A219A"/>
    <w:pPr>
      <w:numPr>
        <w:ilvl w:val="7"/>
      </w:numPr>
      <w:outlineLvl w:val="7"/>
    </w:pPr>
    <w:rPr>
      <w:iCs/>
      <w:szCs w:val="22"/>
    </w:rPr>
  </w:style>
  <w:style w:type="paragraph" w:styleId="Heading9">
    <w:name w:val="heading 9"/>
    <w:basedOn w:val="Normal"/>
    <w:next w:val="Normal"/>
    <w:link w:val="Heading9Char"/>
    <w:qFormat/>
    <w:rsid w:val="000A219A"/>
    <w:pPr>
      <w:numPr>
        <w:ilvl w:val="8"/>
        <w:numId w:val="32"/>
      </w:numPr>
      <w:spacing w:line="276" w:lineRule="auto"/>
      <w:jc w:val="left"/>
      <w:outlineLvl w:val="8"/>
    </w:pPr>
    <w:rPr>
      <w:rFonts w:ascii="Calibri" w:eastAsia="Times New Roman" w:hAnsi="Calibri" w:cs="Times New Roman"/>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05625"/>
    <w:pPr>
      <w:spacing w:after="0"/>
    </w:pPr>
    <w:rPr>
      <w:rFonts w:ascii="Tahoma" w:hAnsi="Tahoma" w:cs="Tahoma"/>
      <w:sz w:val="16"/>
      <w:szCs w:val="16"/>
    </w:rPr>
  </w:style>
  <w:style w:type="character" w:customStyle="1" w:styleId="BalloonTextChar">
    <w:name w:val="Balloon Text Char"/>
    <w:basedOn w:val="DefaultParagraphFont"/>
    <w:link w:val="BalloonText"/>
    <w:rsid w:val="00405625"/>
    <w:rPr>
      <w:rFonts w:ascii="Tahoma" w:hAnsi="Tahoma" w:cs="Tahoma"/>
      <w:sz w:val="16"/>
      <w:szCs w:val="16"/>
      <w:lang w:val="de-DE"/>
    </w:rPr>
  </w:style>
  <w:style w:type="paragraph" w:styleId="Header">
    <w:name w:val="header"/>
    <w:basedOn w:val="Normal"/>
    <w:link w:val="HeaderChar"/>
    <w:uiPriority w:val="99"/>
    <w:unhideWhenUsed/>
    <w:rsid w:val="00B661AC"/>
    <w:pPr>
      <w:tabs>
        <w:tab w:val="center" w:pos="4680"/>
        <w:tab w:val="right" w:pos="9360"/>
      </w:tabs>
      <w:spacing w:after="0"/>
    </w:pPr>
  </w:style>
  <w:style w:type="character" w:customStyle="1" w:styleId="HeaderChar">
    <w:name w:val="Header Char"/>
    <w:basedOn w:val="DefaultParagraphFont"/>
    <w:link w:val="Header"/>
    <w:uiPriority w:val="99"/>
    <w:rsid w:val="00B661AC"/>
    <w:rPr>
      <w:rFonts w:ascii="Book Antiqua" w:hAnsi="Book Antiqua"/>
      <w:lang w:val="de-DE"/>
    </w:rPr>
  </w:style>
  <w:style w:type="paragraph" w:styleId="Footer">
    <w:name w:val="footer"/>
    <w:basedOn w:val="Normal"/>
    <w:link w:val="FooterChar"/>
    <w:uiPriority w:val="99"/>
    <w:unhideWhenUsed/>
    <w:rsid w:val="00B661AC"/>
    <w:pPr>
      <w:tabs>
        <w:tab w:val="center" w:pos="4680"/>
        <w:tab w:val="right" w:pos="9360"/>
      </w:tabs>
      <w:spacing w:after="0"/>
    </w:pPr>
  </w:style>
  <w:style w:type="character" w:customStyle="1" w:styleId="FooterChar">
    <w:name w:val="Footer Char"/>
    <w:basedOn w:val="DefaultParagraphFont"/>
    <w:link w:val="Footer"/>
    <w:uiPriority w:val="99"/>
    <w:rsid w:val="00B661AC"/>
    <w:rPr>
      <w:rFonts w:ascii="Book Antiqua" w:hAnsi="Book Antiqua"/>
      <w:lang w:val="de-DE"/>
    </w:rPr>
  </w:style>
  <w:style w:type="paragraph" w:styleId="FootnoteText">
    <w:name w:val="footnote text"/>
    <w:aliases w:val="Schriftart: 9 pt,Schriftart: 10 pt,Schriftart: 8 pt,WB-Fußnotentext,fn,Footnotes,Footnote ak"/>
    <w:basedOn w:val="Normal"/>
    <w:link w:val="FootnoteTextChar"/>
    <w:unhideWhenUsed/>
    <w:rsid w:val="00C35C16"/>
    <w:pPr>
      <w:spacing w:after="0"/>
    </w:pPr>
    <w:rPr>
      <w:sz w:val="20"/>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C35C16"/>
    <w:rPr>
      <w:rFonts w:ascii="Book Antiqua" w:hAnsi="Book Antiqua"/>
      <w:sz w:val="20"/>
      <w:szCs w:val="20"/>
      <w:lang w:val="de-DE"/>
    </w:rPr>
  </w:style>
  <w:style w:type="character" w:styleId="FootnoteReference">
    <w:name w:val="footnote reference"/>
    <w:basedOn w:val="DefaultParagraphFont"/>
    <w:unhideWhenUsed/>
    <w:rsid w:val="00C35C16"/>
    <w:rPr>
      <w:vertAlign w:val="superscript"/>
    </w:rPr>
  </w:style>
  <w:style w:type="character" w:customStyle="1" w:styleId="Heading1Char">
    <w:name w:val="Heading 1 Char"/>
    <w:basedOn w:val="DefaultParagraphFont"/>
    <w:link w:val="Heading1"/>
    <w:uiPriority w:val="9"/>
    <w:rsid w:val="000A219A"/>
    <w:rPr>
      <w:rFonts w:ascii="Calibri" w:eastAsia="Times New Roman" w:hAnsi="Calibri" w:cs="Arial"/>
      <w:b/>
      <w:bCs/>
      <w:i/>
      <w:color w:val="333300"/>
      <w:sz w:val="48"/>
      <w:szCs w:val="32"/>
      <w:lang w:val="en-GB"/>
    </w:rPr>
  </w:style>
  <w:style w:type="character" w:customStyle="1" w:styleId="Heading2Char">
    <w:name w:val="Heading 2 Char"/>
    <w:basedOn w:val="DefaultParagraphFont"/>
    <w:link w:val="Heading2"/>
    <w:rsid w:val="000A219A"/>
    <w:rPr>
      <w:rFonts w:ascii="Calibri" w:eastAsia="Times New Roman" w:hAnsi="Calibri" w:cs="Arial"/>
      <w:b/>
      <w:i/>
      <w:iCs/>
      <w:color w:val="333300"/>
      <w:sz w:val="28"/>
      <w:szCs w:val="28"/>
      <w:lang w:val="en-GB"/>
    </w:rPr>
  </w:style>
  <w:style w:type="character" w:customStyle="1" w:styleId="Heading3Char">
    <w:name w:val="Heading 3 Char"/>
    <w:basedOn w:val="DefaultParagraphFont"/>
    <w:link w:val="Heading3"/>
    <w:rsid w:val="000A219A"/>
    <w:rPr>
      <w:rFonts w:ascii="Calibri" w:eastAsia="Times New Roman" w:hAnsi="Calibri" w:cs="Arial"/>
      <w:b/>
      <w:bCs/>
      <w:i/>
      <w:iCs/>
      <w:color w:val="333300"/>
      <w:sz w:val="24"/>
      <w:szCs w:val="24"/>
      <w:lang w:val="en-GB"/>
    </w:rPr>
  </w:style>
  <w:style w:type="character" w:customStyle="1" w:styleId="Heading4Char">
    <w:name w:val="Heading 4 Char"/>
    <w:basedOn w:val="DefaultParagraphFont"/>
    <w:link w:val="Heading4"/>
    <w:rsid w:val="000A219A"/>
    <w:rPr>
      <w:rFonts w:ascii="Calibri" w:eastAsia="Times New Roman" w:hAnsi="Calibri" w:cs="Arial"/>
      <w:b/>
      <w:i/>
      <w:iCs/>
      <w:color w:val="333300"/>
      <w:lang w:val="en-GB"/>
    </w:rPr>
  </w:style>
  <w:style w:type="character" w:customStyle="1" w:styleId="Heading5Char">
    <w:name w:val="Heading 5 Char"/>
    <w:basedOn w:val="DefaultParagraphFont"/>
    <w:link w:val="Heading5"/>
    <w:rsid w:val="000A219A"/>
    <w:rPr>
      <w:rFonts w:ascii="Calibri" w:eastAsia="Times New Roman" w:hAnsi="Calibri" w:cs="Times New Roman"/>
      <w:b/>
      <w:bCs/>
      <w:iCs/>
      <w:szCs w:val="20"/>
      <w:lang w:val="en-GB" w:eastAsia="nl-NL"/>
    </w:rPr>
  </w:style>
  <w:style w:type="character" w:customStyle="1" w:styleId="Heading6Char">
    <w:name w:val="Heading 6 Char"/>
    <w:basedOn w:val="DefaultParagraphFont"/>
    <w:link w:val="Heading6"/>
    <w:rsid w:val="000A219A"/>
    <w:rPr>
      <w:rFonts w:ascii="Calibri" w:eastAsia="Times New Roman" w:hAnsi="Calibri" w:cs="Times New Roman"/>
      <w:bCs/>
      <w:szCs w:val="28"/>
      <w:lang w:val="en-GB" w:eastAsia="nl-NL"/>
    </w:rPr>
  </w:style>
  <w:style w:type="character" w:customStyle="1" w:styleId="Heading7Char">
    <w:name w:val="Heading 7 Char"/>
    <w:basedOn w:val="DefaultParagraphFont"/>
    <w:link w:val="Heading7"/>
    <w:rsid w:val="000A219A"/>
    <w:rPr>
      <w:rFonts w:ascii="Calibri" w:eastAsia="Times New Roman" w:hAnsi="Calibri" w:cs="Times New Roman"/>
      <w:szCs w:val="24"/>
      <w:lang w:val="en-GB" w:eastAsia="nl-NL"/>
    </w:rPr>
  </w:style>
  <w:style w:type="character" w:customStyle="1" w:styleId="Heading8Char">
    <w:name w:val="Heading 8 Char"/>
    <w:basedOn w:val="DefaultParagraphFont"/>
    <w:link w:val="Heading8"/>
    <w:rsid w:val="000A219A"/>
    <w:rPr>
      <w:rFonts w:ascii="Calibri" w:eastAsia="Times New Roman" w:hAnsi="Calibri" w:cs="Times New Roman"/>
      <w:iCs/>
      <w:lang w:val="en-GB" w:eastAsia="nl-NL"/>
    </w:rPr>
  </w:style>
  <w:style w:type="character" w:customStyle="1" w:styleId="Heading9Char">
    <w:name w:val="Heading 9 Char"/>
    <w:basedOn w:val="DefaultParagraphFont"/>
    <w:link w:val="Heading9"/>
    <w:rsid w:val="000A219A"/>
    <w:rPr>
      <w:rFonts w:ascii="Calibri" w:eastAsia="Times New Roman" w:hAnsi="Calibri" w:cs="Times New Roman"/>
      <w:szCs w:val="20"/>
      <w:lang w:val="en-GB" w:eastAsia="nl-NL"/>
    </w:rPr>
  </w:style>
  <w:style w:type="paragraph" w:styleId="TOC5">
    <w:name w:val="toc 5"/>
    <w:basedOn w:val="Normal"/>
    <w:next w:val="Normal"/>
    <w:autoRedefine/>
    <w:semiHidden/>
    <w:rsid w:val="000A219A"/>
    <w:pPr>
      <w:spacing w:line="276" w:lineRule="auto"/>
      <w:ind w:left="880"/>
      <w:jc w:val="left"/>
    </w:pPr>
    <w:rPr>
      <w:rFonts w:ascii="Calibri" w:eastAsia="Times New Roman" w:hAnsi="Calibri" w:cs="Times New Roman"/>
      <w:sz w:val="18"/>
      <w:szCs w:val="24"/>
    </w:rPr>
  </w:style>
  <w:style w:type="paragraph" w:styleId="DocumentMap">
    <w:name w:val="Document Map"/>
    <w:basedOn w:val="Normal"/>
    <w:link w:val="DocumentMapChar"/>
    <w:semiHidden/>
    <w:rsid w:val="000A219A"/>
    <w:pPr>
      <w:shd w:val="clear" w:color="auto" w:fill="000080"/>
      <w:spacing w:line="276" w:lineRule="auto"/>
      <w:jc w:val="left"/>
    </w:pPr>
    <w:rPr>
      <w:rFonts w:ascii="Tahoma" w:eastAsia="Times New Roman" w:hAnsi="Tahoma" w:cs="Tahoma"/>
      <w:szCs w:val="20"/>
      <w:lang w:eastAsia="nl-NL"/>
    </w:rPr>
  </w:style>
  <w:style w:type="character" w:customStyle="1" w:styleId="DocumentMapChar">
    <w:name w:val="Document Map Char"/>
    <w:basedOn w:val="DefaultParagraphFont"/>
    <w:link w:val="DocumentMap"/>
    <w:semiHidden/>
    <w:rsid w:val="000A219A"/>
    <w:rPr>
      <w:rFonts w:ascii="Tahoma" w:eastAsia="Times New Roman" w:hAnsi="Tahoma" w:cs="Tahoma"/>
      <w:szCs w:val="20"/>
      <w:shd w:val="clear" w:color="auto" w:fill="000080"/>
      <w:lang w:val="en-GB" w:eastAsia="nl-NL"/>
    </w:rPr>
  </w:style>
  <w:style w:type="paragraph" w:styleId="TOC2">
    <w:name w:val="toc 2"/>
    <w:basedOn w:val="Normal"/>
    <w:next w:val="Normal"/>
    <w:autoRedefine/>
    <w:uiPriority w:val="39"/>
    <w:rsid w:val="000A219A"/>
    <w:pPr>
      <w:spacing w:line="276" w:lineRule="auto"/>
      <w:ind w:left="220"/>
      <w:jc w:val="left"/>
    </w:pPr>
    <w:rPr>
      <w:rFonts w:ascii="Calibri" w:eastAsia="Times New Roman" w:hAnsi="Calibri" w:cs="Times New Roman"/>
      <w:smallCaps/>
      <w:sz w:val="20"/>
      <w:szCs w:val="24"/>
    </w:rPr>
  </w:style>
  <w:style w:type="paragraph" w:styleId="Title">
    <w:name w:val="Title"/>
    <w:basedOn w:val="Heading1"/>
    <w:link w:val="TitleChar"/>
    <w:qFormat/>
    <w:rsid w:val="000A219A"/>
    <w:pPr>
      <w:numPr>
        <w:numId w:val="0"/>
      </w:numPr>
      <w:jc w:val="center"/>
    </w:pPr>
    <w:rPr>
      <w:bCs w:val="0"/>
      <w:i w:val="0"/>
      <w:kern w:val="28"/>
    </w:rPr>
  </w:style>
  <w:style w:type="character" w:customStyle="1" w:styleId="TitleChar">
    <w:name w:val="Title Char"/>
    <w:basedOn w:val="DefaultParagraphFont"/>
    <w:link w:val="Title"/>
    <w:rsid w:val="000A219A"/>
    <w:rPr>
      <w:rFonts w:ascii="Calibri" w:eastAsia="Times New Roman" w:hAnsi="Calibri" w:cs="Arial"/>
      <w:b/>
      <w:color w:val="333300"/>
      <w:kern w:val="28"/>
      <w:sz w:val="48"/>
      <w:szCs w:val="32"/>
      <w:lang w:val="en-GB"/>
    </w:rPr>
  </w:style>
  <w:style w:type="paragraph" w:styleId="TOC1">
    <w:name w:val="toc 1"/>
    <w:basedOn w:val="Normal"/>
    <w:next w:val="Normal"/>
    <w:autoRedefine/>
    <w:uiPriority w:val="39"/>
    <w:rsid w:val="000A219A"/>
    <w:pPr>
      <w:tabs>
        <w:tab w:val="left" w:pos="440"/>
        <w:tab w:val="right" w:leader="dot" w:pos="8460"/>
      </w:tabs>
      <w:spacing w:before="120" w:line="276" w:lineRule="auto"/>
      <w:jc w:val="left"/>
    </w:pPr>
    <w:rPr>
      <w:rFonts w:ascii="Calibri" w:eastAsia="Times New Roman" w:hAnsi="Calibri" w:cs="Times New Roman"/>
      <w:b/>
      <w:caps/>
      <w:sz w:val="20"/>
      <w:szCs w:val="24"/>
    </w:rPr>
  </w:style>
  <w:style w:type="paragraph" w:styleId="TOC3">
    <w:name w:val="toc 3"/>
    <w:basedOn w:val="Normal"/>
    <w:next w:val="Normal"/>
    <w:autoRedefine/>
    <w:uiPriority w:val="39"/>
    <w:rsid w:val="000A219A"/>
    <w:pPr>
      <w:spacing w:line="276" w:lineRule="auto"/>
      <w:ind w:left="440"/>
      <w:jc w:val="left"/>
    </w:pPr>
    <w:rPr>
      <w:rFonts w:ascii="Calibri" w:eastAsia="Times New Roman" w:hAnsi="Calibri" w:cs="Times New Roman"/>
      <w:i/>
      <w:sz w:val="20"/>
      <w:szCs w:val="24"/>
    </w:rPr>
  </w:style>
  <w:style w:type="paragraph" w:styleId="TOC4">
    <w:name w:val="toc 4"/>
    <w:basedOn w:val="Normal"/>
    <w:next w:val="Normal"/>
    <w:autoRedefine/>
    <w:semiHidden/>
    <w:rsid w:val="000A219A"/>
    <w:pPr>
      <w:spacing w:line="276" w:lineRule="auto"/>
      <w:ind w:left="660"/>
      <w:jc w:val="left"/>
    </w:pPr>
    <w:rPr>
      <w:rFonts w:ascii="Calibri" w:eastAsia="Times New Roman" w:hAnsi="Calibri" w:cs="Times New Roman"/>
      <w:sz w:val="18"/>
      <w:szCs w:val="24"/>
    </w:rPr>
  </w:style>
  <w:style w:type="paragraph" w:customStyle="1" w:styleId="Confidential">
    <w:name w:val="Confidential"/>
    <w:basedOn w:val="Normal"/>
    <w:next w:val="Normal"/>
    <w:rsid w:val="000A219A"/>
    <w:pPr>
      <w:spacing w:before="120"/>
    </w:pPr>
    <w:rPr>
      <w:rFonts w:ascii="Calibri" w:eastAsia="Times New Roman" w:hAnsi="Calibri" w:cs="Times New Roman"/>
      <w:b/>
      <w:caps/>
      <w:color w:val="FF0000"/>
      <w:lang w:eastAsia="nl-NL"/>
    </w:rPr>
  </w:style>
  <w:style w:type="paragraph" w:styleId="Caption">
    <w:name w:val="caption"/>
    <w:aliases w:val="Inscription,Beschriftung Char,Beschriftung Char Char Char Car"/>
    <w:basedOn w:val="Normal"/>
    <w:next w:val="Normal"/>
    <w:uiPriority w:val="35"/>
    <w:qFormat/>
    <w:rsid w:val="000A219A"/>
    <w:pPr>
      <w:keepNext/>
      <w:spacing w:line="276" w:lineRule="auto"/>
      <w:jc w:val="left"/>
    </w:pPr>
    <w:rPr>
      <w:rFonts w:ascii="Calibri" w:eastAsia="Times New Roman" w:hAnsi="Calibri" w:cs="Times New Roman"/>
      <w:b/>
      <w:bCs/>
      <w:sz w:val="20"/>
      <w:szCs w:val="20"/>
      <w:lang w:eastAsia="nl-NL"/>
    </w:rPr>
  </w:style>
  <w:style w:type="paragraph" w:styleId="TOC6">
    <w:name w:val="toc 6"/>
    <w:basedOn w:val="Normal"/>
    <w:next w:val="Normal"/>
    <w:autoRedefine/>
    <w:semiHidden/>
    <w:rsid w:val="000A219A"/>
    <w:pPr>
      <w:spacing w:before="120"/>
      <w:ind w:left="1200"/>
    </w:pPr>
    <w:rPr>
      <w:rFonts w:ascii="Times New Roman" w:eastAsia="Times New Roman" w:hAnsi="Times New Roman" w:cs="Times New Roman"/>
      <w:sz w:val="24"/>
      <w:szCs w:val="20"/>
      <w:lang w:val="it-IT" w:eastAsia="it-IT"/>
    </w:rPr>
  </w:style>
  <w:style w:type="table" w:styleId="TableGrid">
    <w:name w:val="Table Grid"/>
    <w:aliases w:val="Check(v)"/>
    <w:basedOn w:val="TableNormal"/>
    <w:uiPriority w:val="59"/>
    <w:rsid w:val="000A219A"/>
    <w:pPr>
      <w:spacing w:before="0" w:after="0"/>
      <w:ind w:left="0" w:right="0"/>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Values">
    <w:name w:val="References (Values)"/>
    <w:basedOn w:val="Normal"/>
    <w:rsid w:val="000A219A"/>
    <w:pPr>
      <w:spacing w:line="276" w:lineRule="auto"/>
      <w:jc w:val="left"/>
    </w:pPr>
    <w:rPr>
      <w:rFonts w:ascii="Calibri" w:eastAsia="Times New Roman" w:hAnsi="Calibri" w:cs="Times New Roman"/>
      <w:szCs w:val="20"/>
      <w:lang w:eastAsia="nl-NL"/>
    </w:rPr>
  </w:style>
  <w:style w:type="paragraph" w:customStyle="1" w:styleId="ReferencesKeys">
    <w:name w:val="References (Keys)"/>
    <w:basedOn w:val="Normal"/>
    <w:rsid w:val="000A219A"/>
    <w:pPr>
      <w:spacing w:line="276" w:lineRule="auto"/>
      <w:jc w:val="right"/>
    </w:pPr>
    <w:rPr>
      <w:rFonts w:ascii="Calibri" w:eastAsia="Times New Roman" w:hAnsi="Calibri" w:cs="Times New Roman"/>
      <w:szCs w:val="20"/>
      <w:lang w:eastAsia="nl-NL"/>
    </w:rPr>
  </w:style>
  <w:style w:type="paragraph" w:styleId="TOC7">
    <w:name w:val="toc 7"/>
    <w:basedOn w:val="Normal"/>
    <w:next w:val="Normal"/>
    <w:autoRedefine/>
    <w:semiHidden/>
    <w:rsid w:val="000A219A"/>
    <w:pPr>
      <w:spacing w:before="120"/>
      <w:ind w:left="1440"/>
    </w:pPr>
    <w:rPr>
      <w:rFonts w:ascii="Times New Roman" w:eastAsia="Times New Roman" w:hAnsi="Times New Roman" w:cs="Times New Roman"/>
      <w:sz w:val="24"/>
      <w:szCs w:val="20"/>
      <w:lang w:val="it-IT" w:eastAsia="it-IT"/>
    </w:rPr>
  </w:style>
  <w:style w:type="paragraph" w:styleId="TOC8">
    <w:name w:val="toc 8"/>
    <w:basedOn w:val="Normal"/>
    <w:next w:val="Normal"/>
    <w:autoRedefine/>
    <w:semiHidden/>
    <w:rsid w:val="000A219A"/>
    <w:pPr>
      <w:spacing w:before="120"/>
      <w:ind w:left="1680"/>
    </w:pPr>
    <w:rPr>
      <w:rFonts w:ascii="Times New Roman" w:eastAsia="Times New Roman" w:hAnsi="Times New Roman" w:cs="Times New Roman"/>
      <w:sz w:val="24"/>
      <w:szCs w:val="20"/>
      <w:lang w:val="it-IT" w:eastAsia="it-IT"/>
    </w:rPr>
  </w:style>
  <w:style w:type="paragraph" w:styleId="TOC9">
    <w:name w:val="toc 9"/>
    <w:basedOn w:val="Normal"/>
    <w:next w:val="Normal"/>
    <w:autoRedefine/>
    <w:semiHidden/>
    <w:rsid w:val="000A219A"/>
    <w:pPr>
      <w:spacing w:before="120"/>
      <w:ind w:left="1920"/>
    </w:pPr>
    <w:rPr>
      <w:rFonts w:ascii="Times New Roman" w:eastAsia="Times New Roman" w:hAnsi="Times New Roman" w:cs="Times New Roman"/>
      <w:sz w:val="24"/>
      <w:szCs w:val="20"/>
      <w:lang w:val="it-IT" w:eastAsia="it-IT"/>
    </w:rPr>
  </w:style>
  <w:style w:type="paragraph" w:styleId="ListBullet">
    <w:name w:val="List Bullet"/>
    <w:basedOn w:val="Normal"/>
    <w:rsid w:val="000A219A"/>
    <w:pPr>
      <w:tabs>
        <w:tab w:val="num" w:pos="360"/>
      </w:tabs>
      <w:ind w:left="360" w:hanging="360"/>
      <w:jc w:val="left"/>
    </w:pPr>
    <w:rPr>
      <w:rFonts w:ascii="Times New Roman" w:eastAsia="SimSun" w:hAnsi="Times New Roman" w:cs="Times New Roman"/>
      <w:sz w:val="24"/>
      <w:szCs w:val="24"/>
      <w:lang w:val="en-US" w:eastAsia="zh-CN"/>
    </w:rPr>
  </w:style>
  <w:style w:type="character" w:styleId="Hyperlink">
    <w:name w:val="Hyperlink"/>
    <w:uiPriority w:val="99"/>
    <w:rsid w:val="000A219A"/>
    <w:rPr>
      <w:color w:val="0000FF"/>
      <w:u w:val="single"/>
    </w:rPr>
  </w:style>
  <w:style w:type="paragraph" w:styleId="ListParagraph">
    <w:name w:val="List Paragraph"/>
    <w:basedOn w:val="Normal"/>
    <w:uiPriority w:val="34"/>
    <w:qFormat/>
    <w:rsid w:val="000A219A"/>
    <w:pPr>
      <w:spacing w:line="276" w:lineRule="auto"/>
      <w:ind w:left="708"/>
      <w:jc w:val="left"/>
    </w:pPr>
    <w:rPr>
      <w:rFonts w:ascii="Calibri" w:eastAsia="Times New Roman" w:hAnsi="Calibri" w:cs="Times New Roman"/>
      <w:szCs w:val="20"/>
      <w:lang w:eastAsia="nl-NL"/>
    </w:rPr>
  </w:style>
  <w:style w:type="character" w:styleId="FollowedHyperlink">
    <w:name w:val="FollowedHyperlink"/>
    <w:rsid w:val="000A219A"/>
    <w:rPr>
      <w:color w:val="800080"/>
      <w:u w:val="single"/>
    </w:rPr>
  </w:style>
  <w:style w:type="character" w:styleId="CommentReference">
    <w:name w:val="annotation reference"/>
    <w:basedOn w:val="DefaultParagraphFont"/>
    <w:uiPriority w:val="99"/>
    <w:rsid w:val="000A219A"/>
    <w:rPr>
      <w:sz w:val="16"/>
      <w:szCs w:val="16"/>
    </w:rPr>
  </w:style>
  <w:style w:type="paragraph" w:styleId="CommentText">
    <w:name w:val="annotation text"/>
    <w:basedOn w:val="Normal"/>
    <w:link w:val="CommentTextChar"/>
    <w:uiPriority w:val="99"/>
    <w:rsid w:val="000A219A"/>
    <w:pPr>
      <w:jc w:val="left"/>
    </w:pPr>
    <w:rPr>
      <w:rFonts w:ascii="Calibri" w:eastAsia="Times New Roman" w:hAnsi="Calibri" w:cs="Times New Roman"/>
      <w:sz w:val="20"/>
      <w:szCs w:val="20"/>
      <w:lang w:eastAsia="nl-NL"/>
    </w:rPr>
  </w:style>
  <w:style w:type="character" w:customStyle="1" w:styleId="CommentTextChar">
    <w:name w:val="Comment Text Char"/>
    <w:basedOn w:val="DefaultParagraphFont"/>
    <w:link w:val="CommentText"/>
    <w:uiPriority w:val="99"/>
    <w:rsid w:val="000A219A"/>
    <w:rPr>
      <w:rFonts w:ascii="Calibri" w:eastAsia="Times New Roman" w:hAnsi="Calibri" w:cs="Times New Roman"/>
      <w:sz w:val="20"/>
      <w:szCs w:val="20"/>
      <w:lang w:val="en-GB" w:eastAsia="nl-NL"/>
    </w:rPr>
  </w:style>
  <w:style w:type="paragraph" w:styleId="CommentSubject">
    <w:name w:val="annotation subject"/>
    <w:basedOn w:val="CommentText"/>
    <w:next w:val="CommentText"/>
    <w:link w:val="CommentSubjectChar"/>
    <w:rsid w:val="000A219A"/>
    <w:rPr>
      <w:b/>
      <w:bCs/>
    </w:rPr>
  </w:style>
  <w:style w:type="character" w:customStyle="1" w:styleId="CommentSubjectChar">
    <w:name w:val="Comment Subject Char"/>
    <w:basedOn w:val="CommentTextChar"/>
    <w:link w:val="CommentSubject"/>
    <w:rsid w:val="000A219A"/>
    <w:rPr>
      <w:rFonts w:ascii="Calibri" w:eastAsia="Times New Roman" w:hAnsi="Calibri" w:cs="Times New Roman"/>
      <w:b/>
      <w:bCs/>
      <w:sz w:val="20"/>
      <w:szCs w:val="20"/>
      <w:lang w:val="en-GB" w:eastAsia="nl-NL"/>
    </w:rPr>
  </w:style>
  <w:style w:type="paragraph" w:styleId="TableofFigures">
    <w:name w:val="table of figures"/>
    <w:basedOn w:val="Normal"/>
    <w:next w:val="Normal"/>
    <w:uiPriority w:val="99"/>
    <w:rsid w:val="000A219A"/>
    <w:pPr>
      <w:spacing w:line="276" w:lineRule="auto"/>
      <w:jc w:val="left"/>
    </w:pPr>
    <w:rPr>
      <w:rFonts w:ascii="Calibri" w:eastAsia="Times New Roman" w:hAnsi="Calibri" w:cs="Times New Roman"/>
      <w:szCs w:val="20"/>
      <w:lang w:eastAsia="nl-NL"/>
    </w:rPr>
  </w:style>
  <w:style w:type="paragraph" w:styleId="Subtitle">
    <w:name w:val="Subtitle"/>
    <w:basedOn w:val="Normal"/>
    <w:next w:val="Normal"/>
    <w:link w:val="SubtitleChar"/>
    <w:qFormat/>
    <w:rsid w:val="000A219A"/>
    <w:pPr>
      <w:numPr>
        <w:ilvl w:val="1"/>
      </w:numPr>
      <w:spacing w:line="276" w:lineRule="auto"/>
      <w:jc w:val="left"/>
    </w:pPr>
    <w:rPr>
      <w:rFonts w:ascii="Calibri" w:eastAsiaTheme="majorEastAsia" w:hAnsi="Calibri" w:cstheme="majorBidi"/>
      <w:i/>
      <w:iCs/>
      <w:color w:val="333300"/>
      <w:spacing w:val="15"/>
      <w:sz w:val="24"/>
      <w:szCs w:val="24"/>
      <w:lang w:eastAsia="nl-NL"/>
    </w:rPr>
  </w:style>
  <w:style w:type="character" w:customStyle="1" w:styleId="SubtitleChar">
    <w:name w:val="Subtitle Char"/>
    <w:basedOn w:val="DefaultParagraphFont"/>
    <w:link w:val="Subtitle"/>
    <w:rsid w:val="000A219A"/>
    <w:rPr>
      <w:rFonts w:ascii="Calibri" w:eastAsiaTheme="majorEastAsia" w:hAnsi="Calibri" w:cstheme="majorBidi"/>
      <w:i/>
      <w:iCs/>
      <w:color w:val="333300"/>
      <w:spacing w:val="15"/>
      <w:sz w:val="24"/>
      <w:szCs w:val="24"/>
      <w:lang w:val="en-GB" w:eastAsia="nl-NL"/>
    </w:rPr>
  </w:style>
  <w:style w:type="character" w:styleId="Emphasis">
    <w:name w:val="Emphasis"/>
    <w:basedOn w:val="DefaultParagraphFont"/>
    <w:uiPriority w:val="20"/>
    <w:qFormat/>
    <w:rsid w:val="000A219A"/>
    <w:rPr>
      <w:i/>
      <w:iCs/>
    </w:rPr>
  </w:style>
  <w:style w:type="paragraph" w:customStyle="1" w:styleId="BeschriftungAbbildung">
    <w:name w:val="BeschriftungAbbildung"/>
    <w:basedOn w:val="Caption"/>
    <w:next w:val="Normal"/>
    <w:rsid w:val="000A219A"/>
    <w:pPr>
      <w:keepLines/>
      <w:spacing w:before="290" w:after="180" w:line="290" w:lineRule="atLeast"/>
      <w:ind w:left="1871" w:hanging="1871"/>
    </w:pPr>
    <w:rPr>
      <w:rFonts w:ascii="Arial" w:hAnsi="Arial"/>
      <w:b w:val="0"/>
      <w:bCs w:val="0"/>
      <w:sz w:val="22"/>
      <w:szCs w:val="22"/>
      <w:lang w:eastAsia="de-DE"/>
    </w:rPr>
  </w:style>
  <w:style w:type="numbering" w:customStyle="1" w:styleId="berschriftenliste">
    <w:name w:val="Überschriftenliste"/>
    <w:basedOn w:val="NoList"/>
    <w:rsid w:val="000A219A"/>
    <w:pPr>
      <w:numPr>
        <w:numId w:val="2"/>
      </w:numPr>
    </w:pPr>
  </w:style>
  <w:style w:type="paragraph" w:customStyle="1" w:styleId="QuelleAbbildung">
    <w:name w:val="QuelleAbbildung"/>
    <w:basedOn w:val="Normal"/>
    <w:link w:val="QuelleAbbildungZchn"/>
    <w:qFormat/>
    <w:rsid w:val="000A219A"/>
    <w:pPr>
      <w:keepLines/>
      <w:spacing w:before="60" w:after="0"/>
      <w:jc w:val="left"/>
    </w:pPr>
    <w:rPr>
      <w:rFonts w:ascii="Arial" w:eastAsia="Times New Roman" w:hAnsi="Arial" w:cs="Times New Roman"/>
      <w:i/>
      <w:sz w:val="18"/>
      <w:lang w:eastAsia="de-DE"/>
    </w:rPr>
  </w:style>
  <w:style w:type="character" w:customStyle="1" w:styleId="QuelleAbbildungZchn">
    <w:name w:val="QuelleAbbildung Zchn"/>
    <w:basedOn w:val="DefaultParagraphFont"/>
    <w:link w:val="QuelleAbbildung"/>
    <w:rsid w:val="000A219A"/>
    <w:rPr>
      <w:rFonts w:ascii="Arial" w:eastAsia="Times New Roman" w:hAnsi="Arial" w:cs="Times New Roman"/>
      <w:i/>
      <w:sz w:val="18"/>
      <w:lang w:val="en-GB" w:eastAsia="de-DE"/>
    </w:rPr>
  </w:style>
  <w:style w:type="paragraph" w:customStyle="1" w:styleId="ADAMNormal">
    <w:name w:val="ADAM_Normal"/>
    <w:basedOn w:val="Normal"/>
    <w:rsid w:val="000A219A"/>
    <w:pPr>
      <w:spacing w:before="120" w:line="360" w:lineRule="atLeast"/>
    </w:pPr>
    <w:rPr>
      <w:rFonts w:ascii="Times New Roman" w:eastAsia="Times New Roman" w:hAnsi="Times New Roman" w:cs="Times New Roman"/>
      <w:lang w:eastAsia="en-GB"/>
    </w:rPr>
  </w:style>
  <w:style w:type="paragraph" w:customStyle="1" w:styleId="Tabelle">
    <w:name w:val="Tabelle"/>
    <w:basedOn w:val="Normal"/>
    <w:rsid w:val="000A219A"/>
    <w:pPr>
      <w:keepLines/>
      <w:spacing w:before="60" w:after="60"/>
      <w:jc w:val="left"/>
    </w:pPr>
    <w:rPr>
      <w:rFonts w:ascii="Arial" w:eastAsia="Times New Roman" w:hAnsi="Arial" w:cs="Times New Roman"/>
      <w:sz w:val="20"/>
      <w:szCs w:val="18"/>
      <w:lang w:eastAsia="de-DE"/>
    </w:rPr>
  </w:style>
  <w:style w:type="character" w:styleId="Strong">
    <w:name w:val="Strong"/>
    <w:basedOn w:val="DefaultParagraphFont"/>
    <w:uiPriority w:val="22"/>
    <w:qFormat/>
    <w:rsid w:val="000A219A"/>
    <w:rPr>
      <w:b/>
      <w:bCs/>
    </w:rPr>
  </w:style>
  <w:style w:type="paragraph" w:customStyle="1" w:styleId="BodyText1">
    <w:name w:val="Body Text1"/>
    <w:basedOn w:val="BodyText"/>
    <w:link w:val="BodytextChar"/>
    <w:qFormat/>
    <w:rsid w:val="000A219A"/>
    <w:pPr>
      <w:spacing w:after="0" w:line="300" w:lineRule="atLeast"/>
      <w:jc w:val="both"/>
    </w:pPr>
    <w:rPr>
      <w:rFonts w:ascii="Arial" w:hAnsi="Arial" w:cs="Arial"/>
      <w:bCs/>
      <w:szCs w:val="22"/>
      <w:lang w:eastAsia="en-US"/>
    </w:rPr>
  </w:style>
  <w:style w:type="character" w:customStyle="1" w:styleId="BodytextChar">
    <w:name w:val="Body text Char"/>
    <w:link w:val="BodyText1"/>
    <w:rsid w:val="000A219A"/>
    <w:rPr>
      <w:rFonts w:ascii="Arial" w:eastAsia="Times New Roman" w:hAnsi="Arial" w:cs="Arial"/>
      <w:bCs/>
      <w:lang w:val="en-GB"/>
    </w:rPr>
  </w:style>
  <w:style w:type="paragraph" w:styleId="BodyText">
    <w:name w:val="Body Text"/>
    <w:basedOn w:val="Normal"/>
    <w:link w:val="BodyTextChar0"/>
    <w:rsid w:val="000A219A"/>
    <w:pPr>
      <w:spacing w:line="276" w:lineRule="auto"/>
      <w:jc w:val="left"/>
    </w:pPr>
    <w:rPr>
      <w:rFonts w:ascii="Calibri" w:eastAsia="Times New Roman" w:hAnsi="Calibri" w:cs="Times New Roman"/>
      <w:szCs w:val="20"/>
      <w:lang w:eastAsia="nl-NL"/>
    </w:rPr>
  </w:style>
  <w:style w:type="character" w:customStyle="1" w:styleId="BodyTextChar0">
    <w:name w:val="Body Text Char"/>
    <w:basedOn w:val="DefaultParagraphFont"/>
    <w:link w:val="BodyText"/>
    <w:rsid w:val="000A219A"/>
    <w:rPr>
      <w:rFonts w:ascii="Calibri" w:eastAsia="Times New Roman" w:hAnsi="Calibri" w:cs="Times New Roman"/>
      <w:szCs w:val="20"/>
      <w:lang w:val="en-GB" w:eastAsia="nl-NL"/>
    </w:rPr>
  </w:style>
  <w:style w:type="paragraph" w:customStyle="1" w:styleId="Default">
    <w:name w:val="Default"/>
    <w:rsid w:val="000A219A"/>
    <w:pPr>
      <w:autoSpaceDE w:val="0"/>
      <w:autoSpaceDN w:val="0"/>
      <w:adjustRightInd w:val="0"/>
      <w:spacing w:before="0" w:after="0"/>
      <w:ind w:left="0" w:right="0"/>
      <w:jc w:val="left"/>
    </w:pPr>
    <w:rPr>
      <w:rFonts w:ascii="Arial" w:eastAsia="Times New Roman" w:hAnsi="Arial" w:cs="Arial"/>
      <w:color w:val="000000"/>
      <w:sz w:val="24"/>
      <w:szCs w:val="24"/>
      <w:lang w:val="nl-BE" w:eastAsia="en-GB"/>
    </w:rPr>
  </w:style>
  <w:style w:type="paragraph" w:styleId="Revision">
    <w:name w:val="Revision"/>
    <w:hidden/>
    <w:uiPriority w:val="99"/>
    <w:semiHidden/>
    <w:rsid w:val="000A219A"/>
    <w:pPr>
      <w:spacing w:before="0" w:after="0"/>
      <w:ind w:left="0" w:right="0"/>
      <w:jc w:val="left"/>
    </w:pPr>
    <w:rPr>
      <w:rFonts w:ascii="Calibri" w:eastAsia="Times New Roman" w:hAnsi="Calibri" w:cs="Times New Roman"/>
      <w:szCs w:val="20"/>
      <w:lang w:val="en-GB" w:eastAsia="nl-NL"/>
    </w:rPr>
  </w:style>
  <w:style w:type="paragraph" w:styleId="TOCHeading">
    <w:name w:val="TOC Heading"/>
    <w:basedOn w:val="Heading1"/>
    <w:next w:val="Normal"/>
    <w:uiPriority w:val="39"/>
    <w:unhideWhenUsed/>
    <w:qFormat/>
    <w:rsid w:val="00D37E12"/>
    <w:pPr>
      <w:keepLines/>
      <w:numPr>
        <w:numId w:val="0"/>
      </w:numPr>
      <w:spacing w:before="480" w:after="0"/>
      <w:outlineLvl w:val="9"/>
    </w:pPr>
    <w:rPr>
      <w:rFonts w:asciiTheme="majorHAnsi" w:eastAsiaTheme="majorEastAsia" w:hAnsiTheme="majorHAnsi" w:cstheme="majorBidi"/>
      <w:i w:val="0"/>
      <w:color w:val="365F91" w:themeColor="accent1" w:themeShade="BF"/>
      <w:sz w:val="28"/>
      <w:szCs w:val="28"/>
      <w:lang w:val="en-US" w:eastAsia="ja-JP"/>
    </w:rPr>
  </w:style>
  <w:style w:type="character" w:styleId="PlaceholderText">
    <w:name w:val="Placeholder Text"/>
    <w:basedOn w:val="DefaultParagraphFont"/>
    <w:uiPriority w:val="99"/>
    <w:semiHidden/>
    <w:rsid w:val="00CA6F40"/>
    <w:rPr>
      <w:color w:val="808080"/>
    </w:rPr>
  </w:style>
  <w:style w:type="paragraph" w:customStyle="1" w:styleId="text">
    <w:name w:val="text"/>
    <w:basedOn w:val="Normal"/>
    <w:rsid w:val="008D508E"/>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D508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2734DD"/>
  </w:style>
  <w:style w:type="character" w:customStyle="1" w:styleId="st">
    <w:name w:val="st"/>
    <w:basedOn w:val="DefaultParagraphFont"/>
    <w:rsid w:val="00642EB8"/>
  </w:style>
  <w:style w:type="character" w:customStyle="1" w:styleId="slug-metadata-note">
    <w:name w:val="slug-metadata-note"/>
    <w:basedOn w:val="DefaultParagraphFont"/>
    <w:rsid w:val="007D1DB8"/>
  </w:style>
  <w:style w:type="character" w:customStyle="1" w:styleId="slug-doi">
    <w:name w:val="slug-doi"/>
    <w:basedOn w:val="DefaultParagraphFont"/>
    <w:rsid w:val="007D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632">
      <w:bodyDiv w:val="1"/>
      <w:marLeft w:val="0"/>
      <w:marRight w:val="0"/>
      <w:marTop w:val="0"/>
      <w:marBottom w:val="0"/>
      <w:divBdr>
        <w:top w:val="none" w:sz="0" w:space="0" w:color="auto"/>
        <w:left w:val="none" w:sz="0" w:space="0" w:color="auto"/>
        <w:bottom w:val="none" w:sz="0" w:space="0" w:color="auto"/>
        <w:right w:val="none" w:sz="0" w:space="0" w:color="auto"/>
      </w:divBdr>
      <w:divsChild>
        <w:div w:id="988943321">
          <w:marLeft w:val="0"/>
          <w:marRight w:val="0"/>
          <w:marTop w:val="0"/>
          <w:marBottom w:val="0"/>
          <w:divBdr>
            <w:top w:val="none" w:sz="0" w:space="0" w:color="auto"/>
            <w:left w:val="none" w:sz="0" w:space="0" w:color="auto"/>
            <w:bottom w:val="none" w:sz="0" w:space="0" w:color="auto"/>
            <w:right w:val="none" w:sz="0" w:space="0" w:color="auto"/>
          </w:divBdr>
        </w:div>
        <w:div w:id="1995327401">
          <w:marLeft w:val="0"/>
          <w:marRight w:val="0"/>
          <w:marTop w:val="0"/>
          <w:marBottom w:val="0"/>
          <w:divBdr>
            <w:top w:val="none" w:sz="0" w:space="0" w:color="auto"/>
            <w:left w:val="none" w:sz="0" w:space="0" w:color="auto"/>
            <w:bottom w:val="none" w:sz="0" w:space="0" w:color="auto"/>
            <w:right w:val="none" w:sz="0" w:space="0" w:color="auto"/>
          </w:divBdr>
        </w:div>
        <w:div w:id="1173763851">
          <w:marLeft w:val="0"/>
          <w:marRight w:val="0"/>
          <w:marTop w:val="0"/>
          <w:marBottom w:val="0"/>
          <w:divBdr>
            <w:top w:val="none" w:sz="0" w:space="0" w:color="auto"/>
            <w:left w:val="none" w:sz="0" w:space="0" w:color="auto"/>
            <w:bottom w:val="none" w:sz="0" w:space="0" w:color="auto"/>
            <w:right w:val="none" w:sz="0" w:space="0" w:color="auto"/>
          </w:divBdr>
        </w:div>
        <w:div w:id="667095818">
          <w:marLeft w:val="0"/>
          <w:marRight w:val="0"/>
          <w:marTop w:val="0"/>
          <w:marBottom w:val="0"/>
          <w:divBdr>
            <w:top w:val="none" w:sz="0" w:space="0" w:color="auto"/>
            <w:left w:val="none" w:sz="0" w:space="0" w:color="auto"/>
            <w:bottom w:val="none" w:sz="0" w:space="0" w:color="auto"/>
            <w:right w:val="none" w:sz="0" w:space="0" w:color="auto"/>
          </w:divBdr>
        </w:div>
        <w:div w:id="1886135229">
          <w:marLeft w:val="0"/>
          <w:marRight w:val="0"/>
          <w:marTop w:val="0"/>
          <w:marBottom w:val="0"/>
          <w:divBdr>
            <w:top w:val="none" w:sz="0" w:space="0" w:color="auto"/>
            <w:left w:val="none" w:sz="0" w:space="0" w:color="auto"/>
            <w:bottom w:val="none" w:sz="0" w:space="0" w:color="auto"/>
            <w:right w:val="none" w:sz="0" w:space="0" w:color="auto"/>
          </w:divBdr>
        </w:div>
        <w:div w:id="243416699">
          <w:marLeft w:val="0"/>
          <w:marRight w:val="0"/>
          <w:marTop w:val="0"/>
          <w:marBottom w:val="0"/>
          <w:divBdr>
            <w:top w:val="none" w:sz="0" w:space="0" w:color="auto"/>
            <w:left w:val="none" w:sz="0" w:space="0" w:color="auto"/>
            <w:bottom w:val="none" w:sz="0" w:space="0" w:color="auto"/>
            <w:right w:val="none" w:sz="0" w:space="0" w:color="auto"/>
          </w:divBdr>
        </w:div>
        <w:div w:id="7408525">
          <w:marLeft w:val="0"/>
          <w:marRight w:val="0"/>
          <w:marTop w:val="0"/>
          <w:marBottom w:val="0"/>
          <w:divBdr>
            <w:top w:val="none" w:sz="0" w:space="0" w:color="auto"/>
            <w:left w:val="none" w:sz="0" w:space="0" w:color="auto"/>
            <w:bottom w:val="none" w:sz="0" w:space="0" w:color="auto"/>
            <w:right w:val="none" w:sz="0" w:space="0" w:color="auto"/>
          </w:divBdr>
        </w:div>
        <w:div w:id="878130918">
          <w:marLeft w:val="0"/>
          <w:marRight w:val="0"/>
          <w:marTop w:val="0"/>
          <w:marBottom w:val="0"/>
          <w:divBdr>
            <w:top w:val="none" w:sz="0" w:space="0" w:color="auto"/>
            <w:left w:val="none" w:sz="0" w:space="0" w:color="auto"/>
            <w:bottom w:val="none" w:sz="0" w:space="0" w:color="auto"/>
            <w:right w:val="none" w:sz="0" w:space="0" w:color="auto"/>
          </w:divBdr>
        </w:div>
        <w:div w:id="795490237">
          <w:marLeft w:val="0"/>
          <w:marRight w:val="0"/>
          <w:marTop w:val="0"/>
          <w:marBottom w:val="0"/>
          <w:divBdr>
            <w:top w:val="none" w:sz="0" w:space="0" w:color="auto"/>
            <w:left w:val="none" w:sz="0" w:space="0" w:color="auto"/>
            <w:bottom w:val="none" w:sz="0" w:space="0" w:color="auto"/>
            <w:right w:val="none" w:sz="0" w:space="0" w:color="auto"/>
          </w:divBdr>
        </w:div>
        <w:div w:id="1654604660">
          <w:marLeft w:val="0"/>
          <w:marRight w:val="0"/>
          <w:marTop w:val="0"/>
          <w:marBottom w:val="0"/>
          <w:divBdr>
            <w:top w:val="none" w:sz="0" w:space="0" w:color="auto"/>
            <w:left w:val="none" w:sz="0" w:space="0" w:color="auto"/>
            <w:bottom w:val="none" w:sz="0" w:space="0" w:color="auto"/>
            <w:right w:val="none" w:sz="0" w:space="0" w:color="auto"/>
          </w:divBdr>
        </w:div>
        <w:div w:id="1606308747">
          <w:marLeft w:val="0"/>
          <w:marRight w:val="0"/>
          <w:marTop w:val="0"/>
          <w:marBottom w:val="0"/>
          <w:divBdr>
            <w:top w:val="none" w:sz="0" w:space="0" w:color="auto"/>
            <w:left w:val="none" w:sz="0" w:space="0" w:color="auto"/>
            <w:bottom w:val="none" w:sz="0" w:space="0" w:color="auto"/>
            <w:right w:val="none" w:sz="0" w:space="0" w:color="auto"/>
          </w:divBdr>
        </w:div>
        <w:div w:id="619067208">
          <w:marLeft w:val="0"/>
          <w:marRight w:val="0"/>
          <w:marTop w:val="0"/>
          <w:marBottom w:val="0"/>
          <w:divBdr>
            <w:top w:val="none" w:sz="0" w:space="0" w:color="auto"/>
            <w:left w:val="none" w:sz="0" w:space="0" w:color="auto"/>
            <w:bottom w:val="none" w:sz="0" w:space="0" w:color="auto"/>
            <w:right w:val="none" w:sz="0" w:space="0" w:color="auto"/>
          </w:divBdr>
        </w:div>
        <w:div w:id="1328241585">
          <w:marLeft w:val="0"/>
          <w:marRight w:val="0"/>
          <w:marTop w:val="0"/>
          <w:marBottom w:val="0"/>
          <w:divBdr>
            <w:top w:val="none" w:sz="0" w:space="0" w:color="auto"/>
            <w:left w:val="none" w:sz="0" w:space="0" w:color="auto"/>
            <w:bottom w:val="none" w:sz="0" w:space="0" w:color="auto"/>
            <w:right w:val="none" w:sz="0" w:space="0" w:color="auto"/>
          </w:divBdr>
        </w:div>
        <w:div w:id="742871582">
          <w:marLeft w:val="0"/>
          <w:marRight w:val="0"/>
          <w:marTop w:val="0"/>
          <w:marBottom w:val="0"/>
          <w:divBdr>
            <w:top w:val="none" w:sz="0" w:space="0" w:color="auto"/>
            <w:left w:val="none" w:sz="0" w:space="0" w:color="auto"/>
            <w:bottom w:val="none" w:sz="0" w:space="0" w:color="auto"/>
            <w:right w:val="none" w:sz="0" w:space="0" w:color="auto"/>
          </w:divBdr>
        </w:div>
        <w:div w:id="1856268487">
          <w:marLeft w:val="0"/>
          <w:marRight w:val="0"/>
          <w:marTop w:val="0"/>
          <w:marBottom w:val="0"/>
          <w:divBdr>
            <w:top w:val="none" w:sz="0" w:space="0" w:color="auto"/>
            <w:left w:val="none" w:sz="0" w:space="0" w:color="auto"/>
            <w:bottom w:val="none" w:sz="0" w:space="0" w:color="auto"/>
            <w:right w:val="none" w:sz="0" w:space="0" w:color="auto"/>
          </w:divBdr>
        </w:div>
        <w:div w:id="1376008041">
          <w:marLeft w:val="0"/>
          <w:marRight w:val="0"/>
          <w:marTop w:val="0"/>
          <w:marBottom w:val="0"/>
          <w:divBdr>
            <w:top w:val="none" w:sz="0" w:space="0" w:color="auto"/>
            <w:left w:val="none" w:sz="0" w:space="0" w:color="auto"/>
            <w:bottom w:val="none" w:sz="0" w:space="0" w:color="auto"/>
            <w:right w:val="none" w:sz="0" w:space="0" w:color="auto"/>
          </w:divBdr>
        </w:div>
        <w:div w:id="1537891791">
          <w:marLeft w:val="0"/>
          <w:marRight w:val="0"/>
          <w:marTop w:val="0"/>
          <w:marBottom w:val="0"/>
          <w:divBdr>
            <w:top w:val="none" w:sz="0" w:space="0" w:color="auto"/>
            <w:left w:val="none" w:sz="0" w:space="0" w:color="auto"/>
            <w:bottom w:val="none" w:sz="0" w:space="0" w:color="auto"/>
            <w:right w:val="none" w:sz="0" w:space="0" w:color="auto"/>
          </w:divBdr>
        </w:div>
        <w:div w:id="1727607680">
          <w:marLeft w:val="0"/>
          <w:marRight w:val="0"/>
          <w:marTop w:val="0"/>
          <w:marBottom w:val="0"/>
          <w:divBdr>
            <w:top w:val="none" w:sz="0" w:space="0" w:color="auto"/>
            <w:left w:val="none" w:sz="0" w:space="0" w:color="auto"/>
            <w:bottom w:val="none" w:sz="0" w:space="0" w:color="auto"/>
            <w:right w:val="none" w:sz="0" w:space="0" w:color="auto"/>
          </w:divBdr>
        </w:div>
        <w:div w:id="1196309964">
          <w:marLeft w:val="0"/>
          <w:marRight w:val="0"/>
          <w:marTop w:val="0"/>
          <w:marBottom w:val="0"/>
          <w:divBdr>
            <w:top w:val="none" w:sz="0" w:space="0" w:color="auto"/>
            <w:left w:val="none" w:sz="0" w:space="0" w:color="auto"/>
            <w:bottom w:val="none" w:sz="0" w:space="0" w:color="auto"/>
            <w:right w:val="none" w:sz="0" w:space="0" w:color="auto"/>
          </w:divBdr>
        </w:div>
        <w:div w:id="1137064624">
          <w:marLeft w:val="0"/>
          <w:marRight w:val="0"/>
          <w:marTop w:val="0"/>
          <w:marBottom w:val="0"/>
          <w:divBdr>
            <w:top w:val="none" w:sz="0" w:space="0" w:color="auto"/>
            <w:left w:val="none" w:sz="0" w:space="0" w:color="auto"/>
            <w:bottom w:val="none" w:sz="0" w:space="0" w:color="auto"/>
            <w:right w:val="none" w:sz="0" w:space="0" w:color="auto"/>
          </w:divBdr>
        </w:div>
        <w:div w:id="2095858424">
          <w:marLeft w:val="0"/>
          <w:marRight w:val="0"/>
          <w:marTop w:val="0"/>
          <w:marBottom w:val="0"/>
          <w:divBdr>
            <w:top w:val="none" w:sz="0" w:space="0" w:color="auto"/>
            <w:left w:val="none" w:sz="0" w:space="0" w:color="auto"/>
            <w:bottom w:val="none" w:sz="0" w:space="0" w:color="auto"/>
            <w:right w:val="none" w:sz="0" w:space="0" w:color="auto"/>
          </w:divBdr>
        </w:div>
        <w:div w:id="791629727">
          <w:marLeft w:val="0"/>
          <w:marRight w:val="0"/>
          <w:marTop w:val="0"/>
          <w:marBottom w:val="0"/>
          <w:divBdr>
            <w:top w:val="none" w:sz="0" w:space="0" w:color="auto"/>
            <w:left w:val="none" w:sz="0" w:space="0" w:color="auto"/>
            <w:bottom w:val="none" w:sz="0" w:space="0" w:color="auto"/>
            <w:right w:val="none" w:sz="0" w:space="0" w:color="auto"/>
          </w:divBdr>
        </w:div>
        <w:div w:id="900363760">
          <w:marLeft w:val="0"/>
          <w:marRight w:val="0"/>
          <w:marTop w:val="0"/>
          <w:marBottom w:val="0"/>
          <w:divBdr>
            <w:top w:val="none" w:sz="0" w:space="0" w:color="auto"/>
            <w:left w:val="none" w:sz="0" w:space="0" w:color="auto"/>
            <w:bottom w:val="none" w:sz="0" w:space="0" w:color="auto"/>
            <w:right w:val="none" w:sz="0" w:space="0" w:color="auto"/>
          </w:divBdr>
        </w:div>
        <w:div w:id="907805319">
          <w:marLeft w:val="0"/>
          <w:marRight w:val="0"/>
          <w:marTop w:val="0"/>
          <w:marBottom w:val="0"/>
          <w:divBdr>
            <w:top w:val="none" w:sz="0" w:space="0" w:color="auto"/>
            <w:left w:val="none" w:sz="0" w:space="0" w:color="auto"/>
            <w:bottom w:val="none" w:sz="0" w:space="0" w:color="auto"/>
            <w:right w:val="none" w:sz="0" w:space="0" w:color="auto"/>
          </w:divBdr>
        </w:div>
      </w:divsChild>
    </w:div>
    <w:div w:id="110635155">
      <w:bodyDiv w:val="1"/>
      <w:marLeft w:val="0"/>
      <w:marRight w:val="0"/>
      <w:marTop w:val="0"/>
      <w:marBottom w:val="0"/>
      <w:divBdr>
        <w:top w:val="none" w:sz="0" w:space="0" w:color="auto"/>
        <w:left w:val="none" w:sz="0" w:space="0" w:color="auto"/>
        <w:bottom w:val="none" w:sz="0" w:space="0" w:color="auto"/>
        <w:right w:val="none" w:sz="0" w:space="0" w:color="auto"/>
      </w:divBdr>
    </w:div>
    <w:div w:id="120654989">
      <w:bodyDiv w:val="1"/>
      <w:marLeft w:val="0"/>
      <w:marRight w:val="0"/>
      <w:marTop w:val="0"/>
      <w:marBottom w:val="0"/>
      <w:divBdr>
        <w:top w:val="none" w:sz="0" w:space="0" w:color="auto"/>
        <w:left w:val="none" w:sz="0" w:space="0" w:color="auto"/>
        <w:bottom w:val="none" w:sz="0" w:space="0" w:color="auto"/>
        <w:right w:val="none" w:sz="0" w:space="0" w:color="auto"/>
      </w:divBdr>
    </w:div>
    <w:div w:id="124930189">
      <w:bodyDiv w:val="1"/>
      <w:marLeft w:val="0"/>
      <w:marRight w:val="0"/>
      <w:marTop w:val="0"/>
      <w:marBottom w:val="0"/>
      <w:divBdr>
        <w:top w:val="none" w:sz="0" w:space="0" w:color="auto"/>
        <w:left w:val="none" w:sz="0" w:space="0" w:color="auto"/>
        <w:bottom w:val="none" w:sz="0" w:space="0" w:color="auto"/>
        <w:right w:val="none" w:sz="0" w:space="0" w:color="auto"/>
      </w:divBdr>
    </w:div>
    <w:div w:id="135609169">
      <w:bodyDiv w:val="1"/>
      <w:marLeft w:val="0"/>
      <w:marRight w:val="0"/>
      <w:marTop w:val="0"/>
      <w:marBottom w:val="0"/>
      <w:divBdr>
        <w:top w:val="none" w:sz="0" w:space="0" w:color="auto"/>
        <w:left w:val="none" w:sz="0" w:space="0" w:color="auto"/>
        <w:bottom w:val="none" w:sz="0" w:space="0" w:color="auto"/>
        <w:right w:val="none" w:sz="0" w:space="0" w:color="auto"/>
      </w:divBdr>
    </w:div>
    <w:div w:id="168716450">
      <w:bodyDiv w:val="1"/>
      <w:marLeft w:val="0"/>
      <w:marRight w:val="0"/>
      <w:marTop w:val="0"/>
      <w:marBottom w:val="0"/>
      <w:divBdr>
        <w:top w:val="none" w:sz="0" w:space="0" w:color="auto"/>
        <w:left w:val="none" w:sz="0" w:space="0" w:color="auto"/>
        <w:bottom w:val="none" w:sz="0" w:space="0" w:color="auto"/>
        <w:right w:val="none" w:sz="0" w:space="0" w:color="auto"/>
      </w:divBdr>
    </w:div>
    <w:div w:id="253175256">
      <w:bodyDiv w:val="1"/>
      <w:marLeft w:val="0"/>
      <w:marRight w:val="0"/>
      <w:marTop w:val="0"/>
      <w:marBottom w:val="0"/>
      <w:divBdr>
        <w:top w:val="none" w:sz="0" w:space="0" w:color="auto"/>
        <w:left w:val="none" w:sz="0" w:space="0" w:color="auto"/>
        <w:bottom w:val="none" w:sz="0" w:space="0" w:color="auto"/>
        <w:right w:val="none" w:sz="0" w:space="0" w:color="auto"/>
      </w:divBdr>
    </w:div>
    <w:div w:id="269162094">
      <w:bodyDiv w:val="1"/>
      <w:marLeft w:val="0"/>
      <w:marRight w:val="0"/>
      <w:marTop w:val="0"/>
      <w:marBottom w:val="0"/>
      <w:divBdr>
        <w:top w:val="none" w:sz="0" w:space="0" w:color="auto"/>
        <w:left w:val="none" w:sz="0" w:space="0" w:color="auto"/>
        <w:bottom w:val="none" w:sz="0" w:space="0" w:color="auto"/>
        <w:right w:val="none" w:sz="0" w:space="0" w:color="auto"/>
      </w:divBdr>
    </w:div>
    <w:div w:id="287510814">
      <w:bodyDiv w:val="1"/>
      <w:marLeft w:val="0"/>
      <w:marRight w:val="0"/>
      <w:marTop w:val="0"/>
      <w:marBottom w:val="0"/>
      <w:divBdr>
        <w:top w:val="none" w:sz="0" w:space="0" w:color="auto"/>
        <w:left w:val="none" w:sz="0" w:space="0" w:color="auto"/>
        <w:bottom w:val="none" w:sz="0" w:space="0" w:color="auto"/>
        <w:right w:val="none" w:sz="0" w:space="0" w:color="auto"/>
      </w:divBdr>
    </w:div>
    <w:div w:id="413212986">
      <w:bodyDiv w:val="1"/>
      <w:marLeft w:val="0"/>
      <w:marRight w:val="0"/>
      <w:marTop w:val="0"/>
      <w:marBottom w:val="0"/>
      <w:divBdr>
        <w:top w:val="none" w:sz="0" w:space="0" w:color="auto"/>
        <w:left w:val="none" w:sz="0" w:space="0" w:color="auto"/>
        <w:bottom w:val="none" w:sz="0" w:space="0" w:color="auto"/>
        <w:right w:val="none" w:sz="0" w:space="0" w:color="auto"/>
      </w:divBdr>
    </w:div>
    <w:div w:id="431126768">
      <w:bodyDiv w:val="1"/>
      <w:marLeft w:val="0"/>
      <w:marRight w:val="0"/>
      <w:marTop w:val="0"/>
      <w:marBottom w:val="0"/>
      <w:divBdr>
        <w:top w:val="none" w:sz="0" w:space="0" w:color="auto"/>
        <w:left w:val="none" w:sz="0" w:space="0" w:color="auto"/>
        <w:bottom w:val="none" w:sz="0" w:space="0" w:color="auto"/>
        <w:right w:val="none" w:sz="0" w:space="0" w:color="auto"/>
      </w:divBdr>
    </w:div>
    <w:div w:id="491457031">
      <w:bodyDiv w:val="1"/>
      <w:marLeft w:val="0"/>
      <w:marRight w:val="0"/>
      <w:marTop w:val="0"/>
      <w:marBottom w:val="0"/>
      <w:divBdr>
        <w:top w:val="none" w:sz="0" w:space="0" w:color="auto"/>
        <w:left w:val="none" w:sz="0" w:space="0" w:color="auto"/>
        <w:bottom w:val="none" w:sz="0" w:space="0" w:color="auto"/>
        <w:right w:val="none" w:sz="0" w:space="0" w:color="auto"/>
      </w:divBdr>
    </w:div>
    <w:div w:id="500849118">
      <w:bodyDiv w:val="1"/>
      <w:marLeft w:val="0"/>
      <w:marRight w:val="0"/>
      <w:marTop w:val="0"/>
      <w:marBottom w:val="0"/>
      <w:divBdr>
        <w:top w:val="none" w:sz="0" w:space="0" w:color="auto"/>
        <w:left w:val="none" w:sz="0" w:space="0" w:color="auto"/>
        <w:bottom w:val="none" w:sz="0" w:space="0" w:color="auto"/>
        <w:right w:val="none" w:sz="0" w:space="0" w:color="auto"/>
      </w:divBdr>
    </w:div>
    <w:div w:id="606814998">
      <w:bodyDiv w:val="1"/>
      <w:marLeft w:val="0"/>
      <w:marRight w:val="0"/>
      <w:marTop w:val="0"/>
      <w:marBottom w:val="0"/>
      <w:divBdr>
        <w:top w:val="none" w:sz="0" w:space="0" w:color="auto"/>
        <w:left w:val="none" w:sz="0" w:space="0" w:color="auto"/>
        <w:bottom w:val="none" w:sz="0" w:space="0" w:color="auto"/>
        <w:right w:val="none" w:sz="0" w:space="0" w:color="auto"/>
      </w:divBdr>
      <w:divsChild>
        <w:div w:id="443811341">
          <w:marLeft w:val="0"/>
          <w:marRight w:val="0"/>
          <w:marTop w:val="0"/>
          <w:marBottom w:val="0"/>
          <w:divBdr>
            <w:top w:val="none" w:sz="0" w:space="0" w:color="auto"/>
            <w:left w:val="none" w:sz="0" w:space="0" w:color="auto"/>
            <w:bottom w:val="none" w:sz="0" w:space="0" w:color="auto"/>
            <w:right w:val="none" w:sz="0" w:space="0" w:color="auto"/>
          </w:divBdr>
        </w:div>
        <w:div w:id="390495314">
          <w:marLeft w:val="0"/>
          <w:marRight w:val="0"/>
          <w:marTop w:val="0"/>
          <w:marBottom w:val="0"/>
          <w:divBdr>
            <w:top w:val="none" w:sz="0" w:space="0" w:color="auto"/>
            <w:left w:val="none" w:sz="0" w:space="0" w:color="auto"/>
            <w:bottom w:val="none" w:sz="0" w:space="0" w:color="auto"/>
            <w:right w:val="none" w:sz="0" w:space="0" w:color="auto"/>
          </w:divBdr>
        </w:div>
        <w:div w:id="1919056954">
          <w:marLeft w:val="0"/>
          <w:marRight w:val="0"/>
          <w:marTop w:val="0"/>
          <w:marBottom w:val="0"/>
          <w:divBdr>
            <w:top w:val="none" w:sz="0" w:space="0" w:color="auto"/>
            <w:left w:val="none" w:sz="0" w:space="0" w:color="auto"/>
            <w:bottom w:val="none" w:sz="0" w:space="0" w:color="auto"/>
            <w:right w:val="none" w:sz="0" w:space="0" w:color="auto"/>
          </w:divBdr>
        </w:div>
        <w:div w:id="1799835957">
          <w:marLeft w:val="0"/>
          <w:marRight w:val="0"/>
          <w:marTop w:val="0"/>
          <w:marBottom w:val="0"/>
          <w:divBdr>
            <w:top w:val="none" w:sz="0" w:space="0" w:color="auto"/>
            <w:left w:val="none" w:sz="0" w:space="0" w:color="auto"/>
            <w:bottom w:val="none" w:sz="0" w:space="0" w:color="auto"/>
            <w:right w:val="none" w:sz="0" w:space="0" w:color="auto"/>
          </w:divBdr>
        </w:div>
        <w:div w:id="223104697">
          <w:marLeft w:val="0"/>
          <w:marRight w:val="0"/>
          <w:marTop w:val="0"/>
          <w:marBottom w:val="0"/>
          <w:divBdr>
            <w:top w:val="none" w:sz="0" w:space="0" w:color="auto"/>
            <w:left w:val="none" w:sz="0" w:space="0" w:color="auto"/>
            <w:bottom w:val="none" w:sz="0" w:space="0" w:color="auto"/>
            <w:right w:val="none" w:sz="0" w:space="0" w:color="auto"/>
          </w:divBdr>
        </w:div>
        <w:div w:id="986471086">
          <w:marLeft w:val="0"/>
          <w:marRight w:val="0"/>
          <w:marTop w:val="0"/>
          <w:marBottom w:val="0"/>
          <w:divBdr>
            <w:top w:val="none" w:sz="0" w:space="0" w:color="auto"/>
            <w:left w:val="none" w:sz="0" w:space="0" w:color="auto"/>
            <w:bottom w:val="none" w:sz="0" w:space="0" w:color="auto"/>
            <w:right w:val="none" w:sz="0" w:space="0" w:color="auto"/>
          </w:divBdr>
        </w:div>
        <w:div w:id="1460879218">
          <w:marLeft w:val="0"/>
          <w:marRight w:val="0"/>
          <w:marTop w:val="0"/>
          <w:marBottom w:val="0"/>
          <w:divBdr>
            <w:top w:val="none" w:sz="0" w:space="0" w:color="auto"/>
            <w:left w:val="none" w:sz="0" w:space="0" w:color="auto"/>
            <w:bottom w:val="none" w:sz="0" w:space="0" w:color="auto"/>
            <w:right w:val="none" w:sz="0" w:space="0" w:color="auto"/>
          </w:divBdr>
        </w:div>
        <w:div w:id="308635051">
          <w:marLeft w:val="0"/>
          <w:marRight w:val="0"/>
          <w:marTop w:val="0"/>
          <w:marBottom w:val="0"/>
          <w:divBdr>
            <w:top w:val="none" w:sz="0" w:space="0" w:color="auto"/>
            <w:left w:val="none" w:sz="0" w:space="0" w:color="auto"/>
            <w:bottom w:val="none" w:sz="0" w:space="0" w:color="auto"/>
            <w:right w:val="none" w:sz="0" w:space="0" w:color="auto"/>
          </w:divBdr>
        </w:div>
        <w:div w:id="1775632760">
          <w:marLeft w:val="0"/>
          <w:marRight w:val="0"/>
          <w:marTop w:val="0"/>
          <w:marBottom w:val="0"/>
          <w:divBdr>
            <w:top w:val="none" w:sz="0" w:space="0" w:color="auto"/>
            <w:left w:val="none" w:sz="0" w:space="0" w:color="auto"/>
            <w:bottom w:val="none" w:sz="0" w:space="0" w:color="auto"/>
            <w:right w:val="none" w:sz="0" w:space="0" w:color="auto"/>
          </w:divBdr>
        </w:div>
        <w:div w:id="1369380144">
          <w:marLeft w:val="0"/>
          <w:marRight w:val="0"/>
          <w:marTop w:val="0"/>
          <w:marBottom w:val="0"/>
          <w:divBdr>
            <w:top w:val="none" w:sz="0" w:space="0" w:color="auto"/>
            <w:left w:val="none" w:sz="0" w:space="0" w:color="auto"/>
            <w:bottom w:val="none" w:sz="0" w:space="0" w:color="auto"/>
            <w:right w:val="none" w:sz="0" w:space="0" w:color="auto"/>
          </w:divBdr>
        </w:div>
        <w:div w:id="1644239345">
          <w:marLeft w:val="0"/>
          <w:marRight w:val="0"/>
          <w:marTop w:val="0"/>
          <w:marBottom w:val="0"/>
          <w:divBdr>
            <w:top w:val="none" w:sz="0" w:space="0" w:color="auto"/>
            <w:left w:val="none" w:sz="0" w:space="0" w:color="auto"/>
            <w:bottom w:val="none" w:sz="0" w:space="0" w:color="auto"/>
            <w:right w:val="none" w:sz="0" w:space="0" w:color="auto"/>
          </w:divBdr>
        </w:div>
        <w:div w:id="1366833809">
          <w:marLeft w:val="0"/>
          <w:marRight w:val="0"/>
          <w:marTop w:val="0"/>
          <w:marBottom w:val="0"/>
          <w:divBdr>
            <w:top w:val="none" w:sz="0" w:space="0" w:color="auto"/>
            <w:left w:val="none" w:sz="0" w:space="0" w:color="auto"/>
            <w:bottom w:val="none" w:sz="0" w:space="0" w:color="auto"/>
            <w:right w:val="none" w:sz="0" w:space="0" w:color="auto"/>
          </w:divBdr>
        </w:div>
        <w:div w:id="1760449309">
          <w:marLeft w:val="0"/>
          <w:marRight w:val="0"/>
          <w:marTop w:val="0"/>
          <w:marBottom w:val="0"/>
          <w:divBdr>
            <w:top w:val="none" w:sz="0" w:space="0" w:color="auto"/>
            <w:left w:val="none" w:sz="0" w:space="0" w:color="auto"/>
            <w:bottom w:val="none" w:sz="0" w:space="0" w:color="auto"/>
            <w:right w:val="none" w:sz="0" w:space="0" w:color="auto"/>
          </w:divBdr>
        </w:div>
      </w:divsChild>
    </w:div>
    <w:div w:id="643854649">
      <w:bodyDiv w:val="1"/>
      <w:marLeft w:val="0"/>
      <w:marRight w:val="0"/>
      <w:marTop w:val="0"/>
      <w:marBottom w:val="0"/>
      <w:divBdr>
        <w:top w:val="none" w:sz="0" w:space="0" w:color="auto"/>
        <w:left w:val="none" w:sz="0" w:space="0" w:color="auto"/>
        <w:bottom w:val="none" w:sz="0" w:space="0" w:color="auto"/>
        <w:right w:val="none" w:sz="0" w:space="0" w:color="auto"/>
      </w:divBdr>
    </w:div>
    <w:div w:id="855117150">
      <w:bodyDiv w:val="1"/>
      <w:marLeft w:val="0"/>
      <w:marRight w:val="0"/>
      <w:marTop w:val="0"/>
      <w:marBottom w:val="0"/>
      <w:divBdr>
        <w:top w:val="none" w:sz="0" w:space="0" w:color="auto"/>
        <w:left w:val="none" w:sz="0" w:space="0" w:color="auto"/>
        <w:bottom w:val="none" w:sz="0" w:space="0" w:color="auto"/>
        <w:right w:val="none" w:sz="0" w:space="0" w:color="auto"/>
      </w:divBdr>
    </w:div>
    <w:div w:id="995261703">
      <w:bodyDiv w:val="1"/>
      <w:marLeft w:val="0"/>
      <w:marRight w:val="0"/>
      <w:marTop w:val="0"/>
      <w:marBottom w:val="0"/>
      <w:divBdr>
        <w:top w:val="none" w:sz="0" w:space="0" w:color="auto"/>
        <w:left w:val="none" w:sz="0" w:space="0" w:color="auto"/>
        <w:bottom w:val="none" w:sz="0" w:space="0" w:color="auto"/>
        <w:right w:val="none" w:sz="0" w:space="0" w:color="auto"/>
      </w:divBdr>
      <w:divsChild>
        <w:div w:id="902448308">
          <w:marLeft w:val="0"/>
          <w:marRight w:val="0"/>
          <w:marTop w:val="0"/>
          <w:marBottom w:val="0"/>
          <w:divBdr>
            <w:top w:val="none" w:sz="0" w:space="0" w:color="auto"/>
            <w:left w:val="none" w:sz="0" w:space="0" w:color="auto"/>
            <w:bottom w:val="none" w:sz="0" w:space="0" w:color="auto"/>
            <w:right w:val="none" w:sz="0" w:space="0" w:color="auto"/>
          </w:divBdr>
        </w:div>
      </w:divsChild>
    </w:div>
    <w:div w:id="1053893644">
      <w:bodyDiv w:val="1"/>
      <w:marLeft w:val="0"/>
      <w:marRight w:val="0"/>
      <w:marTop w:val="0"/>
      <w:marBottom w:val="0"/>
      <w:divBdr>
        <w:top w:val="none" w:sz="0" w:space="0" w:color="auto"/>
        <w:left w:val="none" w:sz="0" w:space="0" w:color="auto"/>
        <w:bottom w:val="none" w:sz="0" w:space="0" w:color="auto"/>
        <w:right w:val="none" w:sz="0" w:space="0" w:color="auto"/>
      </w:divBdr>
    </w:div>
    <w:div w:id="1059400310">
      <w:bodyDiv w:val="1"/>
      <w:marLeft w:val="0"/>
      <w:marRight w:val="0"/>
      <w:marTop w:val="0"/>
      <w:marBottom w:val="0"/>
      <w:divBdr>
        <w:top w:val="none" w:sz="0" w:space="0" w:color="auto"/>
        <w:left w:val="none" w:sz="0" w:space="0" w:color="auto"/>
        <w:bottom w:val="none" w:sz="0" w:space="0" w:color="auto"/>
        <w:right w:val="none" w:sz="0" w:space="0" w:color="auto"/>
      </w:divBdr>
    </w:div>
    <w:div w:id="1101610656">
      <w:bodyDiv w:val="1"/>
      <w:marLeft w:val="0"/>
      <w:marRight w:val="0"/>
      <w:marTop w:val="0"/>
      <w:marBottom w:val="0"/>
      <w:divBdr>
        <w:top w:val="none" w:sz="0" w:space="0" w:color="auto"/>
        <w:left w:val="none" w:sz="0" w:space="0" w:color="auto"/>
        <w:bottom w:val="none" w:sz="0" w:space="0" w:color="auto"/>
        <w:right w:val="none" w:sz="0" w:space="0" w:color="auto"/>
      </w:divBdr>
    </w:div>
    <w:div w:id="1171600438">
      <w:bodyDiv w:val="1"/>
      <w:marLeft w:val="0"/>
      <w:marRight w:val="0"/>
      <w:marTop w:val="0"/>
      <w:marBottom w:val="0"/>
      <w:divBdr>
        <w:top w:val="none" w:sz="0" w:space="0" w:color="auto"/>
        <w:left w:val="none" w:sz="0" w:space="0" w:color="auto"/>
        <w:bottom w:val="none" w:sz="0" w:space="0" w:color="auto"/>
        <w:right w:val="none" w:sz="0" w:space="0" w:color="auto"/>
      </w:divBdr>
      <w:divsChild>
        <w:div w:id="1007178159">
          <w:marLeft w:val="0"/>
          <w:marRight w:val="0"/>
          <w:marTop w:val="0"/>
          <w:marBottom w:val="0"/>
          <w:divBdr>
            <w:top w:val="none" w:sz="0" w:space="0" w:color="auto"/>
            <w:left w:val="none" w:sz="0" w:space="0" w:color="auto"/>
            <w:bottom w:val="none" w:sz="0" w:space="0" w:color="auto"/>
            <w:right w:val="none" w:sz="0" w:space="0" w:color="auto"/>
          </w:divBdr>
        </w:div>
        <w:div w:id="1114906256">
          <w:marLeft w:val="0"/>
          <w:marRight w:val="0"/>
          <w:marTop w:val="0"/>
          <w:marBottom w:val="0"/>
          <w:divBdr>
            <w:top w:val="none" w:sz="0" w:space="0" w:color="auto"/>
            <w:left w:val="none" w:sz="0" w:space="0" w:color="auto"/>
            <w:bottom w:val="none" w:sz="0" w:space="0" w:color="auto"/>
            <w:right w:val="none" w:sz="0" w:space="0" w:color="auto"/>
          </w:divBdr>
        </w:div>
        <w:div w:id="394160507">
          <w:marLeft w:val="0"/>
          <w:marRight w:val="0"/>
          <w:marTop w:val="0"/>
          <w:marBottom w:val="0"/>
          <w:divBdr>
            <w:top w:val="none" w:sz="0" w:space="0" w:color="auto"/>
            <w:left w:val="none" w:sz="0" w:space="0" w:color="auto"/>
            <w:bottom w:val="none" w:sz="0" w:space="0" w:color="auto"/>
            <w:right w:val="none" w:sz="0" w:space="0" w:color="auto"/>
          </w:divBdr>
        </w:div>
        <w:div w:id="800808191">
          <w:marLeft w:val="0"/>
          <w:marRight w:val="0"/>
          <w:marTop w:val="0"/>
          <w:marBottom w:val="0"/>
          <w:divBdr>
            <w:top w:val="none" w:sz="0" w:space="0" w:color="auto"/>
            <w:left w:val="none" w:sz="0" w:space="0" w:color="auto"/>
            <w:bottom w:val="none" w:sz="0" w:space="0" w:color="auto"/>
            <w:right w:val="none" w:sz="0" w:space="0" w:color="auto"/>
          </w:divBdr>
        </w:div>
        <w:div w:id="1204749680">
          <w:marLeft w:val="0"/>
          <w:marRight w:val="0"/>
          <w:marTop w:val="0"/>
          <w:marBottom w:val="0"/>
          <w:divBdr>
            <w:top w:val="none" w:sz="0" w:space="0" w:color="auto"/>
            <w:left w:val="none" w:sz="0" w:space="0" w:color="auto"/>
            <w:bottom w:val="none" w:sz="0" w:space="0" w:color="auto"/>
            <w:right w:val="none" w:sz="0" w:space="0" w:color="auto"/>
          </w:divBdr>
        </w:div>
        <w:div w:id="727648326">
          <w:marLeft w:val="0"/>
          <w:marRight w:val="0"/>
          <w:marTop w:val="0"/>
          <w:marBottom w:val="0"/>
          <w:divBdr>
            <w:top w:val="none" w:sz="0" w:space="0" w:color="auto"/>
            <w:left w:val="none" w:sz="0" w:space="0" w:color="auto"/>
            <w:bottom w:val="none" w:sz="0" w:space="0" w:color="auto"/>
            <w:right w:val="none" w:sz="0" w:space="0" w:color="auto"/>
          </w:divBdr>
        </w:div>
        <w:div w:id="2076853648">
          <w:marLeft w:val="0"/>
          <w:marRight w:val="0"/>
          <w:marTop w:val="0"/>
          <w:marBottom w:val="0"/>
          <w:divBdr>
            <w:top w:val="none" w:sz="0" w:space="0" w:color="auto"/>
            <w:left w:val="none" w:sz="0" w:space="0" w:color="auto"/>
            <w:bottom w:val="none" w:sz="0" w:space="0" w:color="auto"/>
            <w:right w:val="none" w:sz="0" w:space="0" w:color="auto"/>
          </w:divBdr>
        </w:div>
        <w:div w:id="1062404871">
          <w:marLeft w:val="0"/>
          <w:marRight w:val="0"/>
          <w:marTop w:val="0"/>
          <w:marBottom w:val="0"/>
          <w:divBdr>
            <w:top w:val="none" w:sz="0" w:space="0" w:color="auto"/>
            <w:left w:val="none" w:sz="0" w:space="0" w:color="auto"/>
            <w:bottom w:val="none" w:sz="0" w:space="0" w:color="auto"/>
            <w:right w:val="none" w:sz="0" w:space="0" w:color="auto"/>
          </w:divBdr>
        </w:div>
        <w:div w:id="593707554">
          <w:marLeft w:val="0"/>
          <w:marRight w:val="0"/>
          <w:marTop w:val="0"/>
          <w:marBottom w:val="0"/>
          <w:divBdr>
            <w:top w:val="none" w:sz="0" w:space="0" w:color="auto"/>
            <w:left w:val="none" w:sz="0" w:space="0" w:color="auto"/>
            <w:bottom w:val="none" w:sz="0" w:space="0" w:color="auto"/>
            <w:right w:val="none" w:sz="0" w:space="0" w:color="auto"/>
          </w:divBdr>
        </w:div>
        <w:div w:id="919487488">
          <w:marLeft w:val="0"/>
          <w:marRight w:val="0"/>
          <w:marTop w:val="0"/>
          <w:marBottom w:val="0"/>
          <w:divBdr>
            <w:top w:val="none" w:sz="0" w:space="0" w:color="auto"/>
            <w:left w:val="none" w:sz="0" w:space="0" w:color="auto"/>
            <w:bottom w:val="none" w:sz="0" w:space="0" w:color="auto"/>
            <w:right w:val="none" w:sz="0" w:space="0" w:color="auto"/>
          </w:divBdr>
        </w:div>
        <w:div w:id="1186212765">
          <w:marLeft w:val="0"/>
          <w:marRight w:val="0"/>
          <w:marTop w:val="0"/>
          <w:marBottom w:val="0"/>
          <w:divBdr>
            <w:top w:val="none" w:sz="0" w:space="0" w:color="auto"/>
            <w:left w:val="none" w:sz="0" w:space="0" w:color="auto"/>
            <w:bottom w:val="none" w:sz="0" w:space="0" w:color="auto"/>
            <w:right w:val="none" w:sz="0" w:space="0" w:color="auto"/>
          </w:divBdr>
        </w:div>
        <w:div w:id="826479204">
          <w:marLeft w:val="0"/>
          <w:marRight w:val="0"/>
          <w:marTop w:val="0"/>
          <w:marBottom w:val="0"/>
          <w:divBdr>
            <w:top w:val="none" w:sz="0" w:space="0" w:color="auto"/>
            <w:left w:val="none" w:sz="0" w:space="0" w:color="auto"/>
            <w:bottom w:val="none" w:sz="0" w:space="0" w:color="auto"/>
            <w:right w:val="none" w:sz="0" w:space="0" w:color="auto"/>
          </w:divBdr>
        </w:div>
        <w:div w:id="112870347">
          <w:marLeft w:val="0"/>
          <w:marRight w:val="0"/>
          <w:marTop w:val="0"/>
          <w:marBottom w:val="0"/>
          <w:divBdr>
            <w:top w:val="none" w:sz="0" w:space="0" w:color="auto"/>
            <w:left w:val="none" w:sz="0" w:space="0" w:color="auto"/>
            <w:bottom w:val="none" w:sz="0" w:space="0" w:color="auto"/>
            <w:right w:val="none" w:sz="0" w:space="0" w:color="auto"/>
          </w:divBdr>
        </w:div>
        <w:div w:id="1400785976">
          <w:marLeft w:val="0"/>
          <w:marRight w:val="0"/>
          <w:marTop w:val="0"/>
          <w:marBottom w:val="0"/>
          <w:divBdr>
            <w:top w:val="none" w:sz="0" w:space="0" w:color="auto"/>
            <w:left w:val="none" w:sz="0" w:space="0" w:color="auto"/>
            <w:bottom w:val="none" w:sz="0" w:space="0" w:color="auto"/>
            <w:right w:val="none" w:sz="0" w:space="0" w:color="auto"/>
          </w:divBdr>
        </w:div>
        <w:div w:id="199707845">
          <w:marLeft w:val="0"/>
          <w:marRight w:val="0"/>
          <w:marTop w:val="0"/>
          <w:marBottom w:val="0"/>
          <w:divBdr>
            <w:top w:val="none" w:sz="0" w:space="0" w:color="auto"/>
            <w:left w:val="none" w:sz="0" w:space="0" w:color="auto"/>
            <w:bottom w:val="none" w:sz="0" w:space="0" w:color="auto"/>
            <w:right w:val="none" w:sz="0" w:space="0" w:color="auto"/>
          </w:divBdr>
        </w:div>
        <w:div w:id="1241862989">
          <w:marLeft w:val="0"/>
          <w:marRight w:val="0"/>
          <w:marTop w:val="0"/>
          <w:marBottom w:val="0"/>
          <w:divBdr>
            <w:top w:val="none" w:sz="0" w:space="0" w:color="auto"/>
            <w:left w:val="none" w:sz="0" w:space="0" w:color="auto"/>
            <w:bottom w:val="none" w:sz="0" w:space="0" w:color="auto"/>
            <w:right w:val="none" w:sz="0" w:space="0" w:color="auto"/>
          </w:divBdr>
        </w:div>
      </w:divsChild>
    </w:div>
    <w:div w:id="1182278241">
      <w:bodyDiv w:val="1"/>
      <w:marLeft w:val="0"/>
      <w:marRight w:val="0"/>
      <w:marTop w:val="0"/>
      <w:marBottom w:val="0"/>
      <w:divBdr>
        <w:top w:val="none" w:sz="0" w:space="0" w:color="auto"/>
        <w:left w:val="none" w:sz="0" w:space="0" w:color="auto"/>
        <w:bottom w:val="none" w:sz="0" w:space="0" w:color="auto"/>
        <w:right w:val="none" w:sz="0" w:space="0" w:color="auto"/>
      </w:divBdr>
    </w:div>
    <w:div w:id="1268385395">
      <w:bodyDiv w:val="1"/>
      <w:marLeft w:val="0"/>
      <w:marRight w:val="0"/>
      <w:marTop w:val="0"/>
      <w:marBottom w:val="0"/>
      <w:divBdr>
        <w:top w:val="none" w:sz="0" w:space="0" w:color="auto"/>
        <w:left w:val="none" w:sz="0" w:space="0" w:color="auto"/>
        <w:bottom w:val="none" w:sz="0" w:space="0" w:color="auto"/>
        <w:right w:val="none" w:sz="0" w:space="0" w:color="auto"/>
      </w:divBdr>
    </w:div>
    <w:div w:id="1337921228">
      <w:bodyDiv w:val="1"/>
      <w:marLeft w:val="0"/>
      <w:marRight w:val="0"/>
      <w:marTop w:val="0"/>
      <w:marBottom w:val="0"/>
      <w:divBdr>
        <w:top w:val="none" w:sz="0" w:space="0" w:color="auto"/>
        <w:left w:val="none" w:sz="0" w:space="0" w:color="auto"/>
        <w:bottom w:val="none" w:sz="0" w:space="0" w:color="auto"/>
        <w:right w:val="none" w:sz="0" w:space="0" w:color="auto"/>
      </w:divBdr>
    </w:div>
    <w:div w:id="1388652641">
      <w:bodyDiv w:val="1"/>
      <w:marLeft w:val="0"/>
      <w:marRight w:val="0"/>
      <w:marTop w:val="0"/>
      <w:marBottom w:val="0"/>
      <w:divBdr>
        <w:top w:val="none" w:sz="0" w:space="0" w:color="auto"/>
        <w:left w:val="none" w:sz="0" w:space="0" w:color="auto"/>
        <w:bottom w:val="none" w:sz="0" w:space="0" w:color="auto"/>
        <w:right w:val="none" w:sz="0" w:space="0" w:color="auto"/>
      </w:divBdr>
    </w:div>
    <w:div w:id="1402484198">
      <w:bodyDiv w:val="1"/>
      <w:marLeft w:val="0"/>
      <w:marRight w:val="0"/>
      <w:marTop w:val="0"/>
      <w:marBottom w:val="0"/>
      <w:divBdr>
        <w:top w:val="none" w:sz="0" w:space="0" w:color="auto"/>
        <w:left w:val="none" w:sz="0" w:space="0" w:color="auto"/>
        <w:bottom w:val="none" w:sz="0" w:space="0" w:color="auto"/>
        <w:right w:val="none" w:sz="0" w:space="0" w:color="auto"/>
      </w:divBdr>
    </w:div>
    <w:div w:id="1504080382">
      <w:bodyDiv w:val="1"/>
      <w:marLeft w:val="0"/>
      <w:marRight w:val="0"/>
      <w:marTop w:val="0"/>
      <w:marBottom w:val="0"/>
      <w:divBdr>
        <w:top w:val="none" w:sz="0" w:space="0" w:color="auto"/>
        <w:left w:val="none" w:sz="0" w:space="0" w:color="auto"/>
        <w:bottom w:val="none" w:sz="0" w:space="0" w:color="auto"/>
        <w:right w:val="none" w:sz="0" w:space="0" w:color="auto"/>
      </w:divBdr>
    </w:div>
    <w:div w:id="1522931051">
      <w:bodyDiv w:val="1"/>
      <w:marLeft w:val="0"/>
      <w:marRight w:val="0"/>
      <w:marTop w:val="0"/>
      <w:marBottom w:val="0"/>
      <w:divBdr>
        <w:top w:val="none" w:sz="0" w:space="0" w:color="auto"/>
        <w:left w:val="none" w:sz="0" w:space="0" w:color="auto"/>
        <w:bottom w:val="none" w:sz="0" w:space="0" w:color="auto"/>
        <w:right w:val="none" w:sz="0" w:space="0" w:color="auto"/>
      </w:divBdr>
    </w:div>
    <w:div w:id="1527669966">
      <w:bodyDiv w:val="1"/>
      <w:marLeft w:val="0"/>
      <w:marRight w:val="0"/>
      <w:marTop w:val="0"/>
      <w:marBottom w:val="0"/>
      <w:divBdr>
        <w:top w:val="none" w:sz="0" w:space="0" w:color="auto"/>
        <w:left w:val="none" w:sz="0" w:space="0" w:color="auto"/>
        <w:bottom w:val="none" w:sz="0" w:space="0" w:color="auto"/>
        <w:right w:val="none" w:sz="0" w:space="0" w:color="auto"/>
      </w:divBdr>
    </w:div>
    <w:div w:id="1705667169">
      <w:bodyDiv w:val="1"/>
      <w:marLeft w:val="0"/>
      <w:marRight w:val="0"/>
      <w:marTop w:val="0"/>
      <w:marBottom w:val="0"/>
      <w:divBdr>
        <w:top w:val="none" w:sz="0" w:space="0" w:color="auto"/>
        <w:left w:val="none" w:sz="0" w:space="0" w:color="auto"/>
        <w:bottom w:val="none" w:sz="0" w:space="0" w:color="auto"/>
        <w:right w:val="none" w:sz="0" w:space="0" w:color="auto"/>
      </w:divBdr>
    </w:div>
    <w:div w:id="1762142602">
      <w:bodyDiv w:val="1"/>
      <w:marLeft w:val="0"/>
      <w:marRight w:val="0"/>
      <w:marTop w:val="0"/>
      <w:marBottom w:val="0"/>
      <w:divBdr>
        <w:top w:val="none" w:sz="0" w:space="0" w:color="auto"/>
        <w:left w:val="none" w:sz="0" w:space="0" w:color="auto"/>
        <w:bottom w:val="none" w:sz="0" w:space="0" w:color="auto"/>
        <w:right w:val="none" w:sz="0" w:space="0" w:color="auto"/>
      </w:divBdr>
    </w:div>
    <w:div w:id="1778481013">
      <w:bodyDiv w:val="1"/>
      <w:marLeft w:val="0"/>
      <w:marRight w:val="0"/>
      <w:marTop w:val="0"/>
      <w:marBottom w:val="0"/>
      <w:divBdr>
        <w:top w:val="none" w:sz="0" w:space="0" w:color="auto"/>
        <w:left w:val="none" w:sz="0" w:space="0" w:color="auto"/>
        <w:bottom w:val="none" w:sz="0" w:space="0" w:color="auto"/>
        <w:right w:val="none" w:sz="0" w:space="0" w:color="auto"/>
      </w:divBdr>
    </w:div>
    <w:div w:id="1807502790">
      <w:bodyDiv w:val="1"/>
      <w:marLeft w:val="0"/>
      <w:marRight w:val="0"/>
      <w:marTop w:val="0"/>
      <w:marBottom w:val="0"/>
      <w:divBdr>
        <w:top w:val="none" w:sz="0" w:space="0" w:color="auto"/>
        <w:left w:val="none" w:sz="0" w:space="0" w:color="auto"/>
        <w:bottom w:val="none" w:sz="0" w:space="0" w:color="auto"/>
        <w:right w:val="none" w:sz="0" w:space="0" w:color="auto"/>
      </w:divBdr>
    </w:div>
    <w:div w:id="1840268674">
      <w:bodyDiv w:val="1"/>
      <w:marLeft w:val="0"/>
      <w:marRight w:val="0"/>
      <w:marTop w:val="0"/>
      <w:marBottom w:val="0"/>
      <w:divBdr>
        <w:top w:val="none" w:sz="0" w:space="0" w:color="auto"/>
        <w:left w:val="none" w:sz="0" w:space="0" w:color="auto"/>
        <w:bottom w:val="none" w:sz="0" w:space="0" w:color="auto"/>
        <w:right w:val="none" w:sz="0" w:space="0" w:color="auto"/>
      </w:divBdr>
    </w:div>
    <w:div w:id="1866140120">
      <w:bodyDiv w:val="1"/>
      <w:marLeft w:val="0"/>
      <w:marRight w:val="0"/>
      <w:marTop w:val="0"/>
      <w:marBottom w:val="0"/>
      <w:divBdr>
        <w:top w:val="none" w:sz="0" w:space="0" w:color="auto"/>
        <w:left w:val="none" w:sz="0" w:space="0" w:color="auto"/>
        <w:bottom w:val="none" w:sz="0" w:space="0" w:color="auto"/>
        <w:right w:val="none" w:sz="0" w:space="0" w:color="auto"/>
      </w:divBdr>
    </w:div>
    <w:div w:id="1976061952">
      <w:bodyDiv w:val="1"/>
      <w:marLeft w:val="0"/>
      <w:marRight w:val="0"/>
      <w:marTop w:val="0"/>
      <w:marBottom w:val="0"/>
      <w:divBdr>
        <w:top w:val="none" w:sz="0" w:space="0" w:color="auto"/>
        <w:left w:val="none" w:sz="0" w:space="0" w:color="auto"/>
        <w:bottom w:val="none" w:sz="0" w:space="0" w:color="auto"/>
        <w:right w:val="none" w:sz="0" w:space="0" w:color="auto"/>
      </w:divBdr>
    </w:div>
    <w:div w:id="20905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2.xml"/><Relationship Id="rId33" Type="http://schemas.openxmlformats.org/officeDocument/2006/relationships/hyperlink" Target="mailto:Miroslav.Beblavy@ext.ceps.e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xml"/><Relationship Id="rId32" Type="http://schemas.openxmlformats.org/officeDocument/2006/relationships/hyperlink" Target="http://www.neujobs.e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hyperlink" Target="http://shop.ceps.be/BooksList.php?category_id=5&amp;"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tmleuven.be/project/efreight/home.htm" TargetMode="External"/><Relationship Id="rId1" Type="http://schemas.openxmlformats.org/officeDocument/2006/relationships/hyperlink" Target="http://ec.europa.eu/transport/themes/urban/urban_mobilit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erverT320\serverdata\Project\09.55%20NEUJOBS\05.%20Deliverables\WP15\D15.3\JobCreation-NEUJOBS-D15.2%20scenari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T320\serverdata\Project\09.55%20NEUJOBS\05.%20Deliverables\WP15\D15.3\JobCreation-NEUJOBS-D15.2%20scenario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erverT320\serverdata\Project\09.55%20NEUJOBS\05.%20Deliverables\WP15\D15.3\JobCreation-NEUJOBS-D15.2%20scenari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T320\serverdata\Project\09.55%20NEUJOBS\05.%20Deliverables\WP15\D15.3\JobCreation-NEUJOBS-D15.2%20scenari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T320\serverdata\Project\09.55%20NEUJOBS\05.%20Deliverables\WP15\D15.3\JobCreation-NEUJOBS-D15.2%20scenari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erverT320\serverdata\Project\09.55%20NEUJOBS\05.%20Deliverables\WP15\D15.3\JobCreation-NEUJOBS-D15.2%20scenari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erverT320\serverdata\Project\09.55%20NEUJOBS\05.%20Deliverables\WP15\D15.3\JobCreation-NEUJOBS-D15.2%20scenari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'Overall effect-EV'!$H$1</c:f>
              <c:strCache>
                <c:ptCount val="1"/>
                <c:pt idx="0">
                  <c:v>value</c:v>
                </c:pt>
              </c:strCache>
            </c:strRef>
          </c:tx>
          <c:invertIfNegative val="0"/>
          <c:dPt>
            <c:idx val="8"/>
            <c:invertIfNegative val="0"/>
            <c:bubble3D val="0"/>
            <c:spPr>
              <a:solidFill>
                <a:schemeClr val="accent2">
                  <a:lumMod val="60000"/>
                  <a:lumOff val="40000"/>
                </a:schemeClr>
              </a:solidFill>
            </c:spPr>
          </c:dPt>
          <c:cat>
            <c:strRef>
              <c:f>'Overall effect-EV'!$G$2:$G$10</c:f>
              <c:strCache>
                <c:ptCount val="9"/>
                <c:pt idx="0">
                  <c:v>Maintenance</c:v>
                </c:pt>
                <c:pt idx="1">
                  <c:v>Real_estate</c:v>
                </c:pt>
                <c:pt idx="2">
                  <c:v>Petroleum</c:v>
                </c:pt>
                <c:pt idx="3">
                  <c:v>Financial</c:v>
                </c:pt>
                <c:pt idx="4">
                  <c:v>Machinery</c:v>
                </c:pt>
                <c:pt idx="5">
                  <c:v>Metal_products</c:v>
                </c:pt>
                <c:pt idx="6">
                  <c:v>Transport_equipment</c:v>
                </c:pt>
                <c:pt idx="7">
                  <c:v>Electricity_gas_water</c:v>
                </c:pt>
                <c:pt idx="8">
                  <c:v>Total</c:v>
                </c:pt>
              </c:strCache>
            </c:strRef>
          </c:cat>
          <c:val>
            <c:numRef>
              <c:f>'Overall effect-EV'!$H$2:$H$10</c:f>
              <c:numCache>
                <c:formatCode>0.0</c:formatCode>
                <c:ptCount val="9"/>
                <c:pt idx="0">
                  <c:v>-61.682989725164532</c:v>
                </c:pt>
                <c:pt idx="1">
                  <c:v>-25.659101241890195</c:v>
                </c:pt>
                <c:pt idx="2">
                  <c:v>-15.230140173276471</c:v>
                </c:pt>
                <c:pt idx="3">
                  <c:v>-13.116017838731029</c:v>
                </c:pt>
                <c:pt idx="4">
                  <c:v>5.6104727539069321</c:v>
                </c:pt>
                <c:pt idx="5">
                  <c:v>6.4017325019869649</c:v>
                </c:pt>
                <c:pt idx="6">
                  <c:v>65.94360903146405</c:v>
                </c:pt>
                <c:pt idx="7">
                  <c:v>66.742255626683445</c:v>
                </c:pt>
                <c:pt idx="8">
                  <c:v>-22.4</c:v>
                </c:pt>
              </c:numCache>
            </c:numRef>
          </c:val>
        </c:ser>
        <c:dLbls>
          <c:showLegendKey val="0"/>
          <c:showVal val="0"/>
          <c:showCatName val="0"/>
          <c:showSerName val="0"/>
          <c:showPercent val="0"/>
          <c:showBubbleSize val="0"/>
        </c:dLbls>
        <c:gapWidth val="150"/>
        <c:axId val="108313984"/>
        <c:axId val="108328064"/>
      </c:barChart>
      <c:catAx>
        <c:axId val="108313984"/>
        <c:scaling>
          <c:orientation val="minMax"/>
        </c:scaling>
        <c:delete val="0"/>
        <c:axPos val="l"/>
        <c:majorTickMark val="out"/>
        <c:minorTickMark val="none"/>
        <c:tickLblPos val="nextTo"/>
        <c:crossAx val="108328064"/>
        <c:crosses val="autoZero"/>
        <c:auto val="1"/>
        <c:lblAlgn val="ctr"/>
        <c:lblOffset val="100"/>
        <c:noMultiLvlLbl val="0"/>
      </c:catAx>
      <c:valAx>
        <c:axId val="108328064"/>
        <c:scaling>
          <c:orientation val="minMax"/>
        </c:scaling>
        <c:delete val="0"/>
        <c:axPos val="b"/>
        <c:majorGridlines/>
        <c:title>
          <c:tx>
            <c:rich>
              <a:bodyPr/>
              <a:lstStyle/>
              <a:p>
                <a:pPr>
                  <a:defRPr/>
                </a:pPr>
                <a:r>
                  <a:rPr lang="en-GB"/>
                  <a:t>Change</a:t>
                </a:r>
                <a:r>
                  <a:rPr lang="en-GB" baseline="0"/>
                  <a:t> in labour compensation summed over all countries (million euros)</a:t>
                </a:r>
                <a:endParaRPr lang="en-GB"/>
              </a:p>
            </c:rich>
          </c:tx>
          <c:layout/>
          <c:overlay val="0"/>
        </c:title>
        <c:numFmt formatCode="0.0" sourceLinked="1"/>
        <c:majorTickMark val="out"/>
        <c:minorTickMark val="none"/>
        <c:tickLblPos val="nextTo"/>
        <c:crossAx val="10831398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'Overall effect-EV'!$G$63</c:f>
              <c:strCache>
                <c:ptCount val="1"/>
                <c:pt idx="0">
                  <c:v>Jobs</c:v>
                </c:pt>
              </c:strCache>
            </c:strRef>
          </c:tx>
          <c:invertIfNegative val="0"/>
          <c:cat>
            <c:strRef>
              <c:f>'Overall effect-EV'!$F$64:$F$71</c:f>
              <c:strCache>
                <c:ptCount val="8"/>
                <c:pt idx="0">
                  <c:v>DK</c:v>
                </c:pt>
                <c:pt idx="1">
                  <c:v>IT</c:v>
                </c:pt>
                <c:pt idx="2">
                  <c:v>ES</c:v>
                </c:pt>
                <c:pt idx="3">
                  <c:v>PT</c:v>
                </c:pt>
                <c:pt idx="4">
                  <c:v>CZ</c:v>
                </c:pt>
                <c:pt idx="5">
                  <c:v>RO</c:v>
                </c:pt>
                <c:pt idx="6">
                  <c:v>UK</c:v>
                </c:pt>
                <c:pt idx="7">
                  <c:v>DE</c:v>
                </c:pt>
              </c:strCache>
            </c:strRef>
          </c:cat>
          <c:val>
            <c:numRef>
              <c:f>'Overall effect-EV'!$G$64:$G$71</c:f>
              <c:numCache>
                <c:formatCode>0.0</c:formatCode>
                <c:ptCount val="8"/>
                <c:pt idx="0">
                  <c:v>-1557.2665931808101</c:v>
                </c:pt>
                <c:pt idx="1">
                  <c:v>-443.87047408465486</c:v>
                </c:pt>
                <c:pt idx="2">
                  <c:v>-83.34818105809849</c:v>
                </c:pt>
                <c:pt idx="3">
                  <c:v>-56.441674803111873</c:v>
                </c:pt>
                <c:pt idx="4">
                  <c:v>101.38029420999358</c:v>
                </c:pt>
                <c:pt idx="5">
                  <c:v>245.44914627782961</c:v>
                </c:pt>
                <c:pt idx="6">
                  <c:v>404.6048157977587</c:v>
                </c:pt>
                <c:pt idx="7">
                  <c:v>1107.7946240142001</c:v>
                </c:pt>
              </c:numCache>
            </c:numRef>
          </c:val>
        </c:ser>
        <c:dLbls>
          <c:showLegendKey val="0"/>
          <c:showVal val="0"/>
          <c:showCatName val="0"/>
          <c:showSerName val="0"/>
          <c:showPercent val="0"/>
          <c:showBubbleSize val="0"/>
        </c:dLbls>
        <c:gapWidth val="150"/>
        <c:axId val="110606976"/>
        <c:axId val="110699264"/>
      </c:barChart>
      <c:catAx>
        <c:axId val="110606976"/>
        <c:scaling>
          <c:orientation val="minMax"/>
        </c:scaling>
        <c:delete val="0"/>
        <c:axPos val="l"/>
        <c:majorTickMark val="out"/>
        <c:minorTickMark val="none"/>
        <c:tickLblPos val="nextTo"/>
        <c:crossAx val="110699264"/>
        <c:crosses val="autoZero"/>
        <c:auto val="1"/>
        <c:lblAlgn val="ctr"/>
        <c:lblOffset val="100"/>
        <c:noMultiLvlLbl val="0"/>
      </c:catAx>
      <c:valAx>
        <c:axId val="110699264"/>
        <c:scaling>
          <c:orientation val="minMax"/>
        </c:scaling>
        <c:delete val="0"/>
        <c:axPos val="b"/>
        <c:majorGridlines/>
        <c:title>
          <c:tx>
            <c:rich>
              <a:bodyPr/>
              <a:lstStyle/>
              <a:p>
                <a:pPr>
                  <a:defRPr/>
                </a:pPr>
                <a:r>
                  <a:rPr lang="en-GB"/>
                  <a:t>Net Job creation (in</a:t>
                </a:r>
                <a:r>
                  <a:rPr lang="en-GB" baseline="0"/>
                  <a:t> FTE'S)</a:t>
                </a:r>
                <a:endParaRPr lang="en-GB"/>
              </a:p>
            </c:rich>
          </c:tx>
          <c:layout>
            <c:manualLayout>
              <c:xMode val="edge"/>
              <c:yMode val="edge"/>
              <c:x val="0.39012554680664918"/>
              <c:y val="0.88331000291630213"/>
            </c:manualLayout>
          </c:layout>
          <c:overlay val="0"/>
        </c:title>
        <c:numFmt formatCode="0.0" sourceLinked="1"/>
        <c:majorTickMark val="out"/>
        <c:minorTickMark val="none"/>
        <c:tickLblPos val="nextTo"/>
        <c:crossAx val="1106069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'Overall effect-EV'!$C$63</c:f>
              <c:strCache>
                <c:ptCount val="1"/>
                <c:pt idx="0">
                  <c:v>Jobs</c:v>
                </c:pt>
              </c:strCache>
            </c:strRef>
          </c:tx>
          <c:spPr>
            <a:ln w="28575">
              <a:noFill/>
            </a:ln>
          </c:spPr>
          <c:xVal>
            <c:numRef>
              <c:f>'Overall effect-EV'!$B$64:$B$87</c:f>
              <c:numCache>
                <c:formatCode>0.00%</c:formatCode>
                <c:ptCount val="24"/>
                <c:pt idx="0">
                  <c:v>2.5412686706121467E-3</c:v>
                </c:pt>
                <c:pt idx="1">
                  <c:v>9.4605492520082688E-3</c:v>
                </c:pt>
                <c:pt idx="2">
                  <c:v>1.3698220963886665E-2</c:v>
                </c:pt>
                <c:pt idx="3">
                  <c:v>6.5279556458504931E-3</c:v>
                </c:pt>
                <c:pt idx="4">
                  <c:v>1.469706125386939E-3</c:v>
                </c:pt>
                <c:pt idx="5">
                  <c:v>3.6495438966439634E-3</c:v>
                </c:pt>
                <c:pt idx="6">
                  <c:v>3.9544004302955443E-3</c:v>
                </c:pt>
                <c:pt idx="7">
                  <c:v>2.2467398340444911E-2</c:v>
                </c:pt>
                <c:pt idx="8">
                  <c:v>7.9174892919466099E-4</c:v>
                </c:pt>
                <c:pt idx="9">
                  <c:v>3.6979824937594138E-3</c:v>
                </c:pt>
                <c:pt idx="10">
                  <c:v>2.2752840394072937E-4</c:v>
                </c:pt>
                <c:pt idx="11">
                  <c:v>1.2941258411371269E-2</c:v>
                </c:pt>
                <c:pt idx="12">
                  <c:v>1.1242547457725419E-2</c:v>
                </c:pt>
                <c:pt idx="13">
                  <c:v>2.4933001006508379E-3</c:v>
                </c:pt>
                <c:pt idx="14">
                  <c:v>2.2461042824248566E-2</c:v>
                </c:pt>
                <c:pt idx="15">
                  <c:v>1.4196635475774398E-2</c:v>
                </c:pt>
                <c:pt idx="16">
                  <c:v>3.6393763201560429E-4</c:v>
                </c:pt>
                <c:pt idx="17">
                  <c:v>1.0374581806109745E-3</c:v>
                </c:pt>
                <c:pt idx="18">
                  <c:v>1.6395894650105727E-2</c:v>
                </c:pt>
                <c:pt idx="19">
                  <c:v>2.1479844621105661E-2</c:v>
                </c:pt>
                <c:pt idx="20">
                  <c:v>3.2750666917290873E-2</c:v>
                </c:pt>
                <c:pt idx="21">
                  <c:v>1.2262710258085155E-2</c:v>
                </c:pt>
                <c:pt idx="22">
                  <c:v>9.3344825928474238E-3</c:v>
                </c:pt>
                <c:pt idx="23">
                  <c:v>4.6228916580331417E-2</c:v>
                </c:pt>
              </c:numCache>
            </c:numRef>
          </c:xVal>
          <c:yVal>
            <c:numRef>
              <c:f>'Overall effect-EV'!$C$64:$C$87</c:f>
              <c:numCache>
                <c:formatCode>0.0</c:formatCode>
                <c:ptCount val="24"/>
                <c:pt idx="0">
                  <c:v>-1557.2665931808101</c:v>
                </c:pt>
                <c:pt idx="1">
                  <c:v>-443.87047408465486</c:v>
                </c:pt>
                <c:pt idx="2">
                  <c:v>-83.34818105809849</c:v>
                </c:pt>
                <c:pt idx="3">
                  <c:v>-56.441674803111873</c:v>
                </c:pt>
                <c:pt idx="4">
                  <c:v>-30.05386555491059</c:v>
                </c:pt>
                <c:pt idx="5">
                  <c:v>-25.726610825417126</c:v>
                </c:pt>
                <c:pt idx="6">
                  <c:v>-7.8733090839516944</c:v>
                </c:pt>
                <c:pt idx="7">
                  <c:v>-4.4405173634209358</c:v>
                </c:pt>
                <c:pt idx="8">
                  <c:v>-2.7825089548599684</c:v>
                </c:pt>
                <c:pt idx="9">
                  <c:v>-0.84485989377326398</c:v>
                </c:pt>
                <c:pt idx="10">
                  <c:v>-0.30975388452308755</c:v>
                </c:pt>
                <c:pt idx="11">
                  <c:v>17.007988070832774</c:v>
                </c:pt>
                <c:pt idx="12">
                  <c:v>17.505642576801201</c:v>
                </c:pt>
                <c:pt idx="13">
                  <c:v>18.904598507001239</c:v>
                </c:pt>
                <c:pt idx="14">
                  <c:v>21.10577021760626</c:v>
                </c:pt>
                <c:pt idx="15">
                  <c:v>26.094972971364005</c:v>
                </c:pt>
                <c:pt idx="16">
                  <c:v>27.030729429198058</c:v>
                </c:pt>
                <c:pt idx="17">
                  <c:v>52.831374438186202</c:v>
                </c:pt>
                <c:pt idx="18">
                  <c:v>83.893857563653938</c:v>
                </c:pt>
                <c:pt idx="19">
                  <c:v>84.517075124831592</c:v>
                </c:pt>
                <c:pt idx="20">
                  <c:v>101.38029420999358</c:v>
                </c:pt>
                <c:pt idx="21">
                  <c:v>245.44914627782961</c:v>
                </c:pt>
                <c:pt idx="22">
                  <c:v>404.6048157977587</c:v>
                </c:pt>
                <c:pt idx="23">
                  <c:v>1107.7946240142001</c:v>
                </c:pt>
              </c:numCache>
            </c:numRef>
          </c:yVal>
          <c:smooth val="0"/>
        </c:ser>
        <c:dLbls>
          <c:showLegendKey val="0"/>
          <c:showVal val="0"/>
          <c:showCatName val="0"/>
          <c:showSerName val="0"/>
          <c:showPercent val="0"/>
          <c:showBubbleSize val="0"/>
        </c:dLbls>
        <c:axId val="157083904"/>
        <c:axId val="143230464"/>
      </c:scatterChart>
      <c:valAx>
        <c:axId val="157083904"/>
        <c:scaling>
          <c:orientation val="minMax"/>
        </c:scaling>
        <c:delete val="0"/>
        <c:axPos val="b"/>
        <c:title>
          <c:tx>
            <c:rich>
              <a:bodyPr/>
              <a:lstStyle/>
              <a:p>
                <a:pPr>
                  <a:defRPr/>
                </a:pPr>
                <a:r>
                  <a:rPr lang="en-GB"/>
                  <a:t>Share</a:t>
                </a:r>
                <a:r>
                  <a:rPr lang="en-GB" baseline="0"/>
                  <a:t> l</a:t>
                </a:r>
                <a:r>
                  <a:rPr lang="en-GB"/>
                  <a:t>abour compensation</a:t>
                </a:r>
                <a:r>
                  <a:rPr lang="en-GB" baseline="0"/>
                  <a:t> in transport manufacturing</a:t>
                </a:r>
                <a:endParaRPr lang="en-GB"/>
              </a:p>
            </c:rich>
          </c:tx>
          <c:layout/>
          <c:overlay val="0"/>
        </c:title>
        <c:numFmt formatCode="0.00%" sourceLinked="1"/>
        <c:majorTickMark val="out"/>
        <c:minorTickMark val="none"/>
        <c:tickLblPos val="nextTo"/>
        <c:crossAx val="143230464"/>
        <c:crosses val="autoZero"/>
        <c:crossBetween val="midCat"/>
      </c:valAx>
      <c:valAx>
        <c:axId val="143230464"/>
        <c:scaling>
          <c:orientation val="minMax"/>
        </c:scaling>
        <c:delete val="0"/>
        <c:axPos val="l"/>
        <c:majorGridlines/>
        <c:title>
          <c:tx>
            <c:rich>
              <a:bodyPr rot="-5400000" vert="horz"/>
              <a:lstStyle/>
              <a:p>
                <a:pPr>
                  <a:defRPr/>
                </a:pPr>
                <a:r>
                  <a:rPr lang="en-GB"/>
                  <a:t>Net Job creation</a:t>
                </a:r>
              </a:p>
            </c:rich>
          </c:tx>
          <c:layout/>
          <c:overlay val="0"/>
        </c:title>
        <c:numFmt formatCode="0.0" sourceLinked="1"/>
        <c:majorTickMark val="out"/>
        <c:minorTickMark val="none"/>
        <c:tickLblPos val="nextTo"/>
        <c:crossAx val="157083904"/>
        <c:crosses val="autoZero"/>
        <c:crossBetween val="midCat"/>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'Overall effect-Private'!$G$1</c:f>
              <c:strCache>
                <c:ptCount val="1"/>
                <c:pt idx="0">
                  <c:v>jobs</c:v>
                </c:pt>
              </c:strCache>
            </c:strRef>
          </c:tx>
          <c:invertIfNegative val="0"/>
          <c:cat>
            <c:strRef>
              <c:f>'Overall effect-Private'!$D$2:$D$26</c:f>
              <c:strCache>
                <c:ptCount val="25"/>
                <c:pt idx="1">
                  <c:v>IT</c:v>
                </c:pt>
                <c:pt idx="2">
                  <c:v>SI</c:v>
                </c:pt>
                <c:pt idx="3">
                  <c:v>MT</c:v>
                </c:pt>
                <c:pt idx="4">
                  <c:v>LV</c:v>
                </c:pt>
                <c:pt idx="5">
                  <c:v>CY</c:v>
                </c:pt>
                <c:pt idx="6">
                  <c:v>SK</c:v>
                </c:pt>
                <c:pt idx="7">
                  <c:v>EE</c:v>
                </c:pt>
                <c:pt idx="8">
                  <c:v>RO</c:v>
                </c:pt>
                <c:pt idx="9">
                  <c:v>AT</c:v>
                </c:pt>
                <c:pt idx="10">
                  <c:v>FI</c:v>
                </c:pt>
                <c:pt idx="11">
                  <c:v>SE</c:v>
                </c:pt>
                <c:pt idx="12">
                  <c:v>BG</c:v>
                </c:pt>
                <c:pt idx="13">
                  <c:v>DK</c:v>
                </c:pt>
                <c:pt idx="14">
                  <c:v>BE</c:v>
                </c:pt>
                <c:pt idx="15">
                  <c:v>NL</c:v>
                </c:pt>
                <c:pt idx="16">
                  <c:v>HU</c:v>
                </c:pt>
                <c:pt idx="17">
                  <c:v>CZ</c:v>
                </c:pt>
                <c:pt idx="18">
                  <c:v>ES</c:v>
                </c:pt>
                <c:pt idx="19">
                  <c:v>GR</c:v>
                </c:pt>
                <c:pt idx="20">
                  <c:v>PT</c:v>
                </c:pt>
                <c:pt idx="21">
                  <c:v>PL</c:v>
                </c:pt>
                <c:pt idx="22">
                  <c:v>UK</c:v>
                </c:pt>
                <c:pt idx="23">
                  <c:v>FR</c:v>
                </c:pt>
                <c:pt idx="24">
                  <c:v>DE</c:v>
                </c:pt>
              </c:strCache>
            </c:strRef>
          </c:cat>
          <c:val>
            <c:numRef>
              <c:f>'Overall effect-Private'!$G$2:$G$26</c:f>
              <c:numCache>
                <c:formatCode>0.0</c:formatCode>
                <c:ptCount val="25"/>
                <c:pt idx="1">
                  <c:v>-86.835603520028371</c:v>
                </c:pt>
                <c:pt idx="2">
                  <c:v>0.51892345149180641</c:v>
                </c:pt>
                <c:pt idx="3">
                  <c:v>1.1352279734835735</c:v>
                </c:pt>
                <c:pt idx="4">
                  <c:v>1.5108674773903397</c:v>
                </c:pt>
                <c:pt idx="5">
                  <c:v>9.8253325480684772</c:v>
                </c:pt>
                <c:pt idx="6">
                  <c:v>54.465583625138635</c:v>
                </c:pt>
                <c:pt idx="7">
                  <c:v>58.137594593080031</c:v>
                </c:pt>
                <c:pt idx="8">
                  <c:v>99.239285406112856</c:v>
                </c:pt>
                <c:pt idx="9">
                  <c:v>123.40464298822286</c:v>
                </c:pt>
                <c:pt idx="10">
                  <c:v>170.76880307827295</c:v>
                </c:pt>
                <c:pt idx="11">
                  <c:v>220.83905394250024</c:v>
                </c:pt>
                <c:pt idx="12">
                  <c:v>229.4776536226571</c:v>
                </c:pt>
                <c:pt idx="13">
                  <c:v>304.84883698787689</c:v>
                </c:pt>
                <c:pt idx="14">
                  <c:v>319.37502418602463</c:v>
                </c:pt>
                <c:pt idx="15">
                  <c:v>420.9496345439897</c:v>
                </c:pt>
                <c:pt idx="16">
                  <c:v>755.26371501316885</c:v>
                </c:pt>
                <c:pt idx="17">
                  <c:v>990.17997701932859</c:v>
                </c:pt>
                <c:pt idx="18">
                  <c:v>1026.4337912711042</c:v>
                </c:pt>
                <c:pt idx="19">
                  <c:v>1072.0866182574148</c:v>
                </c:pt>
                <c:pt idx="20">
                  <c:v>1131.680732290205</c:v>
                </c:pt>
                <c:pt idx="21">
                  <c:v>1377.5086123679032</c:v>
                </c:pt>
                <c:pt idx="22">
                  <c:v>2432.6893077412892</c:v>
                </c:pt>
                <c:pt idx="23">
                  <c:v>2940.904569612655</c:v>
                </c:pt>
                <c:pt idx="24">
                  <c:v>4753.1928879691186</c:v>
                </c:pt>
              </c:numCache>
            </c:numRef>
          </c:val>
        </c:ser>
        <c:dLbls>
          <c:showLegendKey val="0"/>
          <c:showVal val="0"/>
          <c:showCatName val="0"/>
          <c:showSerName val="0"/>
          <c:showPercent val="0"/>
          <c:showBubbleSize val="0"/>
        </c:dLbls>
        <c:gapWidth val="150"/>
        <c:axId val="143258752"/>
        <c:axId val="143260288"/>
      </c:barChart>
      <c:catAx>
        <c:axId val="143258752"/>
        <c:scaling>
          <c:orientation val="minMax"/>
        </c:scaling>
        <c:delete val="0"/>
        <c:axPos val="b"/>
        <c:majorTickMark val="out"/>
        <c:minorTickMark val="none"/>
        <c:tickLblPos val="nextTo"/>
        <c:crossAx val="143260288"/>
        <c:crosses val="autoZero"/>
        <c:auto val="1"/>
        <c:lblAlgn val="ctr"/>
        <c:lblOffset val="100"/>
        <c:noMultiLvlLbl val="0"/>
      </c:catAx>
      <c:valAx>
        <c:axId val="143260288"/>
        <c:scaling>
          <c:orientation val="minMax"/>
        </c:scaling>
        <c:delete val="0"/>
        <c:axPos val="l"/>
        <c:majorGridlines/>
        <c:title>
          <c:tx>
            <c:rich>
              <a:bodyPr rot="-5400000" vert="horz"/>
              <a:lstStyle/>
              <a:p>
                <a:pPr>
                  <a:defRPr/>
                </a:pPr>
                <a:r>
                  <a:rPr lang="en-GB"/>
                  <a:t>Net job creation</a:t>
                </a:r>
                <a:r>
                  <a:rPr lang="en-GB" baseline="0"/>
                  <a:t> with 1% change in private demand</a:t>
                </a:r>
                <a:endParaRPr lang="en-GB"/>
              </a:p>
            </c:rich>
          </c:tx>
          <c:layout/>
          <c:overlay val="0"/>
        </c:title>
        <c:numFmt formatCode="0.0" sourceLinked="1"/>
        <c:majorTickMark val="out"/>
        <c:minorTickMark val="none"/>
        <c:tickLblPos val="nextTo"/>
        <c:crossAx val="1432587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'Overall effect -EFR'!$H$1</c:f>
              <c:strCache>
                <c:ptCount val="1"/>
                <c:pt idx="0">
                  <c:v>Value</c:v>
                </c:pt>
              </c:strCache>
            </c:strRef>
          </c:tx>
          <c:invertIfNegative val="0"/>
          <c:dPt>
            <c:idx val="8"/>
            <c:invertIfNegative val="0"/>
            <c:bubble3D val="0"/>
            <c:spPr>
              <a:solidFill>
                <a:srgbClr val="92D050"/>
              </a:solidFill>
            </c:spPr>
          </c:dPt>
          <c:cat>
            <c:strRef>
              <c:f>'Overall effect -EFR'!$G$2:$G$10</c:f>
              <c:strCache>
                <c:ptCount val="9"/>
                <c:pt idx="0">
                  <c:v>Auxiliary_transport</c:v>
                </c:pt>
                <c:pt idx="1">
                  <c:v>Other_business</c:v>
                </c:pt>
                <c:pt idx="2">
                  <c:v>Machinery</c:v>
                </c:pt>
                <c:pt idx="3">
                  <c:v>Chemical</c:v>
                </c:pt>
                <c:pt idx="4">
                  <c:v>Retail</c:v>
                </c:pt>
                <c:pt idx="5">
                  <c:v>Wholesale_trade</c:v>
                </c:pt>
                <c:pt idx="6">
                  <c:v>Water_transport</c:v>
                </c:pt>
                <c:pt idx="7">
                  <c:v>Land_transport</c:v>
                </c:pt>
                <c:pt idx="8">
                  <c:v>Total</c:v>
                </c:pt>
              </c:strCache>
            </c:strRef>
          </c:cat>
          <c:val>
            <c:numRef>
              <c:f>'Overall effect -EFR'!$H$2:$H$10</c:f>
              <c:numCache>
                <c:formatCode>0.000</c:formatCode>
                <c:ptCount val="9"/>
                <c:pt idx="0">
                  <c:v>-187.70308402357037</c:v>
                </c:pt>
                <c:pt idx="1">
                  <c:v>-25.510760918475501</c:v>
                </c:pt>
                <c:pt idx="2">
                  <c:v>-21.25803374034653</c:v>
                </c:pt>
                <c:pt idx="3">
                  <c:v>-14.244503806833857</c:v>
                </c:pt>
                <c:pt idx="4">
                  <c:v>27.844132023576833</c:v>
                </c:pt>
                <c:pt idx="5">
                  <c:v>28.392976569306104</c:v>
                </c:pt>
                <c:pt idx="6">
                  <c:v>73.272449753922743</c:v>
                </c:pt>
                <c:pt idx="7">
                  <c:v>109.01645761967917</c:v>
                </c:pt>
                <c:pt idx="8">
                  <c:v>71.199683665265567</c:v>
                </c:pt>
              </c:numCache>
            </c:numRef>
          </c:val>
        </c:ser>
        <c:dLbls>
          <c:showLegendKey val="0"/>
          <c:showVal val="0"/>
          <c:showCatName val="0"/>
          <c:showSerName val="0"/>
          <c:showPercent val="0"/>
          <c:showBubbleSize val="0"/>
        </c:dLbls>
        <c:gapWidth val="150"/>
        <c:overlap val="100"/>
        <c:axId val="122624256"/>
        <c:axId val="122630144"/>
      </c:barChart>
      <c:catAx>
        <c:axId val="122624256"/>
        <c:scaling>
          <c:orientation val="minMax"/>
        </c:scaling>
        <c:delete val="0"/>
        <c:axPos val="l"/>
        <c:majorTickMark val="out"/>
        <c:minorTickMark val="none"/>
        <c:tickLblPos val="nextTo"/>
        <c:crossAx val="122630144"/>
        <c:crosses val="autoZero"/>
        <c:auto val="1"/>
        <c:lblAlgn val="ctr"/>
        <c:lblOffset val="100"/>
        <c:noMultiLvlLbl val="0"/>
      </c:catAx>
      <c:valAx>
        <c:axId val="122630144"/>
        <c:scaling>
          <c:orientation val="minMax"/>
        </c:scaling>
        <c:delete val="0"/>
        <c:axPos val="b"/>
        <c:majorGridlines/>
        <c:title>
          <c:tx>
            <c:rich>
              <a:bodyPr/>
              <a:lstStyle/>
              <a:p>
                <a:pPr>
                  <a:defRPr/>
                </a:pPr>
                <a:r>
                  <a:rPr lang="en-GB"/>
                  <a:t>Total</a:t>
                </a:r>
                <a:r>
                  <a:rPr lang="en-GB" baseline="0"/>
                  <a:t> c</a:t>
                </a:r>
                <a:r>
                  <a:rPr lang="en-GB"/>
                  <a:t>hange in labour compensation in million euros (all countries) </a:t>
                </a:r>
              </a:p>
            </c:rich>
          </c:tx>
          <c:layout/>
          <c:overlay val="0"/>
        </c:title>
        <c:numFmt formatCode="0.000" sourceLinked="1"/>
        <c:majorTickMark val="out"/>
        <c:minorTickMark val="none"/>
        <c:tickLblPos val="nextTo"/>
        <c:crossAx val="1226242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'Overall effect -EFR'!$AA$45</c:f>
              <c:strCache>
                <c:ptCount val="1"/>
                <c:pt idx="0">
                  <c:v>Multiplier</c:v>
                </c:pt>
              </c:strCache>
            </c:strRef>
          </c:tx>
          <c:spPr>
            <a:ln w="28575">
              <a:noFill/>
            </a:ln>
          </c:spPr>
          <c:xVal>
            <c:numRef>
              <c:f>'Overall effect -EFR'!$R$46:$R$67</c:f>
              <c:numCache>
                <c:formatCode>0.00%</c:formatCode>
                <c:ptCount val="22"/>
                <c:pt idx="0">
                  <c:v>2.4392899923200245E-2</c:v>
                </c:pt>
                <c:pt idx="1">
                  <c:v>2.0860638873679175E-2</c:v>
                </c:pt>
                <c:pt idx="2">
                  <c:v>4.2523804462023723E-2</c:v>
                </c:pt>
                <c:pt idx="3">
                  <c:v>1.4137997542705042E-2</c:v>
                </c:pt>
                <c:pt idx="4">
                  <c:v>2.2180758714953848E-2</c:v>
                </c:pt>
                <c:pt idx="5">
                  <c:v>3.922018025686777E-2</c:v>
                </c:pt>
                <c:pt idx="6">
                  <c:v>2.3185428485309727E-2</c:v>
                </c:pt>
                <c:pt idx="7">
                  <c:v>2.3099502611897929E-2</c:v>
                </c:pt>
                <c:pt idx="8">
                  <c:v>1.4690604940587458E-2</c:v>
                </c:pt>
                <c:pt idx="9">
                  <c:v>2.8908272412690759E-2</c:v>
                </c:pt>
                <c:pt idx="10">
                  <c:v>3.4093053993527384E-2</c:v>
                </c:pt>
                <c:pt idx="11">
                  <c:v>5.8314521148483699E-2</c:v>
                </c:pt>
                <c:pt idx="12">
                  <c:v>6.1266951578058858E-2</c:v>
                </c:pt>
                <c:pt idx="13">
                  <c:v>1.477607955415035E-2</c:v>
                </c:pt>
                <c:pt idx="14">
                  <c:v>1.8279578797077121E-2</c:v>
                </c:pt>
                <c:pt idx="15">
                  <c:v>3.7996815064584778E-2</c:v>
                </c:pt>
                <c:pt idx="16">
                  <c:v>1.8220459125324384E-2</c:v>
                </c:pt>
                <c:pt idx="17">
                  <c:v>5.79947335755003E-2</c:v>
                </c:pt>
                <c:pt idx="18">
                  <c:v>2.521229451893961E-2</c:v>
                </c:pt>
                <c:pt idx="19">
                  <c:v>2.98779725923549E-2</c:v>
                </c:pt>
                <c:pt idx="20">
                  <c:v>3.6025873747969013E-2</c:v>
                </c:pt>
                <c:pt idx="21">
                  <c:v>1.8707054945518449E-2</c:v>
                </c:pt>
              </c:numCache>
            </c:numRef>
          </c:xVal>
          <c:yVal>
            <c:numRef>
              <c:f>'Overall effect -EFR'!$AA$46:$AA$67</c:f>
              <c:numCache>
                <c:formatCode>0.00</c:formatCode>
                <c:ptCount val="22"/>
                <c:pt idx="0">
                  <c:v>2.3827950703513885</c:v>
                </c:pt>
                <c:pt idx="1">
                  <c:v>1.4882869684951689</c:v>
                </c:pt>
                <c:pt idx="2">
                  <c:v>3.7109246963022389</c:v>
                </c:pt>
                <c:pt idx="3">
                  <c:v>-0.33088953564826606</c:v>
                </c:pt>
                <c:pt idx="4">
                  <c:v>-1.7792244547019884</c:v>
                </c:pt>
                <c:pt idx="5">
                  <c:v>33.389101733379512</c:v>
                </c:pt>
                <c:pt idx="6">
                  <c:v>16.291025111765542</c:v>
                </c:pt>
                <c:pt idx="7">
                  <c:v>3.5787695212391246</c:v>
                </c:pt>
                <c:pt idx="8">
                  <c:v>4.1880498500630106</c:v>
                </c:pt>
                <c:pt idx="9">
                  <c:v>26.865222953768264</c:v>
                </c:pt>
                <c:pt idx="10">
                  <c:v>6.9681975387470443</c:v>
                </c:pt>
                <c:pt idx="11">
                  <c:v>52.63829763775351</c:v>
                </c:pt>
                <c:pt idx="12">
                  <c:v>58.444306131912029</c:v>
                </c:pt>
                <c:pt idx="13">
                  <c:v>32.717630106591493</c:v>
                </c:pt>
                <c:pt idx="14">
                  <c:v>5.5582815601361757</c:v>
                </c:pt>
                <c:pt idx="15">
                  <c:v>15.90049702175383</c:v>
                </c:pt>
                <c:pt idx="16">
                  <c:v>20.330042095171105</c:v>
                </c:pt>
                <c:pt idx="17">
                  <c:v>32.345490732615609</c:v>
                </c:pt>
                <c:pt idx="18">
                  <c:v>2.89710885430484</c:v>
                </c:pt>
                <c:pt idx="19">
                  <c:v>-0.48055493987376674</c:v>
                </c:pt>
                <c:pt idx="20">
                  <c:v>0.42527765170596143</c:v>
                </c:pt>
                <c:pt idx="21">
                  <c:v>3.5176894726557126</c:v>
                </c:pt>
              </c:numCache>
            </c:numRef>
          </c:yVal>
          <c:smooth val="0"/>
        </c:ser>
        <c:dLbls>
          <c:showLegendKey val="0"/>
          <c:showVal val="0"/>
          <c:showCatName val="0"/>
          <c:showSerName val="0"/>
          <c:showPercent val="0"/>
          <c:showBubbleSize val="0"/>
        </c:dLbls>
        <c:axId val="122650624"/>
        <c:axId val="122652544"/>
      </c:scatterChart>
      <c:valAx>
        <c:axId val="122650624"/>
        <c:scaling>
          <c:orientation val="minMax"/>
        </c:scaling>
        <c:delete val="0"/>
        <c:axPos val="b"/>
        <c:title>
          <c:tx>
            <c:rich>
              <a:bodyPr/>
              <a:lstStyle/>
              <a:p>
                <a:pPr>
                  <a:defRPr/>
                </a:pPr>
                <a:r>
                  <a:rPr lang="en-GB"/>
                  <a:t>Share of labour compensation in land transport</a:t>
                </a:r>
              </a:p>
            </c:rich>
          </c:tx>
          <c:layout/>
          <c:overlay val="0"/>
        </c:title>
        <c:numFmt formatCode="0.00%" sourceLinked="1"/>
        <c:majorTickMark val="out"/>
        <c:minorTickMark val="none"/>
        <c:tickLblPos val="nextTo"/>
        <c:crossAx val="122652544"/>
        <c:crosses val="autoZero"/>
        <c:crossBetween val="midCat"/>
      </c:valAx>
      <c:valAx>
        <c:axId val="122652544"/>
        <c:scaling>
          <c:orientation val="minMax"/>
        </c:scaling>
        <c:delete val="0"/>
        <c:axPos val="l"/>
        <c:majorGridlines/>
        <c:title>
          <c:tx>
            <c:rich>
              <a:bodyPr rot="-5400000" vert="horz"/>
              <a:lstStyle/>
              <a:p>
                <a:pPr>
                  <a:defRPr/>
                </a:pPr>
                <a:r>
                  <a:rPr lang="en-GB"/>
                  <a:t>Job multiplier</a:t>
                </a:r>
              </a:p>
            </c:rich>
          </c:tx>
          <c:layout/>
          <c:overlay val="0"/>
        </c:title>
        <c:numFmt formatCode="0.00" sourceLinked="1"/>
        <c:majorTickMark val="out"/>
        <c:minorTickMark val="none"/>
        <c:tickLblPos val="nextTo"/>
        <c:crossAx val="122650624"/>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'Overall effect -EFR'!$AA$45</c:f>
              <c:strCache>
                <c:ptCount val="1"/>
                <c:pt idx="0">
                  <c:v>Multiplier</c:v>
                </c:pt>
              </c:strCache>
            </c:strRef>
          </c:tx>
          <c:spPr>
            <a:ln w="28575">
              <a:noFill/>
            </a:ln>
          </c:spPr>
          <c:xVal>
            <c:numRef>
              <c:f>'Overall effect -EFR'!$X$46:$X$67</c:f>
              <c:numCache>
                <c:formatCode>0.00%</c:formatCode>
                <c:ptCount val="22"/>
                <c:pt idx="0">
                  <c:v>1.8872834192112147E-2</c:v>
                </c:pt>
                <c:pt idx="1">
                  <c:v>3.4188905675603919E-2</c:v>
                </c:pt>
                <c:pt idx="2">
                  <c:v>1.9949157922878772E-2</c:v>
                </c:pt>
                <c:pt idx="3">
                  <c:v>1.965669117930029E-2</c:v>
                </c:pt>
                <c:pt idx="4">
                  <c:v>1.5008098890449123E-2</c:v>
                </c:pt>
                <c:pt idx="5">
                  <c:v>4.636650653707667E-2</c:v>
                </c:pt>
                <c:pt idx="6">
                  <c:v>2.0155898950234272E-2</c:v>
                </c:pt>
                <c:pt idx="7">
                  <c:v>2.4732168072804817E-2</c:v>
                </c:pt>
                <c:pt idx="8">
                  <c:v>9.9123981375439704E-3</c:v>
                </c:pt>
                <c:pt idx="9">
                  <c:v>1.2187452275468958E-2</c:v>
                </c:pt>
                <c:pt idx="10">
                  <c:v>1.6470480010735058E-2</c:v>
                </c:pt>
                <c:pt idx="11">
                  <c:v>3.347789523884287E-2</c:v>
                </c:pt>
                <c:pt idx="12">
                  <c:v>3.7691422501594372E-2</c:v>
                </c:pt>
                <c:pt idx="13">
                  <c:v>3.0548623625306193E-2</c:v>
                </c:pt>
                <c:pt idx="14">
                  <c:v>1.5119549800422294E-2</c:v>
                </c:pt>
                <c:pt idx="15">
                  <c:v>1.2317544256194204E-2</c:v>
                </c:pt>
                <c:pt idx="16">
                  <c:v>1.4331734643981133E-2</c:v>
                </c:pt>
                <c:pt idx="17">
                  <c:v>1.5192253053354806E-2</c:v>
                </c:pt>
                <c:pt idx="18">
                  <c:v>3.2110553851499218E-2</c:v>
                </c:pt>
                <c:pt idx="19">
                  <c:v>2.0027651886270981E-2</c:v>
                </c:pt>
                <c:pt idx="20">
                  <c:v>1.4257184657966651E-2</c:v>
                </c:pt>
                <c:pt idx="21">
                  <c:v>1.9566626452087239E-2</c:v>
                </c:pt>
              </c:numCache>
            </c:numRef>
          </c:xVal>
          <c:yVal>
            <c:numRef>
              <c:f>'Overall effect -EFR'!$AA$46:$AA$67</c:f>
              <c:numCache>
                <c:formatCode>0.00</c:formatCode>
                <c:ptCount val="22"/>
                <c:pt idx="0">
                  <c:v>2.3827950703513885</c:v>
                </c:pt>
                <c:pt idx="1">
                  <c:v>1.4882869684951689</c:v>
                </c:pt>
                <c:pt idx="2">
                  <c:v>3.7109246963022389</c:v>
                </c:pt>
                <c:pt idx="3">
                  <c:v>-0.33088953564826606</c:v>
                </c:pt>
                <c:pt idx="4">
                  <c:v>-1.7792244547019884</c:v>
                </c:pt>
                <c:pt idx="5">
                  <c:v>33.389101733379512</c:v>
                </c:pt>
                <c:pt idx="6">
                  <c:v>16.291025111765542</c:v>
                </c:pt>
                <c:pt idx="7">
                  <c:v>3.5787695212391246</c:v>
                </c:pt>
                <c:pt idx="8">
                  <c:v>4.1880498500630106</c:v>
                </c:pt>
                <c:pt idx="9">
                  <c:v>26.865222953768264</c:v>
                </c:pt>
                <c:pt idx="10">
                  <c:v>6.9681975387470443</c:v>
                </c:pt>
                <c:pt idx="11">
                  <c:v>52.63829763775351</c:v>
                </c:pt>
                <c:pt idx="12">
                  <c:v>58.444306131912029</c:v>
                </c:pt>
                <c:pt idx="13">
                  <c:v>32.717630106591493</c:v>
                </c:pt>
                <c:pt idx="14">
                  <c:v>5.5582815601361757</c:v>
                </c:pt>
                <c:pt idx="15">
                  <c:v>15.90049702175383</c:v>
                </c:pt>
                <c:pt idx="16">
                  <c:v>20.330042095171105</c:v>
                </c:pt>
                <c:pt idx="17">
                  <c:v>32.345490732615609</c:v>
                </c:pt>
                <c:pt idx="18">
                  <c:v>2.89710885430484</c:v>
                </c:pt>
                <c:pt idx="19">
                  <c:v>-0.48055493987376674</c:v>
                </c:pt>
                <c:pt idx="20">
                  <c:v>0.42527765170596143</c:v>
                </c:pt>
                <c:pt idx="21">
                  <c:v>3.5176894726557126</c:v>
                </c:pt>
              </c:numCache>
            </c:numRef>
          </c:yVal>
          <c:smooth val="0"/>
        </c:ser>
        <c:dLbls>
          <c:showLegendKey val="0"/>
          <c:showVal val="0"/>
          <c:showCatName val="0"/>
          <c:showSerName val="0"/>
          <c:showPercent val="0"/>
          <c:showBubbleSize val="0"/>
        </c:dLbls>
        <c:axId val="143459840"/>
        <c:axId val="143461760"/>
      </c:scatterChart>
      <c:valAx>
        <c:axId val="143459840"/>
        <c:scaling>
          <c:orientation val="minMax"/>
        </c:scaling>
        <c:delete val="0"/>
        <c:axPos val="b"/>
        <c:title>
          <c:tx>
            <c:rich>
              <a:bodyPr/>
              <a:lstStyle/>
              <a:p>
                <a:pPr>
                  <a:defRPr/>
                </a:pPr>
                <a:r>
                  <a:rPr lang="en-GB"/>
                  <a:t>Share</a:t>
                </a:r>
                <a:r>
                  <a:rPr lang="en-GB" baseline="0"/>
                  <a:t> of labour compensation in auxiliary transport service</a:t>
                </a:r>
                <a:endParaRPr lang="en-GB"/>
              </a:p>
            </c:rich>
          </c:tx>
          <c:layout/>
          <c:overlay val="0"/>
        </c:title>
        <c:numFmt formatCode="0.00%" sourceLinked="1"/>
        <c:majorTickMark val="out"/>
        <c:minorTickMark val="none"/>
        <c:tickLblPos val="nextTo"/>
        <c:crossAx val="143461760"/>
        <c:crosses val="autoZero"/>
        <c:crossBetween val="midCat"/>
      </c:valAx>
      <c:valAx>
        <c:axId val="143461760"/>
        <c:scaling>
          <c:orientation val="minMax"/>
        </c:scaling>
        <c:delete val="0"/>
        <c:axPos val="l"/>
        <c:majorGridlines/>
        <c:title>
          <c:tx>
            <c:rich>
              <a:bodyPr rot="-5400000" vert="horz"/>
              <a:lstStyle/>
              <a:p>
                <a:pPr>
                  <a:defRPr/>
                </a:pPr>
                <a:r>
                  <a:rPr lang="en-GB"/>
                  <a:t>Job multiplier</a:t>
                </a:r>
              </a:p>
            </c:rich>
          </c:tx>
          <c:layout/>
          <c:overlay val="0"/>
        </c:title>
        <c:numFmt formatCode="0.00" sourceLinked="1"/>
        <c:majorTickMark val="out"/>
        <c:minorTickMark val="none"/>
        <c:tickLblPos val="nextTo"/>
        <c:crossAx val="143459840"/>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0.89057</cdr:x>
      <cdr:y>0.07862</cdr:y>
    </cdr:from>
    <cdr:to>
      <cdr:x>0.9717</cdr:x>
      <cdr:y>0.18868</cdr:y>
    </cdr:to>
    <cdr:sp macro="" textlink="">
      <cdr:nvSpPr>
        <cdr:cNvPr id="2" name="Rectangle 1"/>
        <cdr:cNvSpPr/>
      </cdr:nvSpPr>
      <cdr:spPr>
        <a:xfrm xmlns:a="http://schemas.openxmlformats.org/drawingml/2006/main">
          <a:off x="4071668" y="215660"/>
          <a:ext cx="370936" cy="301925"/>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DE</a:t>
          </a:r>
        </a:p>
      </cdr:txBody>
    </cdr:sp>
  </cdr:relSizeAnchor>
  <cdr:relSizeAnchor xmlns:cdr="http://schemas.openxmlformats.org/drawingml/2006/chartDrawing">
    <cdr:from>
      <cdr:x>0.16038</cdr:x>
      <cdr:y>0.28616</cdr:y>
    </cdr:from>
    <cdr:to>
      <cdr:x>0.72642</cdr:x>
      <cdr:y>0.54088</cdr:y>
    </cdr:to>
    <cdr:sp macro="" textlink="">
      <cdr:nvSpPr>
        <cdr:cNvPr id="3" name="Oval 2"/>
        <cdr:cNvSpPr/>
      </cdr:nvSpPr>
      <cdr:spPr>
        <a:xfrm xmlns:a="http://schemas.openxmlformats.org/drawingml/2006/main">
          <a:off x="733245" y="785004"/>
          <a:ext cx="2587925" cy="698739"/>
        </a:xfrm>
        <a:prstGeom xmlns:a="http://schemas.openxmlformats.org/drawingml/2006/main" prst="ellipse">
          <a:avLst/>
        </a:prstGeom>
        <a:noFill xmlns:a="http://schemas.openxmlformats.org/drawingml/2006/main"/>
        <a:ln xmlns:a="http://schemas.openxmlformats.org/drawingml/2006/main">
          <a:solidFill>
            <a:schemeClr val="tx2">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D8C9-BD69-4CE2-B5B6-8F9BF0BF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57</Pages>
  <Words>19478</Words>
  <Characters>111030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harrinan</dc:creator>
  <cp:lastModifiedBy>Christophe Heyndrickx</cp:lastModifiedBy>
  <cp:revision>4</cp:revision>
  <cp:lastPrinted>2013-09-06T13:33:00Z</cp:lastPrinted>
  <dcterms:created xsi:type="dcterms:W3CDTF">2013-11-25T10:09:00Z</dcterms:created>
  <dcterms:modified xsi:type="dcterms:W3CDTF">2013-11-25T11:28:00Z</dcterms:modified>
</cp:coreProperties>
</file>